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D336C">
      <w:pPr>
        <w:ind w:firstLine="880"/>
        <w:jc w:val="center"/>
        <w:rPr>
          <w:rFonts w:hint="eastAsia" w:ascii="华文中宋" w:hAnsi="华文中宋" w:eastAsia="华文中宋"/>
          <w:sz w:val="40"/>
          <w:szCs w:val="40"/>
          <w:lang w:val="en-US" w:eastAsia="zh-CN"/>
        </w:rPr>
      </w:pPr>
      <w:bookmarkStart w:id="0" w:name="_GoBack"/>
      <w:r>
        <w:rPr>
          <w:rFonts w:hint="eastAsia" w:ascii="华文中宋" w:hAnsi="华文中宋" w:eastAsia="华文中宋"/>
          <w:sz w:val="40"/>
          <w:szCs w:val="40"/>
        </w:rPr>
        <w:t>阳泉市</w:t>
      </w:r>
      <w:r>
        <w:rPr>
          <w:rFonts w:hint="eastAsia" w:ascii="华文中宋" w:hAnsi="华文中宋" w:eastAsia="华文中宋"/>
          <w:sz w:val="40"/>
          <w:szCs w:val="40"/>
          <w:lang w:val="en-US" w:eastAsia="zh-CN"/>
        </w:rPr>
        <w:t>城市管理综合行政执法队</w:t>
      </w:r>
    </w:p>
    <w:p w14:paraId="4011F99D">
      <w:pPr>
        <w:ind w:firstLine="880"/>
        <w:jc w:val="center"/>
        <w:rPr>
          <w:rFonts w:hint="default" w:ascii="华文中宋" w:hAnsi="华文中宋" w:eastAsia="华文中宋"/>
          <w:sz w:val="40"/>
          <w:szCs w:val="40"/>
          <w:lang w:val="en-US" w:eastAsia="zh-CN"/>
        </w:rPr>
      </w:pPr>
      <w:r>
        <w:rPr>
          <w:rFonts w:hint="eastAsia" w:ascii="华文中宋" w:hAnsi="华文中宋" w:eastAsia="华文中宋"/>
          <w:sz w:val="40"/>
          <w:szCs w:val="40"/>
        </w:rPr>
        <w:t>2021年部门决算</w:t>
      </w:r>
    </w:p>
    <w:bookmarkEnd w:id="0"/>
    <w:p w14:paraId="4E56C6E9">
      <w:pPr>
        <w:ind w:firstLine="880"/>
        <w:jc w:val="center"/>
        <w:rPr>
          <w:rFonts w:ascii="华文中宋" w:hAnsi="华文中宋" w:eastAsia="华文中宋"/>
          <w:sz w:val="40"/>
          <w:szCs w:val="40"/>
        </w:rPr>
      </w:pPr>
    </w:p>
    <w:p w14:paraId="6861AA5F">
      <w:pPr>
        <w:ind w:firstLine="880"/>
        <w:jc w:val="center"/>
        <w:rPr>
          <w:rFonts w:hint="eastAsia" w:ascii="华文中宋" w:hAnsi="华文中宋" w:eastAsia="华文中宋"/>
          <w:sz w:val="44"/>
          <w:szCs w:val="44"/>
        </w:rPr>
      </w:pPr>
      <w:r>
        <w:rPr>
          <w:rFonts w:hint="eastAsia" w:ascii="华文中宋" w:hAnsi="华文中宋" w:eastAsia="华文中宋"/>
          <w:sz w:val="44"/>
          <w:szCs w:val="44"/>
        </w:rPr>
        <w:t>目</w:t>
      </w:r>
      <w:r>
        <w:rPr>
          <w:rFonts w:hint="eastAsia" w:ascii="华文中宋" w:hAnsi="华文中宋" w:eastAsia="华文中宋"/>
          <w:sz w:val="44"/>
          <w:szCs w:val="44"/>
          <w:lang w:val="en-US" w:eastAsia="zh-CN"/>
        </w:rPr>
        <w:t xml:space="preserve">  </w:t>
      </w:r>
      <w:r>
        <w:rPr>
          <w:rFonts w:hint="eastAsia" w:ascii="华文中宋" w:hAnsi="华文中宋" w:eastAsia="华文中宋"/>
          <w:sz w:val="44"/>
          <w:szCs w:val="44"/>
        </w:rPr>
        <w:t>录</w:t>
      </w:r>
    </w:p>
    <w:p w14:paraId="558995FE">
      <w:pPr>
        <w:ind w:firstLine="640"/>
        <w:rPr>
          <w:rFonts w:ascii="黑体" w:hAnsi="黑体" w:eastAsia="黑体"/>
          <w:szCs w:val="32"/>
        </w:rPr>
      </w:pPr>
      <w:r>
        <w:rPr>
          <w:rFonts w:hint="eastAsia" w:ascii="黑体" w:hAnsi="黑体" w:eastAsia="黑体"/>
          <w:szCs w:val="32"/>
        </w:rPr>
        <w:t>第一部分  概况</w:t>
      </w:r>
    </w:p>
    <w:p w14:paraId="667382E6">
      <w:pPr>
        <w:ind w:firstLine="640"/>
        <w:rPr>
          <w:rFonts w:hint="eastAsia" w:ascii="仿宋_GB2312" w:hAnsi="楷体"/>
          <w:szCs w:val="32"/>
        </w:rPr>
      </w:pPr>
      <w:r>
        <w:rPr>
          <w:rFonts w:hint="eastAsia" w:ascii="仿宋_GB2312" w:hAnsi="楷体"/>
          <w:szCs w:val="32"/>
        </w:rPr>
        <w:t>一、本部门职责</w:t>
      </w:r>
    </w:p>
    <w:p w14:paraId="382CE6F4">
      <w:pPr>
        <w:ind w:firstLine="640"/>
        <w:rPr>
          <w:rFonts w:hint="eastAsia" w:ascii="仿宋_GB2312" w:hAnsi="楷体"/>
          <w:szCs w:val="32"/>
        </w:rPr>
      </w:pPr>
      <w:r>
        <w:rPr>
          <w:rFonts w:hint="eastAsia" w:ascii="仿宋_GB2312" w:hAnsi="楷体"/>
          <w:szCs w:val="32"/>
        </w:rPr>
        <w:t>二、机构设置情况</w:t>
      </w:r>
    </w:p>
    <w:p w14:paraId="4A30C311">
      <w:pPr>
        <w:ind w:firstLine="640"/>
        <w:rPr>
          <w:rFonts w:hint="eastAsia" w:ascii="黑体" w:hAnsi="黑体" w:eastAsia="黑体"/>
          <w:szCs w:val="32"/>
        </w:rPr>
      </w:pPr>
      <w:r>
        <w:rPr>
          <w:rFonts w:hint="eastAsia" w:ascii="黑体" w:hAnsi="黑体" w:eastAsia="黑体"/>
          <w:szCs w:val="32"/>
        </w:rPr>
        <w:t>第二部分  2021年度部门决算报表</w:t>
      </w:r>
    </w:p>
    <w:p w14:paraId="278437E4">
      <w:pPr>
        <w:ind w:firstLine="640"/>
        <w:rPr>
          <w:rFonts w:hint="eastAsia" w:ascii="仿宋_GB2312" w:hAnsi="楷体"/>
          <w:szCs w:val="32"/>
        </w:rPr>
      </w:pPr>
      <w:r>
        <w:rPr>
          <w:rFonts w:hint="eastAsia" w:ascii="仿宋_GB2312" w:hAnsi="楷体"/>
          <w:szCs w:val="32"/>
        </w:rPr>
        <w:t>一、收入支出决算总表</w:t>
      </w:r>
    </w:p>
    <w:p w14:paraId="66BB853D">
      <w:pPr>
        <w:ind w:firstLine="640"/>
        <w:rPr>
          <w:rFonts w:hint="eastAsia" w:ascii="仿宋_GB2312" w:hAnsi="楷体"/>
          <w:szCs w:val="32"/>
        </w:rPr>
      </w:pPr>
      <w:r>
        <w:rPr>
          <w:rFonts w:hint="eastAsia" w:ascii="仿宋_GB2312" w:hAnsi="楷体"/>
          <w:szCs w:val="32"/>
        </w:rPr>
        <w:t>二、收入决算表</w:t>
      </w:r>
    </w:p>
    <w:p w14:paraId="2BF14EBC">
      <w:pPr>
        <w:ind w:firstLine="640"/>
        <w:rPr>
          <w:rFonts w:hint="eastAsia" w:ascii="仿宋_GB2312" w:hAnsi="楷体"/>
          <w:szCs w:val="32"/>
        </w:rPr>
      </w:pPr>
      <w:r>
        <w:rPr>
          <w:rFonts w:hint="eastAsia" w:ascii="仿宋_GB2312" w:hAnsi="楷体"/>
          <w:szCs w:val="32"/>
        </w:rPr>
        <w:t>三、支出决算表</w:t>
      </w:r>
    </w:p>
    <w:p w14:paraId="6CD3609E">
      <w:pPr>
        <w:ind w:firstLine="640"/>
        <w:rPr>
          <w:rFonts w:hint="eastAsia" w:ascii="仿宋_GB2312" w:hAnsi="楷体"/>
          <w:szCs w:val="32"/>
        </w:rPr>
      </w:pPr>
      <w:r>
        <w:rPr>
          <w:rFonts w:hint="eastAsia" w:ascii="仿宋_GB2312" w:hAnsi="楷体"/>
          <w:szCs w:val="32"/>
        </w:rPr>
        <w:t>四、财政拨款收入支出决算总表</w:t>
      </w:r>
    </w:p>
    <w:p w14:paraId="7C1EFAFF">
      <w:pPr>
        <w:ind w:firstLine="640"/>
        <w:rPr>
          <w:rFonts w:hint="eastAsia" w:ascii="仿宋_GB2312" w:hAnsi="楷体"/>
          <w:szCs w:val="32"/>
        </w:rPr>
      </w:pPr>
      <w:r>
        <w:rPr>
          <w:rFonts w:hint="eastAsia" w:ascii="仿宋_GB2312" w:hAnsi="楷体"/>
          <w:szCs w:val="32"/>
        </w:rPr>
        <w:t>五、一般公共预算财政拨款支出决算表（一）</w:t>
      </w:r>
    </w:p>
    <w:p w14:paraId="7B8A0817">
      <w:pPr>
        <w:ind w:firstLine="640"/>
        <w:rPr>
          <w:rFonts w:hint="eastAsia" w:ascii="仿宋_GB2312" w:hAnsi="楷体"/>
          <w:szCs w:val="32"/>
        </w:rPr>
      </w:pPr>
      <w:r>
        <w:rPr>
          <w:rFonts w:hint="eastAsia" w:ascii="仿宋_GB2312" w:hAnsi="楷体"/>
          <w:szCs w:val="32"/>
        </w:rPr>
        <w:t>六、一般公共预算财政拨款支出决算表（二）</w:t>
      </w:r>
    </w:p>
    <w:p w14:paraId="2CB617D3">
      <w:pPr>
        <w:ind w:firstLine="640"/>
        <w:rPr>
          <w:rFonts w:ascii="仿宋_GB2312" w:hAnsi="楷体"/>
          <w:szCs w:val="32"/>
        </w:rPr>
      </w:pPr>
      <w:r>
        <w:rPr>
          <w:rFonts w:hint="eastAsia" w:ascii="仿宋_GB2312" w:hAnsi="楷体"/>
          <w:szCs w:val="32"/>
          <w:lang w:val="en-US" w:eastAsia="zh-CN"/>
        </w:rPr>
        <w:t>七</w:t>
      </w:r>
      <w:r>
        <w:rPr>
          <w:rFonts w:hint="eastAsia" w:ascii="仿宋_GB2312" w:hAnsi="楷体"/>
          <w:szCs w:val="32"/>
        </w:rPr>
        <w:t>、政府性基金预算财政拨款收入支出决算表</w:t>
      </w:r>
    </w:p>
    <w:p w14:paraId="0AB0DC3C">
      <w:pPr>
        <w:ind w:firstLine="640"/>
        <w:rPr>
          <w:rFonts w:hint="eastAsia" w:ascii="仿宋_GB2312" w:hAnsi="楷体"/>
          <w:szCs w:val="32"/>
        </w:rPr>
      </w:pPr>
      <w:r>
        <w:rPr>
          <w:rFonts w:hint="eastAsia" w:ascii="仿宋_GB2312" w:hAnsi="楷体"/>
          <w:szCs w:val="32"/>
          <w:lang w:val="en-US" w:eastAsia="zh-CN"/>
        </w:rPr>
        <w:t>八</w:t>
      </w:r>
      <w:r>
        <w:rPr>
          <w:rFonts w:hint="eastAsia" w:ascii="仿宋_GB2312" w:hAnsi="楷体"/>
          <w:szCs w:val="32"/>
        </w:rPr>
        <w:t>、国有资本经营预算财政拨款支出决算表</w:t>
      </w:r>
    </w:p>
    <w:p w14:paraId="04DEA376">
      <w:pPr>
        <w:ind w:firstLine="640"/>
        <w:rPr>
          <w:rFonts w:ascii="黑体" w:hAnsi="黑体" w:eastAsia="黑体"/>
          <w:szCs w:val="32"/>
        </w:rPr>
      </w:pPr>
      <w:r>
        <w:rPr>
          <w:rFonts w:hint="eastAsia" w:ascii="黑体" w:hAnsi="黑体" w:eastAsia="黑体"/>
          <w:szCs w:val="32"/>
        </w:rPr>
        <w:t>第三部分  2021年度部门决算情况说明</w:t>
      </w:r>
    </w:p>
    <w:p w14:paraId="6A52C89F">
      <w:pPr>
        <w:ind w:firstLine="640"/>
        <w:rPr>
          <w:rFonts w:ascii="黑体" w:hAnsi="黑体" w:eastAsia="黑体"/>
          <w:szCs w:val="32"/>
        </w:rPr>
      </w:pPr>
      <w:r>
        <w:rPr>
          <w:rFonts w:hint="eastAsia" w:ascii="黑体" w:hAnsi="黑体" w:eastAsia="黑体"/>
          <w:szCs w:val="32"/>
        </w:rPr>
        <w:t xml:space="preserve">第四部分 </w:t>
      </w:r>
      <w:r>
        <w:rPr>
          <w:rFonts w:ascii="黑体" w:hAnsi="黑体" w:eastAsia="黑体"/>
          <w:szCs w:val="32"/>
        </w:rPr>
        <w:t xml:space="preserve"> </w:t>
      </w:r>
      <w:r>
        <w:rPr>
          <w:rFonts w:hint="eastAsia" w:ascii="黑体" w:hAnsi="黑体" w:eastAsia="黑体"/>
          <w:szCs w:val="32"/>
        </w:rPr>
        <w:t>名词解释</w:t>
      </w:r>
    </w:p>
    <w:p w14:paraId="5C92D7B3">
      <w:pPr>
        <w:ind w:firstLine="640"/>
        <w:rPr>
          <w:rFonts w:hint="eastAsia" w:ascii="黑体" w:hAnsi="黑体" w:eastAsia="黑体"/>
          <w:szCs w:val="32"/>
        </w:rPr>
      </w:pPr>
      <w:r>
        <w:rPr>
          <w:rFonts w:hint="eastAsia" w:ascii="黑体" w:hAnsi="黑体" w:eastAsia="黑体"/>
          <w:szCs w:val="32"/>
        </w:rPr>
        <w:t xml:space="preserve">第五部分 </w:t>
      </w:r>
      <w:r>
        <w:rPr>
          <w:rFonts w:ascii="黑体" w:hAnsi="黑体" w:eastAsia="黑体"/>
          <w:szCs w:val="32"/>
        </w:rPr>
        <w:t xml:space="preserve"> </w:t>
      </w:r>
      <w:r>
        <w:rPr>
          <w:rFonts w:hint="eastAsia" w:ascii="黑体" w:hAnsi="黑体" w:eastAsia="黑体"/>
          <w:szCs w:val="32"/>
        </w:rPr>
        <w:t>附件</w:t>
      </w:r>
    </w:p>
    <w:p w14:paraId="08E5DE0D">
      <w:pPr>
        <w:ind w:firstLine="640"/>
        <w:rPr>
          <w:rFonts w:hint="eastAsia" w:ascii="黑体" w:hAnsi="黑体" w:eastAsia="黑体"/>
          <w:szCs w:val="32"/>
        </w:rPr>
      </w:pPr>
    </w:p>
    <w:p w14:paraId="2FDDFEC3">
      <w:pPr>
        <w:pStyle w:val="2"/>
        <w:rPr>
          <w:rFonts w:hint="eastAsia" w:ascii="黑体" w:hAnsi="黑体" w:eastAsia="黑体"/>
          <w:szCs w:val="32"/>
        </w:rPr>
      </w:pPr>
    </w:p>
    <w:p w14:paraId="73B34B82">
      <w:pPr>
        <w:pStyle w:val="2"/>
        <w:rPr>
          <w:rFonts w:hint="eastAsia" w:ascii="黑体" w:hAnsi="黑体" w:eastAsia="黑体"/>
          <w:szCs w:val="32"/>
        </w:rPr>
      </w:pPr>
    </w:p>
    <w:p w14:paraId="3470CEF6">
      <w:pPr>
        <w:pStyle w:val="2"/>
        <w:rPr>
          <w:rFonts w:hint="eastAsia" w:ascii="黑体" w:hAnsi="黑体" w:eastAsia="黑体"/>
          <w:szCs w:val="32"/>
        </w:rPr>
      </w:pPr>
    </w:p>
    <w:p w14:paraId="37A04E23">
      <w:pPr>
        <w:ind w:firstLine="640"/>
        <w:rPr>
          <w:rFonts w:hint="eastAsia" w:ascii="黑体" w:hAnsi="黑体" w:eastAsia="黑体"/>
          <w:szCs w:val="32"/>
        </w:rPr>
      </w:pPr>
    </w:p>
    <w:p w14:paraId="74154F49">
      <w:pPr>
        <w:keepNext w:val="0"/>
        <w:keepLines w:val="0"/>
        <w:pageBreakBefore w:val="0"/>
        <w:widowControl/>
        <w:tabs>
          <w:tab w:val="left" w:pos="900"/>
        </w:tabs>
        <w:kinsoku/>
        <w:wordWrap/>
        <w:overflowPunct/>
        <w:topLinePunct w:val="0"/>
        <w:autoSpaceDE/>
        <w:autoSpaceDN/>
        <w:bidi w:val="0"/>
        <w:adjustRightInd/>
        <w:snapToGrid/>
        <w:spacing w:line="200" w:lineRule="atLeast"/>
        <w:jc w:val="both"/>
        <w:textAlignment w:val="auto"/>
        <w:rPr>
          <w:rFonts w:ascii="黑体" w:hAnsi="黑体" w:eastAsia="黑体"/>
          <w:szCs w:val="32"/>
        </w:rPr>
      </w:pPr>
      <w:r>
        <w:rPr>
          <w:rFonts w:hint="eastAsia" w:ascii="黑体" w:hAnsi="黑体" w:eastAsia="黑体"/>
          <w:szCs w:val="32"/>
        </w:rPr>
        <w:t xml:space="preserve">第一部分  </w:t>
      </w:r>
      <w:r>
        <w:rPr>
          <w:rFonts w:hint="eastAsia" w:ascii="黑体" w:hAnsi="黑体" w:eastAsia="黑体" w:cs="黑体"/>
          <w:color w:val="auto"/>
          <w:sz w:val="32"/>
          <w:szCs w:val="32"/>
          <w:highlight w:val="none"/>
          <w:lang w:eastAsia="zh-CN"/>
        </w:rPr>
        <w:t>阳泉市城市管理综合行政执法队</w:t>
      </w:r>
      <w:r>
        <w:rPr>
          <w:rFonts w:hint="eastAsia" w:ascii="黑体" w:hAnsi="黑体" w:eastAsia="黑体"/>
          <w:szCs w:val="32"/>
        </w:rPr>
        <w:t>概况</w:t>
      </w:r>
    </w:p>
    <w:p w14:paraId="2B281B9A">
      <w:pPr>
        <w:keepNext w:val="0"/>
        <w:keepLines w:val="0"/>
        <w:pageBreakBefore w:val="0"/>
        <w:widowControl/>
        <w:kinsoku/>
        <w:wordWrap/>
        <w:overflowPunct/>
        <w:topLinePunct w:val="0"/>
        <w:autoSpaceDE/>
        <w:autoSpaceDN/>
        <w:bidi w:val="0"/>
        <w:adjustRightInd/>
        <w:snapToGrid/>
        <w:spacing w:line="600" w:lineRule="exact"/>
        <w:ind w:firstLine="548" w:firstLineChars="196"/>
        <w:jc w:val="left"/>
        <w:textAlignment w:val="auto"/>
        <w:outlineLvl w:val="1"/>
        <w:rPr>
          <w:rFonts w:hint="eastAsia" w:ascii="宋体" w:hAnsi="宋体" w:eastAsia="宋体" w:cs="宋体"/>
          <w:kern w:val="0"/>
          <w:sz w:val="28"/>
          <w:szCs w:val="28"/>
        </w:rPr>
      </w:pPr>
      <w:r>
        <w:rPr>
          <w:rFonts w:hint="eastAsia" w:ascii="宋体" w:hAnsi="宋体" w:eastAsia="宋体" w:cs="宋体"/>
          <w:kern w:val="0"/>
          <w:sz w:val="28"/>
          <w:szCs w:val="28"/>
        </w:rPr>
        <w:t>（一）主要职能</w:t>
      </w:r>
    </w:p>
    <w:p w14:paraId="3BF935DF">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1、负责贯彻实施有关城市管理方面的法律、法规及规章，治理和维护城市管理秩序。</w:t>
      </w:r>
    </w:p>
    <w:p w14:paraId="58F27F66">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2、组织起草有关城市管理综合行政执法方面的地方性法规、规章草案，研究提出完善城市管理综合行政执法体制的意见和措施。</w:t>
      </w:r>
    </w:p>
    <w:p w14:paraId="1015DAC2">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负责市区范围（城区、矿区）城市管理综合行政执法工作。具体包括：城乡规划、城市房屋征收与补偿、房地产市场、建筑市场、工程建设（含招投标、工程质量安全、建筑节能、施工图审、竣工验收）、违规设置户外广告、市政公用设施运行维护管理（含市政道路、污水管网、燃气、供热和排水管理）、市容环境卫生管理、工程渣土管理、园林绿化管理、社会生活噪声污染、建筑施工噪声污染、建筑施工扬尘污染、餐饮服务业油烟污染、露天烧烤污染、城市焚烧沥青塑料垃圾等烟尘和恶臭污染、露天焚烧秸秆落叶等烟尘污染、燃放烟花爆竹污染、户外公共场所无照经营、侵占城市道路、违法停放车辆、向城市河道倾倒废弃物和垃圾及违规取土、城市河道违法建筑物拆除和涉及城市供水、户外公共场所食品销售和餐饮摊点无证经营，以及违法回收贩卖药品等的行政处罚权。</w:t>
      </w:r>
    </w:p>
    <w:p w14:paraId="6FB7DE3F">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楷体"/>
          <w:szCs w:val="32"/>
        </w:rPr>
      </w:pPr>
      <w:r>
        <w:rPr>
          <w:rFonts w:hint="eastAsia" w:ascii="宋体" w:hAnsi="宋体" w:eastAsia="宋体" w:cs="宋体"/>
          <w:kern w:val="0"/>
          <w:sz w:val="28"/>
          <w:szCs w:val="28"/>
          <w:lang w:val="en-US" w:eastAsia="zh-CN"/>
        </w:rPr>
        <w:t>4、负责对开发区的执法工作进行指导、监督，协调解决执法中出现的重大问题。</w:t>
      </w:r>
    </w:p>
    <w:p w14:paraId="4DADB817">
      <w:pPr>
        <w:widowControl/>
        <w:spacing w:line="560" w:lineRule="exact"/>
        <w:ind w:firstLine="646"/>
        <w:jc w:val="left"/>
        <w:rPr>
          <w:rFonts w:hint="eastAsia" w:ascii="仿宋_GB2312" w:hAnsi="宋体" w:eastAsia="仿宋_GB2312" w:cs="宋体"/>
          <w:color w:val="auto"/>
          <w:kern w:val="0"/>
          <w:sz w:val="30"/>
          <w:szCs w:val="30"/>
          <w:highlight w:val="none"/>
        </w:rPr>
      </w:pPr>
      <w:r>
        <w:rPr>
          <w:rFonts w:hint="eastAsia" w:ascii="仿宋_GB2312" w:eastAsia="仿宋_GB2312"/>
          <w:color w:val="auto"/>
          <w:kern w:val="0"/>
          <w:sz w:val="30"/>
          <w:szCs w:val="30"/>
          <w:highlight w:val="none"/>
        </w:rPr>
        <w:t>（二）</w:t>
      </w:r>
      <w:r>
        <w:rPr>
          <w:rFonts w:hint="eastAsia" w:ascii="仿宋_GB2312" w:hAnsi="宋体" w:eastAsia="仿宋_GB2312" w:cs="宋体"/>
          <w:color w:val="auto"/>
          <w:kern w:val="0"/>
          <w:sz w:val="30"/>
          <w:szCs w:val="30"/>
          <w:highlight w:val="none"/>
        </w:rPr>
        <w:t>部门决算单位构成：</w:t>
      </w:r>
    </w:p>
    <w:p w14:paraId="26062107">
      <w:pPr>
        <w:widowControl/>
        <w:spacing w:line="560" w:lineRule="exact"/>
        <w:ind w:firstLine="840" w:firstLineChars="280"/>
        <w:jc w:val="left"/>
        <w:rPr>
          <w:rFonts w:hint="eastAsia" w:ascii="宋体" w:hAnsi="宋体" w:cs="宋体"/>
          <w:b/>
          <w:color w:val="auto"/>
          <w:kern w:val="0"/>
          <w:sz w:val="30"/>
          <w:szCs w:val="30"/>
          <w:highlight w:val="none"/>
        </w:rPr>
      </w:pPr>
      <w:r>
        <w:rPr>
          <w:rFonts w:hint="eastAsia" w:ascii="仿宋_GB2312" w:hAnsi="宋体" w:eastAsia="仿宋_GB2312" w:cs="宋体"/>
          <w:color w:val="auto"/>
          <w:kern w:val="0"/>
          <w:sz w:val="30"/>
          <w:szCs w:val="30"/>
          <w:highlight w:val="none"/>
        </w:rPr>
        <w:t>决算部门：</w:t>
      </w:r>
      <w:r>
        <w:rPr>
          <w:rFonts w:hint="eastAsia" w:ascii="宋体" w:hAnsi="宋体" w:cs="宋体"/>
          <w:b/>
          <w:color w:val="auto"/>
          <w:kern w:val="0"/>
          <w:sz w:val="30"/>
          <w:szCs w:val="30"/>
          <w:highlight w:val="none"/>
          <w:u w:val="single"/>
          <w:lang w:eastAsia="zh-CN"/>
        </w:rPr>
        <w:t>阳泉市城市管理综合行政执法队</w:t>
      </w:r>
    </w:p>
    <w:p w14:paraId="7BD14F45">
      <w:pPr>
        <w:widowControl/>
        <w:spacing w:line="560" w:lineRule="exact"/>
        <w:ind w:firstLine="840" w:firstLineChars="280"/>
        <w:jc w:val="left"/>
        <w:rPr>
          <w:rFonts w:hint="eastAsia" w:ascii="仿宋_GB2312" w:hAnsi="宋体" w:eastAsia="仿宋_GB2312" w:cs="宋体"/>
          <w:color w:val="auto"/>
          <w:kern w:val="0"/>
          <w:sz w:val="30"/>
          <w:szCs w:val="30"/>
          <w:highlight w:val="none"/>
        </w:rPr>
      </w:pPr>
    </w:p>
    <w:tbl>
      <w:tblPr>
        <w:tblStyle w:val="5"/>
        <w:tblW w:w="7200" w:type="dxa"/>
        <w:tblInd w:w="1005" w:type="dxa"/>
        <w:tblLayout w:type="autofit"/>
        <w:tblCellMar>
          <w:top w:w="0" w:type="dxa"/>
          <w:left w:w="0" w:type="dxa"/>
          <w:bottom w:w="0" w:type="dxa"/>
          <w:right w:w="0" w:type="dxa"/>
        </w:tblCellMar>
      </w:tblPr>
      <w:tblGrid>
        <w:gridCol w:w="1800"/>
        <w:gridCol w:w="5400"/>
      </w:tblGrid>
      <w:tr w14:paraId="4D7B3232">
        <w:tblPrEx>
          <w:tblCellMar>
            <w:top w:w="0" w:type="dxa"/>
            <w:left w:w="0" w:type="dxa"/>
            <w:bottom w:w="0" w:type="dxa"/>
            <w:right w:w="0" w:type="dxa"/>
          </w:tblCellMar>
        </w:tblPrEx>
        <w:trPr>
          <w:trHeight w:val="465" w:hRule="atLeast"/>
        </w:trPr>
        <w:tc>
          <w:tcPr>
            <w:tcW w:w="180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7B8927C">
            <w:pPr>
              <w:widowControl/>
              <w:spacing w:line="240" w:lineRule="auto"/>
              <w:ind w:firstLine="555"/>
              <w:jc w:val="left"/>
              <w:rPr>
                <w:rFonts w:hint="eastAsia" w:ascii="仿宋_GB2312" w:hAnsi="宋体" w:eastAsia="仿宋_GB2312" w:cs="宋体"/>
                <w:color w:val="auto"/>
                <w:kern w:val="0"/>
                <w:sz w:val="28"/>
                <w:szCs w:val="28"/>
                <w:highlight w:val="none"/>
              </w:rPr>
            </w:pPr>
            <w:r>
              <w:rPr>
                <w:rFonts w:hint="eastAsia" w:ascii="仿宋_GB2312" w:eastAsia="仿宋_GB2312"/>
                <w:color w:val="auto"/>
                <w:kern w:val="0"/>
                <w:sz w:val="28"/>
                <w:szCs w:val="28"/>
                <w:highlight w:val="none"/>
              </w:rPr>
              <w:t>序号</w:t>
            </w:r>
          </w:p>
        </w:tc>
        <w:tc>
          <w:tcPr>
            <w:tcW w:w="540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70AC1C62">
            <w:pPr>
              <w:widowControl/>
              <w:tabs>
                <w:tab w:val="left" w:pos="1980"/>
                <w:tab w:val="center" w:pos="2935"/>
              </w:tabs>
              <w:spacing w:line="240" w:lineRule="auto"/>
              <w:ind w:left="0" w:leftChars="0" w:firstLine="1400" w:firstLineChars="500"/>
              <w:jc w:val="left"/>
              <w:rPr>
                <w:rFonts w:hint="eastAsia" w:ascii="仿宋_GB2312" w:hAnsi="宋体" w:eastAsia="仿宋_GB2312" w:cs="宋体"/>
                <w:color w:val="auto"/>
                <w:kern w:val="0"/>
                <w:sz w:val="28"/>
                <w:szCs w:val="28"/>
                <w:highlight w:val="none"/>
              </w:rPr>
            </w:pPr>
            <w:r>
              <w:rPr>
                <w:rFonts w:hint="eastAsia" w:ascii="仿宋_GB2312" w:eastAsia="仿宋_GB2312"/>
                <w:color w:val="auto"/>
                <w:kern w:val="0"/>
                <w:sz w:val="28"/>
                <w:szCs w:val="28"/>
                <w:highlight w:val="none"/>
              </w:rPr>
              <w:t>所属单位名称</w:t>
            </w:r>
          </w:p>
        </w:tc>
      </w:tr>
      <w:tr w14:paraId="2CA9657B">
        <w:tblPrEx>
          <w:tblCellMar>
            <w:top w:w="0" w:type="dxa"/>
            <w:left w:w="0" w:type="dxa"/>
            <w:bottom w:w="0" w:type="dxa"/>
            <w:right w:w="0" w:type="dxa"/>
          </w:tblCellMar>
        </w:tblPrEx>
        <w:trPr>
          <w:trHeight w:val="465" w:hRule="atLeast"/>
        </w:trPr>
        <w:tc>
          <w:tcPr>
            <w:tcW w:w="18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8E851E9">
            <w:pPr>
              <w:widowControl/>
              <w:spacing w:line="240" w:lineRule="auto"/>
              <w:ind w:firstLine="555"/>
              <w:jc w:val="left"/>
              <w:rPr>
                <w:rFonts w:hint="eastAsia" w:ascii="仿宋_GB2312" w:hAnsi="宋体" w:eastAsia="仿宋_GB2312" w:cs="宋体"/>
                <w:color w:val="auto"/>
                <w:kern w:val="0"/>
                <w:sz w:val="28"/>
                <w:szCs w:val="28"/>
                <w:highlight w:val="none"/>
              </w:rPr>
            </w:pPr>
            <w:r>
              <w:rPr>
                <w:rFonts w:hint="eastAsia" w:ascii="仿宋_GB2312" w:eastAsia="仿宋_GB2312"/>
                <w:color w:val="auto"/>
                <w:kern w:val="0"/>
                <w:sz w:val="28"/>
                <w:szCs w:val="28"/>
                <w:highlight w:val="none"/>
              </w:rPr>
              <w:t>1</w:t>
            </w:r>
          </w:p>
        </w:tc>
        <w:tc>
          <w:tcPr>
            <w:tcW w:w="540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1867815F">
            <w:pPr>
              <w:widowControl/>
              <w:spacing w:line="240" w:lineRule="auto"/>
              <w:ind w:right="1520" w:rightChars="475"/>
              <w:jc w:val="left"/>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lang w:eastAsia="zh-CN"/>
              </w:rPr>
              <w:t>阳泉市城市管理综合行政执队</w:t>
            </w:r>
          </w:p>
        </w:tc>
      </w:tr>
      <w:tr w14:paraId="41FB40CF">
        <w:tblPrEx>
          <w:tblCellMar>
            <w:top w:w="0" w:type="dxa"/>
            <w:left w:w="0" w:type="dxa"/>
            <w:bottom w:w="0" w:type="dxa"/>
            <w:right w:w="0" w:type="dxa"/>
          </w:tblCellMar>
        </w:tblPrEx>
        <w:trPr>
          <w:trHeight w:val="465" w:hRule="atLeast"/>
        </w:trPr>
        <w:tc>
          <w:tcPr>
            <w:tcW w:w="18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6406732">
            <w:pPr>
              <w:widowControl/>
              <w:spacing w:line="240" w:lineRule="auto"/>
              <w:ind w:firstLine="555"/>
              <w:jc w:val="left"/>
              <w:rPr>
                <w:rFonts w:hint="eastAsia" w:ascii="仿宋_GB2312" w:hAnsi="宋体" w:eastAsia="仿宋_GB2312" w:cs="宋体"/>
                <w:color w:val="auto"/>
                <w:kern w:val="0"/>
                <w:sz w:val="28"/>
                <w:szCs w:val="28"/>
                <w:highlight w:val="none"/>
              </w:rPr>
            </w:pPr>
            <w:r>
              <w:rPr>
                <w:rFonts w:hint="eastAsia" w:ascii="仿宋_GB2312" w:eastAsia="仿宋_GB2312"/>
                <w:color w:val="auto"/>
                <w:kern w:val="0"/>
                <w:sz w:val="28"/>
                <w:szCs w:val="28"/>
                <w:highlight w:val="none"/>
              </w:rPr>
              <w:t>2</w:t>
            </w:r>
          </w:p>
        </w:tc>
        <w:tc>
          <w:tcPr>
            <w:tcW w:w="540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38A86257">
            <w:pPr>
              <w:widowControl/>
              <w:spacing w:line="240" w:lineRule="auto"/>
              <w:jc w:val="left"/>
              <w:rPr>
                <w:rFonts w:hint="eastAsia" w:ascii="仿宋_GB2312" w:hAnsi="宋体" w:eastAsia="仿宋_GB2312" w:cs="宋体"/>
                <w:color w:val="auto"/>
                <w:kern w:val="0"/>
                <w:sz w:val="24"/>
                <w:highlight w:val="none"/>
              </w:rPr>
            </w:pPr>
          </w:p>
        </w:tc>
      </w:tr>
      <w:tr w14:paraId="37FD5408">
        <w:tblPrEx>
          <w:tblCellMar>
            <w:top w:w="0" w:type="dxa"/>
            <w:left w:w="0" w:type="dxa"/>
            <w:bottom w:w="0" w:type="dxa"/>
            <w:right w:w="0" w:type="dxa"/>
          </w:tblCellMar>
        </w:tblPrEx>
        <w:trPr>
          <w:trHeight w:val="465" w:hRule="atLeast"/>
        </w:trPr>
        <w:tc>
          <w:tcPr>
            <w:tcW w:w="18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F230460">
            <w:pPr>
              <w:widowControl/>
              <w:spacing w:line="240" w:lineRule="auto"/>
              <w:ind w:firstLine="555"/>
              <w:jc w:val="left"/>
              <w:rPr>
                <w:rFonts w:hint="eastAsia" w:ascii="仿宋_GB2312" w:hAnsi="宋体" w:eastAsia="仿宋_GB2312" w:cs="宋体"/>
                <w:color w:val="auto"/>
                <w:kern w:val="0"/>
                <w:sz w:val="28"/>
                <w:szCs w:val="28"/>
                <w:highlight w:val="none"/>
              </w:rPr>
            </w:pPr>
            <w:r>
              <w:rPr>
                <w:rFonts w:hint="eastAsia" w:ascii="仿宋_GB2312" w:eastAsia="仿宋_GB2312"/>
                <w:color w:val="auto"/>
                <w:kern w:val="0"/>
                <w:sz w:val="28"/>
                <w:szCs w:val="28"/>
                <w:highlight w:val="none"/>
              </w:rPr>
              <w:t>3</w:t>
            </w:r>
          </w:p>
        </w:tc>
        <w:tc>
          <w:tcPr>
            <w:tcW w:w="540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6B8405A7">
            <w:pPr>
              <w:widowControl/>
              <w:spacing w:line="240" w:lineRule="auto"/>
              <w:jc w:val="left"/>
              <w:rPr>
                <w:rFonts w:hint="eastAsia" w:ascii="仿宋_GB2312" w:hAnsi="宋体" w:eastAsia="仿宋_GB2312" w:cs="宋体"/>
                <w:color w:val="auto"/>
                <w:kern w:val="0"/>
                <w:sz w:val="24"/>
                <w:highlight w:val="none"/>
              </w:rPr>
            </w:pPr>
          </w:p>
        </w:tc>
      </w:tr>
    </w:tbl>
    <w:p w14:paraId="37AA7FB5">
      <w:pPr>
        <w:ind w:firstLine="640"/>
        <w:rPr>
          <w:rFonts w:hint="eastAsia" w:ascii="仿宋_GB2312" w:hAnsi="楷体"/>
          <w:szCs w:val="32"/>
        </w:rPr>
      </w:pPr>
    </w:p>
    <w:p w14:paraId="19E10C81">
      <w:pPr>
        <w:ind w:firstLine="640"/>
        <w:rPr>
          <w:rFonts w:hint="eastAsia" w:ascii="黑体" w:hAnsi="黑体" w:eastAsia="黑体"/>
          <w:szCs w:val="32"/>
        </w:rPr>
      </w:pPr>
      <w:r>
        <w:rPr>
          <w:rFonts w:hint="eastAsia" w:ascii="黑体" w:hAnsi="黑体" w:eastAsia="黑体"/>
          <w:szCs w:val="32"/>
        </w:rPr>
        <w:t>第二部分  20</w:t>
      </w:r>
      <w:r>
        <w:rPr>
          <w:rFonts w:ascii="黑体" w:hAnsi="黑体" w:eastAsia="黑体"/>
          <w:szCs w:val="32"/>
        </w:rPr>
        <w:t>2</w:t>
      </w:r>
      <w:r>
        <w:rPr>
          <w:rFonts w:hint="eastAsia" w:ascii="黑体" w:hAnsi="黑体" w:eastAsia="黑体"/>
          <w:szCs w:val="32"/>
          <w:lang w:val="en-US" w:eastAsia="zh-CN"/>
        </w:rPr>
        <w:t>1</w:t>
      </w:r>
      <w:r>
        <w:rPr>
          <w:rFonts w:hint="eastAsia" w:ascii="黑体" w:hAnsi="黑体" w:eastAsia="黑体"/>
          <w:szCs w:val="32"/>
        </w:rPr>
        <w:t>年度部门决算报表</w:t>
      </w:r>
    </w:p>
    <w:p w14:paraId="48E1AADC">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楷体"/>
          <w:szCs w:val="32"/>
        </w:rPr>
      </w:pPr>
      <w:r>
        <w:rPr>
          <w:rFonts w:hint="eastAsia" w:ascii="仿宋_GB2312" w:hAnsi="楷体"/>
          <w:szCs w:val="32"/>
          <w:lang w:val="en-US" w:eastAsia="zh-CN"/>
        </w:rPr>
        <w:t>一、</w:t>
      </w:r>
      <w:r>
        <w:rPr>
          <w:rFonts w:hint="eastAsia" w:ascii="仿宋_GB2312" w:hAnsi="楷体"/>
          <w:szCs w:val="32"/>
        </w:rPr>
        <w:t>收入支出决算总表</w:t>
      </w:r>
    </w:p>
    <w:p w14:paraId="54C08EF7">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楷体"/>
          <w:szCs w:val="32"/>
        </w:rPr>
      </w:pPr>
      <w:r>
        <w:rPr>
          <w:rFonts w:hint="eastAsia" w:ascii="仿宋_GB2312" w:hAnsi="楷体"/>
          <w:szCs w:val="32"/>
          <w:lang w:eastAsia="zh-CN"/>
        </w:rPr>
        <w:t>二、</w:t>
      </w:r>
      <w:r>
        <w:rPr>
          <w:rFonts w:hint="eastAsia" w:ascii="仿宋_GB2312" w:hAnsi="楷体"/>
          <w:szCs w:val="32"/>
        </w:rPr>
        <w:t>收入决算表</w:t>
      </w:r>
    </w:p>
    <w:p w14:paraId="20B06044">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楷体"/>
          <w:szCs w:val="32"/>
        </w:rPr>
      </w:pPr>
      <w:r>
        <w:rPr>
          <w:rFonts w:hint="eastAsia" w:ascii="仿宋_GB2312" w:hAnsi="楷体"/>
          <w:szCs w:val="32"/>
          <w:lang w:val="en-US" w:eastAsia="zh-CN"/>
        </w:rPr>
        <w:t>三、</w:t>
      </w:r>
      <w:r>
        <w:rPr>
          <w:rFonts w:hint="eastAsia" w:ascii="仿宋_GB2312" w:hAnsi="楷体"/>
          <w:szCs w:val="32"/>
        </w:rPr>
        <w:t>支出决算表</w:t>
      </w:r>
    </w:p>
    <w:p w14:paraId="09BFD281">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楷体"/>
          <w:szCs w:val="32"/>
        </w:rPr>
      </w:pPr>
      <w:r>
        <w:rPr>
          <w:rFonts w:hint="eastAsia" w:ascii="仿宋_GB2312" w:hAnsi="楷体"/>
          <w:szCs w:val="32"/>
          <w:lang w:val="en-US" w:eastAsia="zh-CN"/>
        </w:rPr>
        <w:t>四、</w:t>
      </w:r>
      <w:r>
        <w:rPr>
          <w:rFonts w:hint="eastAsia" w:ascii="仿宋_GB2312" w:hAnsi="楷体"/>
          <w:szCs w:val="32"/>
        </w:rPr>
        <w:t>财政拨款收入支出决算总表</w:t>
      </w:r>
    </w:p>
    <w:p w14:paraId="1171432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楷体"/>
          <w:szCs w:val="32"/>
        </w:rPr>
      </w:pPr>
      <w:r>
        <w:rPr>
          <w:rFonts w:hint="eastAsia" w:ascii="仿宋_GB2312" w:hAnsi="楷体"/>
          <w:szCs w:val="32"/>
          <w:lang w:val="en-US" w:eastAsia="zh-CN"/>
        </w:rPr>
        <w:t>五、</w:t>
      </w:r>
      <w:r>
        <w:rPr>
          <w:rFonts w:hint="eastAsia" w:ascii="仿宋_GB2312" w:hAnsi="楷体"/>
          <w:szCs w:val="32"/>
        </w:rPr>
        <w:t>一般公共预算财政拨款支出决算表（一）</w:t>
      </w:r>
    </w:p>
    <w:p w14:paraId="1BFD1E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楷体"/>
          <w:szCs w:val="32"/>
        </w:rPr>
      </w:pPr>
      <w:r>
        <w:rPr>
          <w:rFonts w:hint="eastAsia" w:ascii="仿宋_GB2312" w:hAnsi="楷体"/>
          <w:szCs w:val="32"/>
          <w:lang w:val="en-US" w:eastAsia="zh-CN"/>
        </w:rPr>
        <w:t>六、</w:t>
      </w:r>
      <w:r>
        <w:rPr>
          <w:rFonts w:hint="eastAsia" w:ascii="仿宋_GB2312" w:hAnsi="楷体"/>
          <w:szCs w:val="32"/>
        </w:rPr>
        <w:t>一般公共预算财政拨款支出决算表（二）</w:t>
      </w:r>
    </w:p>
    <w:p w14:paraId="19AAC4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楷体"/>
          <w:szCs w:val="32"/>
        </w:rPr>
      </w:pPr>
      <w:r>
        <w:rPr>
          <w:rFonts w:hint="eastAsia" w:ascii="仿宋_GB2312" w:hAnsi="楷体"/>
          <w:szCs w:val="32"/>
          <w:lang w:val="en-US" w:eastAsia="zh-CN"/>
        </w:rPr>
        <w:t>七、</w:t>
      </w:r>
      <w:r>
        <w:rPr>
          <w:rFonts w:hint="eastAsia" w:ascii="仿宋_GB2312" w:hAnsi="楷体"/>
          <w:szCs w:val="32"/>
        </w:rPr>
        <w:t>政府性基金预算财政拨款收入支出决算表</w:t>
      </w:r>
    </w:p>
    <w:p w14:paraId="361CCB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楷体"/>
          <w:szCs w:val="32"/>
        </w:rPr>
      </w:pPr>
      <w:r>
        <w:rPr>
          <w:rFonts w:hint="eastAsia" w:ascii="仿宋_GB2312" w:hAnsi="楷体"/>
          <w:szCs w:val="32"/>
          <w:lang w:val="en-US" w:eastAsia="zh-CN"/>
        </w:rPr>
        <w:t>八、</w:t>
      </w:r>
      <w:r>
        <w:rPr>
          <w:rFonts w:hint="eastAsia" w:ascii="仿宋_GB2312" w:hAnsi="楷体"/>
          <w:szCs w:val="32"/>
        </w:rPr>
        <w:t>国有资本经营预算财政拨款支出决算表</w:t>
      </w:r>
    </w:p>
    <w:p w14:paraId="68889BC4">
      <w:pPr>
        <w:pStyle w:val="2"/>
        <w:rPr>
          <w:rFonts w:hint="eastAsia" w:ascii="黑体" w:hAnsi="黑体" w:eastAsia="黑体"/>
          <w:szCs w:val="32"/>
        </w:rPr>
      </w:pPr>
    </w:p>
    <w:p w14:paraId="61B12222">
      <w:pPr>
        <w:ind w:firstLine="640"/>
        <w:rPr>
          <w:rFonts w:hint="eastAsia" w:ascii="仿宋_GB2312" w:hAnsi="楷体"/>
          <w:szCs w:val="32"/>
        </w:rPr>
      </w:pPr>
      <w:r>
        <w:rPr>
          <w:rFonts w:hint="eastAsia" w:ascii="黑体" w:hAnsi="黑体" w:eastAsia="黑体"/>
          <w:szCs w:val="32"/>
        </w:rPr>
        <w:t>第三部分  2021年度部门决算情况说明（可根据实际情况附图说明）</w:t>
      </w:r>
    </w:p>
    <w:p w14:paraId="7EA4D97A">
      <w:pPr>
        <w:numPr>
          <w:ilvl w:val="0"/>
          <w:numId w:val="1"/>
        </w:numPr>
        <w:ind w:firstLine="643"/>
        <w:rPr>
          <w:rFonts w:hint="eastAsia" w:ascii="仿宋_GB2312"/>
          <w:b/>
          <w:szCs w:val="32"/>
        </w:rPr>
      </w:pPr>
      <w:r>
        <w:rPr>
          <w:rFonts w:hint="eastAsia" w:ascii="仿宋_GB2312"/>
          <w:b/>
          <w:szCs w:val="32"/>
        </w:rPr>
        <w:t>收入支出决算总体情况说明</w:t>
      </w:r>
    </w:p>
    <w:p w14:paraId="715A9CFC">
      <w:pPr>
        <w:ind w:firstLine="640"/>
        <w:rPr>
          <w:rFonts w:hint="eastAsia" w:ascii="仿宋_GB2312"/>
          <w:szCs w:val="32"/>
        </w:rPr>
      </w:pPr>
      <w:r>
        <w:rPr>
          <w:rFonts w:hint="eastAsia" w:ascii="仿宋_GB2312"/>
          <w:szCs w:val="32"/>
        </w:rPr>
        <w:t>2021年度收入</w:t>
      </w:r>
      <w:r>
        <w:rPr>
          <w:rFonts w:ascii="仿宋_GB2312"/>
          <w:szCs w:val="32"/>
        </w:rPr>
        <w:t>总计</w:t>
      </w:r>
      <w:r>
        <w:rPr>
          <w:rFonts w:hint="eastAsia" w:ascii="仿宋_GB2312"/>
          <w:szCs w:val="32"/>
          <w:lang w:val="en-US" w:eastAsia="zh-CN"/>
        </w:rPr>
        <w:t>2927.29</w:t>
      </w:r>
      <w:r>
        <w:rPr>
          <w:rFonts w:hint="eastAsia" w:ascii="仿宋_GB2312"/>
          <w:szCs w:val="32"/>
        </w:rPr>
        <w:t>万元、支出总计</w:t>
      </w:r>
      <w:r>
        <w:rPr>
          <w:rFonts w:hint="eastAsia" w:ascii="仿宋_GB2312"/>
          <w:szCs w:val="32"/>
          <w:lang w:val="en-US" w:eastAsia="zh-CN"/>
        </w:rPr>
        <w:t>2927.29</w:t>
      </w:r>
      <w:r>
        <w:rPr>
          <w:rFonts w:hint="eastAsia" w:ascii="仿宋_GB2312"/>
          <w:szCs w:val="32"/>
        </w:rPr>
        <w:t>万元。与2020年相比，收入总计</w:t>
      </w:r>
      <w:r>
        <w:rPr>
          <w:rFonts w:hint="eastAsia" w:ascii="仿宋_GB2312"/>
          <w:szCs w:val="32"/>
          <w:lang w:val="en-US" w:eastAsia="zh-CN"/>
        </w:rPr>
        <w:t>增加112.68</w:t>
      </w:r>
      <w:r>
        <w:rPr>
          <w:rFonts w:hint="eastAsia" w:ascii="仿宋_GB2312"/>
          <w:szCs w:val="32"/>
        </w:rPr>
        <w:t>万元，</w:t>
      </w:r>
      <w:r>
        <w:rPr>
          <w:rFonts w:hint="eastAsia" w:ascii="仿宋_GB2312"/>
          <w:szCs w:val="32"/>
          <w:lang w:val="en-US" w:eastAsia="zh-CN"/>
        </w:rPr>
        <w:t>增加0.3</w:t>
      </w:r>
      <w:r>
        <w:rPr>
          <w:rFonts w:hint="eastAsia" w:ascii="仿宋_GB2312"/>
          <w:szCs w:val="32"/>
        </w:rPr>
        <w:t>%，</w:t>
      </w:r>
      <w:r>
        <w:rPr>
          <w:rFonts w:ascii="仿宋_GB2312"/>
          <w:szCs w:val="32"/>
        </w:rPr>
        <w:t>支出</w:t>
      </w:r>
      <w:r>
        <w:rPr>
          <w:rFonts w:hint="eastAsia" w:ascii="仿宋_GB2312"/>
          <w:szCs w:val="32"/>
        </w:rPr>
        <w:t>总计</w:t>
      </w:r>
      <w:r>
        <w:rPr>
          <w:rFonts w:hint="eastAsia" w:ascii="仿宋_GB2312"/>
          <w:szCs w:val="32"/>
          <w:lang w:val="en-US" w:eastAsia="zh-CN"/>
        </w:rPr>
        <w:t>增加112.68</w:t>
      </w:r>
      <w:r>
        <w:rPr>
          <w:rFonts w:hint="eastAsia" w:ascii="仿宋_GB2312"/>
          <w:szCs w:val="32"/>
        </w:rPr>
        <w:t>万元，</w:t>
      </w:r>
      <w:r>
        <w:rPr>
          <w:rFonts w:hint="eastAsia" w:ascii="仿宋_GB2312"/>
          <w:szCs w:val="32"/>
          <w:lang w:val="en-US" w:eastAsia="zh-CN"/>
        </w:rPr>
        <w:t>增加0.3</w:t>
      </w:r>
      <w:r>
        <w:rPr>
          <w:rFonts w:hint="eastAsia" w:ascii="仿宋_GB2312"/>
          <w:szCs w:val="32"/>
        </w:rPr>
        <w:t>%。主要原因</w:t>
      </w:r>
      <w:r>
        <w:rPr>
          <w:rFonts w:hint="eastAsia" w:ascii="仿宋_GB2312"/>
          <w:szCs w:val="32"/>
          <w:lang w:val="en-US" w:eastAsia="zh-CN"/>
        </w:rPr>
        <w:t>是为分队购置办公家具及办公用品耗材等经费增加</w:t>
      </w:r>
      <w:r>
        <w:rPr>
          <w:rFonts w:hint="eastAsia" w:ascii="仿宋_GB2312"/>
          <w:szCs w:val="32"/>
        </w:rPr>
        <w:t>。</w:t>
      </w:r>
    </w:p>
    <w:p w14:paraId="7AF8EA76">
      <w:pPr>
        <w:spacing w:line="580" w:lineRule="exact"/>
        <w:ind w:firstLine="643"/>
        <w:outlineLvl w:val="0"/>
        <w:rPr>
          <w:rFonts w:hint="eastAsia" w:ascii="仿宋_GB2312"/>
          <w:szCs w:val="32"/>
        </w:rPr>
      </w:pPr>
      <w:r>
        <w:rPr>
          <w:rFonts w:hint="eastAsia" w:ascii="仿宋_GB2312"/>
          <w:b/>
          <w:szCs w:val="32"/>
        </w:rPr>
        <w:t>二、收入决算情况说明</w:t>
      </w:r>
    </w:p>
    <w:p w14:paraId="19D1A07D">
      <w:pPr>
        <w:spacing w:line="580" w:lineRule="exact"/>
        <w:ind w:firstLine="640"/>
      </w:pPr>
      <w:r>
        <w:rPr>
          <w:rFonts w:ascii="仿宋_GB2312"/>
          <w:szCs w:val="32"/>
        </w:rPr>
        <w:t>202</w:t>
      </w:r>
      <w:r>
        <w:rPr>
          <w:rFonts w:hint="eastAsia" w:ascii="仿宋_GB2312"/>
          <w:szCs w:val="32"/>
          <w:lang w:val="en-US" w:eastAsia="zh-CN"/>
        </w:rPr>
        <w:t>1</w:t>
      </w:r>
      <w:r>
        <w:rPr>
          <w:rFonts w:hint="eastAsia" w:ascii="仿宋_GB2312"/>
          <w:szCs w:val="32"/>
        </w:rPr>
        <w:t>年度收入合计</w:t>
      </w:r>
      <w:r>
        <w:rPr>
          <w:rFonts w:hint="eastAsia" w:ascii="仿宋_GB2312"/>
          <w:szCs w:val="32"/>
          <w:lang w:val="en-US" w:eastAsia="zh-CN"/>
        </w:rPr>
        <w:t>2927.29</w:t>
      </w:r>
      <w:r>
        <w:rPr>
          <w:rFonts w:hint="eastAsia" w:ascii="仿宋_GB2312"/>
          <w:szCs w:val="32"/>
        </w:rPr>
        <w:t>万元，</w:t>
      </w:r>
      <w:r>
        <w:rPr>
          <w:rFonts w:hint="eastAsia" w:ascii="仿宋_GB2312"/>
          <w:szCs w:val="32"/>
          <w:lang w:val="en-US" w:eastAsia="zh-CN"/>
        </w:rPr>
        <w:t>其中财政拨款收入2927.29</w:t>
      </w:r>
      <w:r>
        <w:rPr>
          <w:rFonts w:hint="eastAsia" w:ascii="仿宋_GB2312"/>
          <w:szCs w:val="32"/>
        </w:rPr>
        <w:t>万元</w:t>
      </w:r>
      <w:r>
        <w:rPr>
          <w:rFonts w:hint="eastAsia" w:ascii="仿宋_GB2312"/>
          <w:szCs w:val="32"/>
          <w:lang w:eastAsia="zh-CN"/>
        </w:rPr>
        <w:t>，</w:t>
      </w:r>
      <w:r>
        <w:rPr>
          <w:rFonts w:hint="eastAsia" w:ascii="仿宋_GB2312"/>
          <w:szCs w:val="32"/>
          <w:lang w:val="en-US" w:eastAsia="zh-CN"/>
        </w:rPr>
        <w:t>占100%。</w:t>
      </w:r>
    </w:p>
    <w:p w14:paraId="5137F56A">
      <w:pPr>
        <w:spacing w:line="580" w:lineRule="exact"/>
        <w:ind w:firstLine="643"/>
        <w:rPr>
          <w:rFonts w:hint="eastAsia" w:ascii="仿宋_GB2312"/>
          <w:b/>
          <w:szCs w:val="32"/>
        </w:rPr>
      </w:pPr>
      <w:r>
        <w:rPr>
          <w:rFonts w:hint="eastAsia" w:ascii="仿宋_GB2312"/>
          <w:b/>
          <w:szCs w:val="32"/>
        </w:rPr>
        <w:t>三、支出决算情况说明</w:t>
      </w:r>
    </w:p>
    <w:p w14:paraId="711D74D5">
      <w:pPr>
        <w:spacing w:line="580" w:lineRule="exact"/>
        <w:ind w:firstLine="640"/>
        <w:rPr>
          <w:rFonts w:hint="eastAsia" w:ascii="仿宋_GB2312"/>
          <w:szCs w:val="32"/>
        </w:rPr>
      </w:pPr>
      <w:r>
        <w:rPr>
          <w:rFonts w:ascii="仿宋_GB2312"/>
          <w:szCs w:val="32"/>
        </w:rPr>
        <w:t>202</w:t>
      </w:r>
      <w:r>
        <w:rPr>
          <w:rFonts w:hint="eastAsia" w:ascii="仿宋_GB2312"/>
          <w:szCs w:val="32"/>
          <w:lang w:val="en-US" w:eastAsia="zh-CN"/>
        </w:rPr>
        <w:t>1</w:t>
      </w:r>
      <w:r>
        <w:rPr>
          <w:rFonts w:hint="eastAsia" w:ascii="仿宋_GB2312"/>
          <w:szCs w:val="32"/>
        </w:rPr>
        <w:t>年度支出合计</w:t>
      </w:r>
      <w:r>
        <w:rPr>
          <w:rFonts w:hint="eastAsia" w:ascii="仿宋_GB2312"/>
          <w:szCs w:val="32"/>
          <w:lang w:val="en-US" w:eastAsia="zh-CN"/>
        </w:rPr>
        <w:t>2927.29</w:t>
      </w:r>
      <w:r>
        <w:rPr>
          <w:rFonts w:hint="eastAsia" w:ascii="仿宋_GB2312"/>
          <w:szCs w:val="32"/>
        </w:rPr>
        <w:t>万元，其中：基本支出</w:t>
      </w:r>
      <w:r>
        <w:rPr>
          <w:rFonts w:hint="eastAsia" w:ascii="仿宋_GB2312"/>
          <w:szCs w:val="32"/>
          <w:lang w:val="en-US" w:eastAsia="zh-CN"/>
        </w:rPr>
        <w:t>2040.06</w:t>
      </w:r>
      <w:r>
        <w:rPr>
          <w:rFonts w:hint="eastAsia" w:ascii="仿宋_GB2312"/>
          <w:szCs w:val="32"/>
        </w:rPr>
        <w:t>万元，占比</w:t>
      </w:r>
      <w:r>
        <w:rPr>
          <w:rFonts w:hint="eastAsia" w:ascii="仿宋_GB2312"/>
          <w:szCs w:val="32"/>
          <w:lang w:val="en-US" w:eastAsia="zh-CN"/>
        </w:rPr>
        <w:t>69</w:t>
      </w:r>
      <w:r>
        <w:rPr>
          <w:rFonts w:hint="eastAsia" w:ascii="仿宋_GB2312"/>
          <w:szCs w:val="32"/>
        </w:rPr>
        <w:t>%</w:t>
      </w:r>
      <w:r>
        <w:rPr>
          <w:rFonts w:hint="eastAsia" w:ascii="仿宋_GB2312"/>
          <w:szCs w:val="32"/>
          <w:lang w:val="en-US" w:eastAsia="zh-CN"/>
        </w:rPr>
        <w:t xml:space="preserve"> </w:t>
      </w:r>
      <w:r>
        <w:rPr>
          <w:rFonts w:hint="eastAsia" w:ascii="仿宋_GB2312"/>
          <w:szCs w:val="32"/>
        </w:rPr>
        <w:t>；项目支出</w:t>
      </w:r>
      <w:r>
        <w:rPr>
          <w:rFonts w:hint="eastAsia" w:ascii="仿宋_GB2312"/>
          <w:szCs w:val="32"/>
          <w:lang w:val="en-US" w:eastAsia="zh-CN"/>
        </w:rPr>
        <w:t>887.2</w:t>
      </w:r>
      <w:r>
        <w:rPr>
          <w:rFonts w:hint="eastAsia" w:ascii="仿宋_GB2312"/>
          <w:szCs w:val="32"/>
        </w:rPr>
        <w:t>万元，占比</w:t>
      </w:r>
      <w:r>
        <w:rPr>
          <w:rFonts w:hint="eastAsia" w:ascii="仿宋_GB2312"/>
          <w:szCs w:val="32"/>
          <w:lang w:val="en-US" w:eastAsia="zh-CN"/>
        </w:rPr>
        <w:t>31</w:t>
      </w:r>
      <w:r>
        <w:rPr>
          <w:rFonts w:hint="eastAsia" w:ascii="仿宋_GB2312"/>
          <w:szCs w:val="32"/>
        </w:rPr>
        <w:t>%。</w:t>
      </w:r>
    </w:p>
    <w:p w14:paraId="4EDE6263">
      <w:pPr>
        <w:spacing w:line="580" w:lineRule="exact"/>
        <w:ind w:firstLine="643"/>
        <w:rPr>
          <w:rFonts w:hint="eastAsia" w:ascii="仿宋_GB2312"/>
          <w:b/>
          <w:szCs w:val="32"/>
        </w:rPr>
      </w:pPr>
      <w:r>
        <w:rPr>
          <w:rFonts w:hint="eastAsia" w:ascii="仿宋_GB2312"/>
          <w:b/>
          <w:szCs w:val="32"/>
        </w:rPr>
        <w:t>四、财政拨款收入支出决算总体情况说明</w:t>
      </w:r>
    </w:p>
    <w:p w14:paraId="5DB31103">
      <w:pPr>
        <w:ind w:firstLine="640"/>
        <w:rPr>
          <w:rFonts w:hint="eastAsia" w:ascii="仿宋_GB2312"/>
          <w:szCs w:val="32"/>
        </w:rPr>
      </w:pPr>
      <w:r>
        <w:rPr>
          <w:rFonts w:hint="eastAsia" w:ascii="仿宋_GB2312"/>
          <w:szCs w:val="32"/>
        </w:rPr>
        <w:t>2021年度财政拨款收入</w:t>
      </w:r>
      <w:r>
        <w:rPr>
          <w:rFonts w:ascii="仿宋_GB2312"/>
          <w:szCs w:val="32"/>
        </w:rPr>
        <w:t>总计</w:t>
      </w:r>
      <w:r>
        <w:rPr>
          <w:rFonts w:hint="eastAsia" w:ascii="仿宋_GB2312"/>
          <w:szCs w:val="32"/>
          <w:lang w:val="en-US" w:eastAsia="zh-CN"/>
        </w:rPr>
        <w:t>2927.29</w:t>
      </w:r>
      <w:r>
        <w:rPr>
          <w:rFonts w:hint="eastAsia" w:ascii="仿宋_GB2312"/>
          <w:szCs w:val="32"/>
        </w:rPr>
        <w:t>万元、支出总计</w:t>
      </w:r>
      <w:r>
        <w:rPr>
          <w:rFonts w:hint="eastAsia" w:ascii="仿宋_GB2312"/>
          <w:szCs w:val="32"/>
          <w:lang w:val="en-US" w:eastAsia="zh-CN"/>
        </w:rPr>
        <w:t>2927.29</w:t>
      </w:r>
      <w:r>
        <w:rPr>
          <w:rFonts w:hint="eastAsia" w:ascii="仿宋_GB2312"/>
          <w:szCs w:val="32"/>
        </w:rPr>
        <w:t>万元。与2020年相比，财政拨款收入</w:t>
      </w:r>
      <w:r>
        <w:rPr>
          <w:rFonts w:hint="eastAsia" w:ascii="仿宋_GB2312"/>
          <w:szCs w:val="32"/>
          <w:lang w:val="en-US" w:eastAsia="zh-CN"/>
        </w:rPr>
        <w:t>增加112.68</w:t>
      </w:r>
      <w:r>
        <w:rPr>
          <w:rFonts w:hint="eastAsia" w:ascii="仿宋_GB2312"/>
          <w:szCs w:val="32"/>
        </w:rPr>
        <w:t>万元，</w:t>
      </w:r>
      <w:r>
        <w:rPr>
          <w:rFonts w:hint="eastAsia" w:ascii="仿宋_GB2312"/>
          <w:szCs w:val="32"/>
          <w:lang w:val="en-US" w:eastAsia="zh-CN"/>
        </w:rPr>
        <w:t>增加0.3</w:t>
      </w:r>
      <w:r>
        <w:rPr>
          <w:rFonts w:hint="eastAsia" w:ascii="仿宋_GB2312"/>
          <w:szCs w:val="32"/>
        </w:rPr>
        <w:t>%，</w:t>
      </w:r>
      <w:r>
        <w:rPr>
          <w:rFonts w:ascii="仿宋_GB2312"/>
          <w:szCs w:val="32"/>
        </w:rPr>
        <w:t>支出</w:t>
      </w:r>
      <w:r>
        <w:rPr>
          <w:rFonts w:hint="eastAsia" w:ascii="仿宋_GB2312"/>
          <w:szCs w:val="32"/>
          <w:lang w:val="en-US" w:eastAsia="zh-CN"/>
        </w:rPr>
        <w:t>增加112.68</w:t>
      </w:r>
      <w:r>
        <w:rPr>
          <w:rFonts w:hint="eastAsia" w:ascii="仿宋_GB2312"/>
          <w:szCs w:val="32"/>
        </w:rPr>
        <w:t>万元，</w:t>
      </w:r>
      <w:r>
        <w:rPr>
          <w:rFonts w:hint="eastAsia" w:ascii="仿宋_GB2312"/>
          <w:szCs w:val="32"/>
          <w:lang w:val="en-US" w:eastAsia="zh-CN"/>
        </w:rPr>
        <w:t>增加0.3</w:t>
      </w:r>
      <w:r>
        <w:rPr>
          <w:rFonts w:hint="eastAsia" w:ascii="仿宋_GB2312"/>
          <w:szCs w:val="32"/>
        </w:rPr>
        <w:t>%。主要原因</w:t>
      </w:r>
      <w:r>
        <w:rPr>
          <w:rFonts w:hint="eastAsia" w:ascii="仿宋_GB2312"/>
          <w:szCs w:val="32"/>
          <w:lang w:val="en-US" w:eastAsia="zh-CN"/>
        </w:rPr>
        <w:t>是为分队购置办公家具及办公用品耗材等经费增加</w:t>
      </w:r>
      <w:r>
        <w:rPr>
          <w:rFonts w:hint="eastAsia" w:ascii="仿宋_GB2312"/>
          <w:szCs w:val="32"/>
        </w:rPr>
        <w:t>。</w:t>
      </w:r>
    </w:p>
    <w:p w14:paraId="5F0C5D3A">
      <w:pPr>
        <w:spacing w:line="580" w:lineRule="exact"/>
        <w:ind w:firstLine="643"/>
        <w:rPr>
          <w:rFonts w:hint="eastAsia" w:ascii="仿宋_GB2312"/>
          <w:b/>
          <w:szCs w:val="32"/>
        </w:rPr>
      </w:pPr>
      <w:r>
        <w:rPr>
          <w:rFonts w:hint="eastAsia" w:ascii="仿宋_GB2312"/>
          <w:b/>
          <w:szCs w:val="32"/>
        </w:rPr>
        <w:t>五、一般公共预算财政拨款支出决算情况说明</w:t>
      </w:r>
    </w:p>
    <w:p w14:paraId="2287E1F4">
      <w:pPr>
        <w:spacing w:line="580" w:lineRule="exact"/>
        <w:ind w:firstLine="643"/>
        <w:rPr>
          <w:rFonts w:hint="eastAsia" w:ascii="仿宋_GB2312"/>
          <w:b/>
          <w:szCs w:val="32"/>
        </w:rPr>
      </w:pPr>
      <w:r>
        <w:rPr>
          <w:rFonts w:hint="eastAsia" w:ascii="仿宋_GB2312"/>
          <w:b/>
          <w:szCs w:val="32"/>
        </w:rPr>
        <w:t>（一）财政拨款支出决算总体情况</w:t>
      </w:r>
    </w:p>
    <w:p w14:paraId="60214555">
      <w:pPr>
        <w:spacing w:line="580" w:lineRule="exact"/>
        <w:ind w:firstLine="640"/>
        <w:rPr>
          <w:rFonts w:ascii="仿宋_GB2312"/>
          <w:szCs w:val="32"/>
        </w:rPr>
      </w:pPr>
      <w:r>
        <w:rPr>
          <w:rFonts w:hint="eastAsia" w:ascii="仿宋_GB2312"/>
          <w:szCs w:val="32"/>
        </w:rPr>
        <w:t>2021年度财政拨款支出</w:t>
      </w:r>
      <w:r>
        <w:rPr>
          <w:rFonts w:hint="eastAsia" w:ascii="仿宋_GB2312"/>
          <w:szCs w:val="32"/>
          <w:lang w:val="en-US" w:eastAsia="zh-CN"/>
        </w:rPr>
        <w:t>2927.29</w:t>
      </w:r>
      <w:r>
        <w:rPr>
          <w:rFonts w:hint="eastAsia" w:ascii="仿宋_GB2312"/>
          <w:szCs w:val="32"/>
        </w:rPr>
        <w:t>万元，占本年支出合计的</w:t>
      </w:r>
      <w:r>
        <w:rPr>
          <w:rFonts w:hint="eastAsia" w:ascii="仿宋_GB2312"/>
          <w:szCs w:val="32"/>
          <w:lang w:val="en-US" w:eastAsia="zh-CN"/>
        </w:rPr>
        <w:t>100</w:t>
      </w:r>
      <w:r>
        <w:rPr>
          <w:rFonts w:hint="eastAsia" w:ascii="仿宋_GB2312"/>
          <w:szCs w:val="32"/>
        </w:rPr>
        <w:t>%。与2020年相比，财政拨款支出</w:t>
      </w:r>
      <w:r>
        <w:rPr>
          <w:rFonts w:hint="eastAsia" w:ascii="仿宋_GB2312"/>
          <w:szCs w:val="32"/>
          <w:lang w:val="en-US" w:eastAsia="zh-CN"/>
        </w:rPr>
        <w:t>增加112.68</w:t>
      </w:r>
      <w:r>
        <w:rPr>
          <w:rFonts w:hint="eastAsia" w:ascii="仿宋_GB2312"/>
          <w:szCs w:val="32"/>
        </w:rPr>
        <w:t>万元，</w:t>
      </w:r>
      <w:r>
        <w:rPr>
          <w:rFonts w:hint="eastAsia" w:ascii="仿宋_GB2312"/>
          <w:szCs w:val="32"/>
          <w:lang w:val="en-US" w:eastAsia="zh-CN"/>
        </w:rPr>
        <w:t>增加0.3</w:t>
      </w:r>
      <w:r>
        <w:rPr>
          <w:rFonts w:hint="eastAsia" w:ascii="仿宋_GB2312"/>
          <w:szCs w:val="32"/>
        </w:rPr>
        <w:t>%。主要原因是</w:t>
      </w:r>
      <w:r>
        <w:rPr>
          <w:rFonts w:hint="eastAsia" w:ascii="仿宋_GB2312"/>
          <w:szCs w:val="32"/>
          <w:lang w:val="en-US" w:eastAsia="zh-CN"/>
        </w:rPr>
        <w:t>为分队购置办公家具及办公用品耗材等经费增加</w:t>
      </w:r>
      <w:r>
        <w:rPr>
          <w:rFonts w:hint="eastAsia" w:ascii="仿宋_GB2312"/>
          <w:szCs w:val="32"/>
        </w:rPr>
        <w:t>。其中，人员经费</w:t>
      </w:r>
      <w:r>
        <w:rPr>
          <w:rFonts w:hint="eastAsia" w:ascii="仿宋_GB2312"/>
          <w:szCs w:val="32"/>
          <w:lang w:val="en-US" w:eastAsia="zh-CN"/>
        </w:rPr>
        <w:t>1865.23</w:t>
      </w:r>
      <w:r>
        <w:rPr>
          <w:rFonts w:hint="eastAsia" w:ascii="仿宋_GB2312"/>
          <w:szCs w:val="32"/>
        </w:rPr>
        <w:t>万元，占比</w:t>
      </w:r>
      <w:r>
        <w:rPr>
          <w:rFonts w:hint="eastAsia" w:ascii="仿宋_GB2312"/>
          <w:szCs w:val="32"/>
          <w:lang w:val="en-US" w:eastAsia="zh-CN"/>
        </w:rPr>
        <w:t>63</w:t>
      </w:r>
      <w:r>
        <w:rPr>
          <w:rFonts w:hint="eastAsia" w:ascii="仿宋_GB2312"/>
          <w:szCs w:val="32"/>
        </w:rPr>
        <w:t>%，日常公用经费</w:t>
      </w:r>
      <w:r>
        <w:rPr>
          <w:rFonts w:hint="eastAsia" w:ascii="仿宋_GB2312"/>
          <w:szCs w:val="32"/>
          <w:lang w:val="en-US" w:eastAsia="zh-CN"/>
        </w:rPr>
        <w:t>1062.06</w:t>
      </w:r>
      <w:r>
        <w:rPr>
          <w:rFonts w:hint="eastAsia" w:ascii="仿宋_GB2312"/>
          <w:szCs w:val="32"/>
        </w:rPr>
        <w:t>万元，占比</w:t>
      </w:r>
      <w:r>
        <w:rPr>
          <w:rFonts w:hint="eastAsia" w:ascii="仿宋_GB2312"/>
          <w:szCs w:val="32"/>
          <w:lang w:val="en-US" w:eastAsia="zh-CN"/>
        </w:rPr>
        <w:t>37</w:t>
      </w:r>
      <w:r>
        <w:rPr>
          <w:rFonts w:hint="eastAsia" w:ascii="仿宋_GB2312"/>
          <w:szCs w:val="32"/>
        </w:rPr>
        <w:t>%。</w:t>
      </w:r>
    </w:p>
    <w:p w14:paraId="5184A6C5">
      <w:pPr>
        <w:spacing w:line="580" w:lineRule="exact"/>
        <w:ind w:firstLine="643"/>
        <w:rPr>
          <w:rFonts w:ascii="仿宋_GB2312"/>
          <w:b/>
          <w:szCs w:val="32"/>
        </w:rPr>
      </w:pPr>
      <w:r>
        <w:rPr>
          <w:rFonts w:hint="eastAsia" w:ascii="仿宋_GB2312"/>
          <w:b/>
          <w:szCs w:val="32"/>
        </w:rPr>
        <w:t>（二）财政拨款</w:t>
      </w:r>
      <w:r>
        <w:rPr>
          <w:rFonts w:ascii="仿宋_GB2312"/>
          <w:b/>
          <w:szCs w:val="32"/>
        </w:rPr>
        <w:t>支出决算结构情况</w:t>
      </w:r>
    </w:p>
    <w:p w14:paraId="34D2DEB7">
      <w:pPr>
        <w:spacing w:line="580" w:lineRule="exact"/>
        <w:ind w:firstLine="640"/>
        <w:rPr>
          <w:rFonts w:ascii="仿宋_GB2312"/>
          <w:szCs w:val="32"/>
        </w:rPr>
      </w:pPr>
      <w:r>
        <w:rPr>
          <w:rFonts w:hint="eastAsia" w:ascii="仿宋_GB2312"/>
          <w:szCs w:val="32"/>
        </w:rPr>
        <w:t>2021年度</w:t>
      </w:r>
      <w:r>
        <w:rPr>
          <w:rFonts w:ascii="仿宋_GB2312"/>
          <w:szCs w:val="32"/>
        </w:rPr>
        <w:t>财政拨款支出</w:t>
      </w:r>
      <w:r>
        <w:rPr>
          <w:rFonts w:hint="eastAsia" w:ascii="仿宋_GB2312"/>
          <w:szCs w:val="32"/>
          <w:lang w:val="en-US" w:eastAsia="zh-CN"/>
        </w:rPr>
        <w:t>2927.29</w:t>
      </w:r>
      <w:r>
        <w:rPr>
          <w:rFonts w:hint="eastAsia" w:ascii="仿宋_GB2312"/>
          <w:szCs w:val="32"/>
        </w:rPr>
        <w:t>万元</w:t>
      </w:r>
      <w:r>
        <w:rPr>
          <w:rFonts w:ascii="仿宋_GB2312"/>
          <w:szCs w:val="32"/>
        </w:rPr>
        <w:t>，主要用于以下方面：</w:t>
      </w:r>
      <w:r>
        <w:rPr>
          <w:rFonts w:hint="eastAsia" w:ascii="仿宋_GB2312"/>
          <w:b w:val="0"/>
          <w:bCs/>
          <w:szCs w:val="32"/>
        </w:rPr>
        <w:t>社会</w:t>
      </w:r>
      <w:r>
        <w:rPr>
          <w:rFonts w:ascii="仿宋_GB2312"/>
          <w:b w:val="0"/>
          <w:bCs/>
          <w:szCs w:val="32"/>
        </w:rPr>
        <w:t>保障和就业</w:t>
      </w:r>
      <w:r>
        <w:rPr>
          <w:rFonts w:hint="eastAsia" w:ascii="仿宋_GB2312"/>
          <w:szCs w:val="32"/>
        </w:rPr>
        <w:t>支出</w:t>
      </w:r>
      <w:r>
        <w:rPr>
          <w:rFonts w:hint="eastAsia" w:ascii="仿宋_GB2312"/>
          <w:szCs w:val="32"/>
          <w:lang w:val="en-US" w:eastAsia="zh-CN"/>
        </w:rPr>
        <w:t>213.32</w:t>
      </w:r>
      <w:r>
        <w:rPr>
          <w:rFonts w:hint="eastAsia" w:ascii="仿宋_GB2312"/>
          <w:szCs w:val="32"/>
        </w:rPr>
        <w:t>万元</w:t>
      </w:r>
      <w:r>
        <w:rPr>
          <w:rFonts w:ascii="仿宋_GB2312"/>
          <w:szCs w:val="32"/>
        </w:rPr>
        <w:t>，占</w:t>
      </w:r>
      <w:r>
        <w:rPr>
          <w:rFonts w:hint="eastAsia" w:ascii="仿宋_GB2312"/>
          <w:szCs w:val="32"/>
          <w:lang w:val="en-US" w:eastAsia="zh-CN"/>
        </w:rPr>
        <w:t>7.3</w:t>
      </w:r>
      <w:r>
        <w:rPr>
          <w:rFonts w:ascii="仿宋_GB2312"/>
          <w:szCs w:val="32"/>
        </w:rPr>
        <w:t>%；</w:t>
      </w:r>
      <w:r>
        <w:rPr>
          <w:rFonts w:hint="eastAsia" w:ascii="仿宋_GB2312"/>
          <w:b w:val="0"/>
          <w:bCs/>
          <w:szCs w:val="32"/>
        </w:rPr>
        <w:t>卫生</w:t>
      </w:r>
      <w:r>
        <w:rPr>
          <w:rFonts w:ascii="仿宋_GB2312"/>
          <w:b w:val="0"/>
          <w:bCs/>
          <w:szCs w:val="32"/>
        </w:rPr>
        <w:t>健康</w:t>
      </w:r>
      <w:r>
        <w:rPr>
          <w:rFonts w:hint="eastAsia" w:ascii="仿宋_GB2312"/>
          <w:szCs w:val="32"/>
        </w:rPr>
        <w:t>支出</w:t>
      </w:r>
      <w:r>
        <w:rPr>
          <w:rFonts w:hint="eastAsia" w:ascii="仿宋_GB2312"/>
          <w:szCs w:val="32"/>
          <w:lang w:val="en-US" w:eastAsia="zh-CN"/>
        </w:rPr>
        <w:t>86.19</w:t>
      </w:r>
      <w:r>
        <w:rPr>
          <w:rFonts w:hint="eastAsia" w:ascii="仿宋_GB2312"/>
          <w:szCs w:val="32"/>
        </w:rPr>
        <w:t>万元</w:t>
      </w:r>
      <w:r>
        <w:rPr>
          <w:rFonts w:ascii="仿宋_GB2312"/>
          <w:szCs w:val="32"/>
        </w:rPr>
        <w:t>，占</w:t>
      </w:r>
      <w:r>
        <w:rPr>
          <w:rFonts w:hint="eastAsia" w:ascii="仿宋_GB2312"/>
          <w:szCs w:val="32"/>
          <w:lang w:val="en-US" w:eastAsia="zh-CN"/>
        </w:rPr>
        <w:t>3</w:t>
      </w:r>
      <w:r>
        <w:rPr>
          <w:rFonts w:ascii="仿宋_GB2312"/>
          <w:szCs w:val="32"/>
        </w:rPr>
        <w:t>%；</w:t>
      </w:r>
      <w:r>
        <w:rPr>
          <w:rFonts w:hint="eastAsia" w:ascii="仿宋_GB2312"/>
          <w:b w:val="0"/>
          <w:bCs/>
          <w:szCs w:val="32"/>
        </w:rPr>
        <w:t>城乡社区</w:t>
      </w:r>
      <w:r>
        <w:rPr>
          <w:rFonts w:hint="eastAsia" w:ascii="仿宋_GB2312"/>
          <w:szCs w:val="32"/>
        </w:rPr>
        <w:t>支出</w:t>
      </w:r>
      <w:r>
        <w:rPr>
          <w:rFonts w:hint="eastAsia" w:ascii="仿宋_GB2312"/>
          <w:szCs w:val="32"/>
          <w:lang w:val="en-US" w:eastAsia="zh-CN"/>
        </w:rPr>
        <w:t>2482</w:t>
      </w:r>
      <w:r>
        <w:rPr>
          <w:rFonts w:hint="eastAsia" w:ascii="仿宋_GB2312"/>
          <w:szCs w:val="32"/>
        </w:rPr>
        <w:t>万元</w:t>
      </w:r>
      <w:r>
        <w:rPr>
          <w:rFonts w:ascii="仿宋_GB2312"/>
          <w:szCs w:val="32"/>
        </w:rPr>
        <w:t>，占</w:t>
      </w:r>
      <w:r>
        <w:rPr>
          <w:rFonts w:hint="eastAsia" w:ascii="仿宋_GB2312"/>
          <w:szCs w:val="32"/>
          <w:lang w:val="en-US" w:eastAsia="zh-CN"/>
        </w:rPr>
        <w:t>84</w:t>
      </w:r>
      <w:r>
        <w:rPr>
          <w:rFonts w:ascii="仿宋_GB2312"/>
          <w:szCs w:val="32"/>
        </w:rPr>
        <w:t>%；</w:t>
      </w:r>
      <w:r>
        <w:rPr>
          <w:rFonts w:hint="eastAsia" w:ascii="仿宋_GB2312"/>
          <w:b w:val="0"/>
          <w:bCs/>
          <w:szCs w:val="32"/>
        </w:rPr>
        <w:t>住房保障</w:t>
      </w:r>
      <w:r>
        <w:rPr>
          <w:rFonts w:hint="eastAsia" w:ascii="仿宋_GB2312"/>
          <w:szCs w:val="32"/>
        </w:rPr>
        <w:t>支出</w:t>
      </w:r>
      <w:r>
        <w:rPr>
          <w:rFonts w:hint="eastAsia" w:ascii="仿宋_GB2312"/>
          <w:szCs w:val="32"/>
          <w:lang w:val="en-US" w:eastAsia="zh-CN"/>
        </w:rPr>
        <w:t>137.22</w:t>
      </w:r>
      <w:r>
        <w:rPr>
          <w:rFonts w:hint="eastAsia" w:ascii="仿宋_GB2312"/>
          <w:szCs w:val="32"/>
        </w:rPr>
        <w:t>万元</w:t>
      </w:r>
      <w:r>
        <w:rPr>
          <w:rFonts w:ascii="仿宋_GB2312"/>
          <w:szCs w:val="32"/>
        </w:rPr>
        <w:t>，占</w:t>
      </w:r>
      <w:r>
        <w:rPr>
          <w:rFonts w:hint="eastAsia" w:ascii="仿宋_GB2312"/>
          <w:szCs w:val="32"/>
          <w:lang w:val="en-US" w:eastAsia="zh-CN"/>
        </w:rPr>
        <w:t>4.8</w:t>
      </w:r>
      <w:r>
        <w:rPr>
          <w:rFonts w:ascii="仿宋_GB2312"/>
          <w:szCs w:val="32"/>
        </w:rPr>
        <w:t>%；</w:t>
      </w:r>
    </w:p>
    <w:p w14:paraId="0B6834D6">
      <w:pPr>
        <w:pStyle w:val="2"/>
        <w:rPr>
          <w:rFonts w:hint="eastAsia"/>
        </w:rPr>
      </w:pPr>
    </w:p>
    <w:p w14:paraId="37671FF9">
      <w:pPr>
        <w:spacing w:line="580" w:lineRule="exact"/>
        <w:ind w:firstLine="643"/>
        <w:rPr>
          <w:rFonts w:hint="eastAsia" w:ascii="仿宋_GB2312"/>
          <w:b/>
          <w:szCs w:val="32"/>
        </w:rPr>
      </w:pPr>
      <w:r>
        <w:rPr>
          <w:rFonts w:hint="eastAsia" w:ascii="仿宋_GB2312"/>
          <w:b/>
          <w:szCs w:val="32"/>
        </w:rPr>
        <w:t>（三）财政拨款支出决算具体情况</w:t>
      </w:r>
    </w:p>
    <w:p w14:paraId="12C57CD6">
      <w:pPr>
        <w:spacing w:line="580" w:lineRule="exact"/>
        <w:ind w:firstLine="640"/>
        <w:rPr>
          <w:rFonts w:hint="eastAsia"/>
          <w:szCs w:val="32"/>
        </w:rPr>
      </w:pPr>
      <w:r>
        <w:rPr>
          <w:rFonts w:hint="eastAsia"/>
          <w:szCs w:val="32"/>
        </w:rPr>
        <w:t>2</w:t>
      </w:r>
      <w:r>
        <w:rPr>
          <w:szCs w:val="32"/>
        </w:rPr>
        <w:t>02</w:t>
      </w:r>
      <w:r>
        <w:rPr>
          <w:rFonts w:hint="eastAsia"/>
          <w:szCs w:val="32"/>
          <w:lang w:val="en-US" w:eastAsia="zh-CN"/>
        </w:rPr>
        <w:t>1</w:t>
      </w:r>
      <w:r>
        <w:rPr>
          <w:rFonts w:hint="eastAsia"/>
          <w:szCs w:val="32"/>
        </w:rPr>
        <w:t>年度财政拨款支出年初预算</w:t>
      </w:r>
      <w:r>
        <w:rPr>
          <w:rFonts w:hint="eastAsia" w:ascii="仿宋" w:hAnsi="仿宋" w:eastAsia="仿宋" w:cs="仿宋"/>
          <w:kern w:val="0"/>
          <w:sz w:val="32"/>
          <w:szCs w:val="32"/>
          <w:lang w:val="en-US" w:eastAsia="zh-CN"/>
        </w:rPr>
        <w:t>2744.47</w:t>
      </w:r>
      <w:r>
        <w:rPr>
          <w:rFonts w:hint="eastAsia" w:ascii="仿宋" w:hAnsi="仿宋" w:eastAsia="仿宋" w:cs="仿宋"/>
          <w:kern w:val="0"/>
          <w:sz w:val="32"/>
          <w:szCs w:val="32"/>
        </w:rPr>
        <w:t>万元</w:t>
      </w:r>
      <w:r>
        <w:rPr>
          <w:rFonts w:hint="eastAsia"/>
          <w:szCs w:val="32"/>
        </w:rPr>
        <w:t>，支出决算</w:t>
      </w:r>
      <w:r>
        <w:rPr>
          <w:rFonts w:hint="eastAsia"/>
          <w:szCs w:val="32"/>
          <w:lang w:val="en-US" w:eastAsia="zh-CN"/>
        </w:rPr>
        <w:t>2927.29</w:t>
      </w:r>
      <w:r>
        <w:rPr>
          <w:rFonts w:hint="eastAsia"/>
          <w:szCs w:val="32"/>
        </w:rPr>
        <w:t>万元，完成年初预算的</w:t>
      </w:r>
      <w:r>
        <w:rPr>
          <w:rFonts w:hint="eastAsia"/>
          <w:szCs w:val="32"/>
          <w:lang w:val="en-US" w:eastAsia="zh-CN"/>
        </w:rPr>
        <w:t>100</w:t>
      </w:r>
      <w:r>
        <w:rPr>
          <w:szCs w:val="32"/>
        </w:rPr>
        <w:t>%</w:t>
      </w:r>
      <w:r>
        <w:rPr>
          <w:rFonts w:hint="eastAsia"/>
          <w:szCs w:val="32"/>
        </w:rPr>
        <w:t>。其中：</w:t>
      </w:r>
    </w:p>
    <w:p w14:paraId="1E6A4AFF">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其他组织事务支出（2013299）</w:t>
      </w:r>
      <w:r>
        <w:rPr>
          <w:rFonts w:hint="eastAsia" w:ascii="仿宋_GB2312" w:eastAsia="仿宋_GB2312" w:cs="宋体"/>
          <w:color w:val="auto"/>
          <w:kern w:val="0"/>
          <w:sz w:val="32"/>
          <w:szCs w:val="32"/>
          <w:highlight w:val="none"/>
          <w:lang w:val="en-US" w:eastAsia="zh-CN"/>
        </w:rPr>
        <w:t>年初预算为</w:t>
      </w:r>
      <w:r>
        <w:rPr>
          <w:rFonts w:hint="eastAsia" w:ascii="仿宋_GB2312" w:cs="宋体"/>
          <w:color w:val="auto"/>
          <w:kern w:val="0"/>
          <w:sz w:val="32"/>
          <w:szCs w:val="32"/>
          <w:highlight w:val="none"/>
          <w:lang w:val="en-US" w:eastAsia="zh-CN"/>
        </w:rPr>
        <w:t>8.56</w:t>
      </w:r>
      <w:r>
        <w:rPr>
          <w:rFonts w:hint="eastAsia" w:ascii="仿宋_GB2312" w:eastAsia="仿宋_GB2312" w:cs="宋体"/>
          <w:color w:val="auto"/>
          <w:kern w:val="0"/>
          <w:sz w:val="32"/>
          <w:szCs w:val="32"/>
          <w:highlight w:val="none"/>
          <w:lang w:val="en-US" w:eastAsia="zh-CN"/>
        </w:rPr>
        <w:t>万元，支出</w:t>
      </w:r>
      <w:r>
        <w:rPr>
          <w:rFonts w:hint="eastAsia" w:ascii="仿宋_GB2312" w:cs="宋体"/>
          <w:color w:val="auto"/>
          <w:kern w:val="0"/>
          <w:sz w:val="32"/>
          <w:szCs w:val="32"/>
          <w:highlight w:val="none"/>
          <w:lang w:val="en-US" w:eastAsia="zh-CN"/>
        </w:rPr>
        <w:t>决算为8.48</w:t>
      </w:r>
      <w:r>
        <w:rPr>
          <w:rFonts w:hint="eastAsia" w:ascii="仿宋_GB2312" w:eastAsia="仿宋_GB2312" w:cs="宋体"/>
          <w:color w:val="auto"/>
          <w:kern w:val="0"/>
          <w:sz w:val="32"/>
          <w:szCs w:val="32"/>
          <w:highlight w:val="none"/>
          <w:lang w:val="en-US" w:eastAsia="zh-CN"/>
        </w:rPr>
        <w:t>万元</w:t>
      </w:r>
      <w:r>
        <w:rPr>
          <w:rFonts w:hint="eastAsia" w:ascii="仿宋_GB2312" w:cs="宋体"/>
          <w:color w:val="auto"/>
          <w:kern w:val="0"/>
          <w:sz w:val="32"/>
          <w:szCs w:val="32"/>
          <w:highlight w:val="none"/>
          <w:lang w:val="en-US" w:eastAsia="zh-CN"/>
        </w:rPr>
        <w:t>，</w:t>
      </w:r>
      <w:r>
        <w:rPr>
          <w:rFonts w:hint="eastAsia"/>
          <w:szCs w:val="32"/>
        </w:rPr>
        <w:t>完成年初预算的</w:t>
      </w:r>
      <w:r>
        <w:rPr>
          <w:rFonts w:hint="eastAsia"/>
          <w:szCs w:val="32"/>
          <w:lang w:val="en-US" w:eastAsia="zh-CN"/>
        </w:rPr>
        <w:t>99</w:t>
      </w:r>
      <w:r>
        <w:rPr>
          <w:szCs w:val="32"/>
        </w:rPr>
        <w:t>%</w:t>
      </w:r>
      <w:r>
        <w:rPr>
          <w:rFonts w:hint="eastAsia" w:ascii="仿宋_GB2312" w:cs="宋体"/>
          <w:color w:val="auto"/>
          <w:kern w:val="0"/>
          <w:sz w:val="32"/>
          <w:szCs w:val="32"/>
          <w:highlight w:val="none"/>
          <w:lang w:val="en-US" w:eastAsia="zh-CN"/>
        </w:rPr>
        <w:t>。</w:t>
      </w:r>
    </w:p>
    <w:p w14:paraId="2D6D2530">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eastAsia="仿宋_GB2312" w:cs="宋体"/>
          <w:color w:val="auto"/>
          <w:kern w:val="0"/>
          <w:sz w:val="32"/>
          <w:szCs w:val="32"/>
          <w:highlight w:val="none"/>
          <w:lang w:val="en-US" w:eastAsia="zh-CN"/>
        </w:rPr>
      </w:pPr>
      <w:r>
        <w:rPr>
          <w:rFonts w:hint="eastAsia" w:ascii="仿宋_GB2312" w:eastAsia="仿宋_GB2312" w:cs="宋体"/>
          <w:color w:val="auto"/>
          <w:kern w:val="0"/>
          <w:sz w:val="32"/>
          <w:szCs w:val="32"/>
          <w:highlight w:val="none"/>
          <w:lang w:val="en-US" w:eastAsia="zh-CN"/>
        </w:rPr>
        <w:t>机关事业单位基本养老保险缴费支出（2080505）年初预算为</w:t>
      </w:r>
      <w:r>
        <w:rPr>
          <w:rFonts w:hint="eastAsia" w:ascii="仿宋_GB2312" w:cs="宋体"/>
          <w:color w:val="auto"/>
          <w:kern w:val="0"/>
          <w:sz w:val="32"/>
          <w:szCs w:val="32"/>
          <w:highlight w:val="none"/>
          <w:lang w:val="en-US" w:eastAsia="zh-CN"/>
        </w:rPr>
        <w:t>190.95</w:t>
      </w:r>
      <w:r>
        <w:rPr>
          <w:rFonts w:hint="eastAsia" w:ascii="仿宋_GB2312" w:eastAsia="仿宋_GB2312" w:cs="宋体"/>
          <w:color w:val="auto"/>
          <w:kern w:val="0"/>
          <w:sz w:val="32"/>
          <w:szCs w:val="32"/>
          <w:highlight w:val="none"/>
          <w:lang w:val="en-US" w:eastAsia="zh-CN"/>
        </w:rPr>
        <w:t>万元，支出决算为</w:t>
      </w:r>
      <w:r>
        <w:rPr>
          <w:rFonts w:hint="eastAsia" w:ascii="仿宋_GB2312" w:cs="宋体"/>
          <w:color w:val="auto"/>
          <w:kern w:val="0"/>
          <w:sz w:val="32"/>
          <w:szCs w:val="32"/>
          <w:highlight w:val="none"/>
          <w:lang w:val="en-US" w:eastAsia="zh-CN"/>
        </w:rPr>
        <w:t>213.32</w:t>
      </w:r>
      <w:r>
        <w:rPr>
          <w:rFonts w:hint="eastAsia" w:ascii="仿宋_GB2312" w:eastAsia="仿宋_GB2312" w:cs="宋体"/>
          <w:color w:val="auto"/>
          <w:kern w:val="0"/>
          <w:sz w:val="32"/>
          <w:szCs w:val="32"/>
          <w:highlight w:val="none"/>
          <w:lang w:val="en-US" w:eastAsia="zh-CN"/>
        </w:rPr>
        <w:t>万元，完成年初预算的</w:t>
      </w:r>
      <w:r>
        <w:rPr>
          <w:rFonts w:hint="eastAsia" w:ascii="仿宋_GB2312" w:cs="宋体"/>
          <w:color w:val="auto"/>
          <w:kern w:val="0"/>
          <w:sz w:val="32"/>
          <w:szCs w:val="32"/>
          <w:highlight w:val="none"/>
          <w:lang w:val="en-US" w:eastAsia="zh-CN"/>
        </w:rPr>
        <w:t>100</w:t>
      </w:r>
      <w:r>
        <w:rPr>
          <w:rFonts w:hint="eastAsia" w:ascii="仿宋_GB2312" w:eastAsia="仿宋_GB2312" w:cs="宋体"/>
          <w:color w:val="auto"/>
          <w:kern w:val="0"/>
          <w:sz w:val="32"/>
          <w:szCs w:val="32"/>
          <w:highlight w:val="none"/>
          <w:lang w:val="en-US" w:eastAsia="zh-CN"/>
        </w:rPr>
        <w:t>%。决算数</w:t>
      </w:r>
      <w:r>
        <w:rPr>
          <w:rFonts w:hint="eastAsia" w:ascii="仿宋_GB2312" w:cs="宋体"/>
          <w:color w:val="auto"/>
          <w:kern w:val="0"/>
          <w:sz w:val="32"/>
          <w:szCs w:val="32"/>
          <w:highlight w:val="none"/>
          <w:lang w:val="en-US" w:eastAsia="zh-CN"/>
        </w:rPr>
        <w:t>大</w:t>
      </w:r>
      <w:r>
        <w:rPr>
          <w:rFonts w:hint="eastAsia" w:ascii="仿宋_GB2312" w:eastAsia="仿宋_GB2312" w:cs="宋体"/>
          <w:color w:val="auto"/>
          <w:kern w:val="0"/>
          <w:sz w:val="32"/>
          <w:szCs w:val="32"/>
          <w:highlight w:val="none"/>
          <w:lang w:val="en-US" w:eastAsia="zh-CN"/>
        </w:rPr>
        <w:t>于预算数的主要原因是20</w:t>
      </w:r>
      <w:r>
        <w:rPr>
          <w:rFonts w:hint="eastAsia" w:ascii="仿宋_GB2312" w:cs="宋体"/>
          <w:color w:val="auto"/>
          <w:kern w:val="0"/>
          <w:sz w:val="32"/>
          <w:szCs w:val="32"/>
          <w:highlight w:val="none"/>
          <w:lang w:val="en-US" w:eastAsia="zh-CN"/>
        </w:rPr>
        <w:t>21</w:t>
      </w:r>
      <w:r>
        <w:rPr>
          <w:rFonts w:hint="eastAsia" w:ascii="仿宋_GB2312" w:eastAsia="仿宋_GB2312" w:cs="宋体"/>
          <w:color w:val="auto"/>
          <w:kern w:val="0"/>
          <w:sz w:val="32"/>
          <w:szCs w:val="32"/>
          <w:highlight w:val="none"/>
          <w:lang w:val="en-US" w:eastAsia="zh-CN"/>
        </w:rPr>
        <w:t>年基本养老保险单位缴费</w:t>
      </w:r>
      <w:r>
        <w:rPr>
          <w:rFonts w:hint="eastAsia" w:ascii="仿宋_GB2312" w:cs="宋体"/>
          <w:color w:val="auto"/>
          <w:kern w:val="0"/>
          <w:sz w:val="32"/>
          <w:szCs w:val="32"/>
          <w:highlight w:val="none"/>
          <w:lang w:val="en-US" w:eastAsia="zh-CN"/>
        </w:rPr>
        <w:t>基数增加</w:t>
      </w:r>
      <w:r>
        <w:rPr>
          <w:rFonts w:hint="eastAsia" w:ascii="仿宋_GB2312" w:eastAsia="仿宋_GB2312" w:cs="宋体"/>
          <w:color w:val="auto"/>
          <w:kern w:val="0"/>
          <w:sz w:val="32"/>
          <w:szCs w:val="32"/>
          <w:highlight w:val="none"/>
          <w:lang w:val="en-US" w:eastAsia="zh-CN"/>
        </w:rPr>
        <w:t>，实际支出相应</w:t>
      </w:r>
      <w:r>
        <w:rPr>
          <w:rFonts w:hint="eastAsia" w:ascii="仿宋_GB2312" w:cs="宋体"/>
          <w:color w:val="auto"/>
          <w:kern w:val="0"/>
          <w:sz w:val="32"/>
          <w:szCs w:val="32"/>
          <w:highlight w:val="none"/>
          <w:lang w:val="en-US" w:eastAsia="zh-CN"/>
        </w:rPr>
        <w:t>增加</w:t>
      </w:r>
      <w:r>
        <w:rPr>
          <w:rFonts w:hint="eastAsia" w:ascii="仿宋_GB2312" w:eastAsia="仿宋_GB2312" w:cs="宋体"/>
          <w:color w:val="auto"/>
          <w:kern w:val="0"/>
          <w:sz w:val="32"/>
          <w:szCs w:val="32"/>
          <w:highlight w:val="none"/>
          <w:lang w:val="en-US" w:eastAsia="zh-CN"/>
        </w:rPr>
        <w:t>。</w:t>
      </w:r>
    </w:p>
    <w:p w14:paraId="659005C3">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eastAsia="仿宋_GB2312" w:cs="宋体"/>
          <w:color w:val="auto"/>
          <w:kern w:val="0"/>
          <w:sz w:val="32"/>
          <w:szCs w:val="32"/>
          <w:highlight w:val="none"/>
          <w:lang w:val="en-US" w:eastAsia="zh-CN"/>
        </w:rPr>
      </w:pPr>
      <w:r>
        <w:rPr>
          <w:rFonts w:hint="eastAsia" w:ascii="仿宋_GB2312" w:eastAsia="仿宋_GB2312" w:cs="宋体"/>
          <w:color w:val="auto"/>
          <w:kern w:val="0"/>
          <w:sz w:val="32"/>
          <w:szCs w:val="32"/>
          <w:highlight w:val="none"/>
          <w:lang w:val="en-US" w:eastAsia="zh-CN"/>
        </w:rPr>
        <w:t>事业</w:t>
      </w:r>
      <w:r>
        <w:rPr>
          <w:rFonts w:hint="default" w:ascii="仿宋_GB2312" w:eastAsia="仿宋_GB2312" w:cs="宋体"/>
          <w:color w:val="auto"/>
          <w:kern w:val="0"/>
          <w:sz w:val="32"/>
          <w:szCs w:val="32"/>
          <w:highlight w:val="none"/>
          <w:lang w:val="en-US" w:eastAsia="zh-CN"/>
        </w:rPr>
        <w:t>单位医疗（</w:t>
      </w:r>
      <w:r>
        <w:rPr>
          <w:rFonts w:hint="eastAsia" w:ascii="仿宋_GB2312" w:eastAsia="仿宋_GB2312" w:cs="宋体"/>
          <w:color w:val="auto"/>
          <w:kern w:val="0"/>
          <w:sz w:val="32"/>
          <w:szCs w:val="32"/>
          <w:highlight w:val="none"/>
          <w:lang w:val="en-US" w:eastAsia="zh-CN"/>
        </w:rPr>
        <w:t>2101102</w:t>
      </w:r>
      <w:r>
        <w:rPr>
          <w:rFonts w:hint="default" w:ascii="仿宋_GB2312" w:eastAsia="仿宋_GB2312" w:cs="宋体"/>
          <w:color w:val="auto"/>
          <w:kern w:val="0"/>
          <w:sz w:val="32"/>
          <w:szCs w:val="32"/>
          <w:highlight w:val="none"/>
          <w:lang w:val="en-US" w:eastAsia="zh-CN"/>
        </w:rPr>
        <w:t>）年初预算为</w:t>
      </w:r>
      <w:r>
        <w:rPr>
          <w:rFonts w:hint="eastAsia" w:ascii="仿宋_GB2312" w:eastAsia="仿宋_GB2312" w:cs="宋体"/>
          <w:color w:val="auto"/>
          <w:kern w:val="0"/>
          <w:sz w:val="32"/>
          <w:szCs w:val="32"/>
          <w:highlight w:val="none"/>
          <w:lang w:val="en-US" w:eastAsia="zh-CN"/>
        </w:rPr>
        <w:t>8</w:t>
      </w:r>
      <w:r>
        <w:rPr>
          <w:rFonts w:hint="eastAsia" w:ascii="仿宋_GB2312" w:cs="宋体"/>
          <w:color w:val="auto"/>
          <w:kern w:val="0"/>
          <w:sz w:val="32"/>
          <w:szCs w:val="32"/>
          <w:highlight w:val="none"/>
          <w:lang w:val="en-US" w:eastAsia="zh-CN"/>
        </w:rPr>
        <w:t>8.91</w:t>
      </w:r>
      <w:r>
        <w:rPr>
          <w:rFonts w:hint="default" w:ascii="仿宋_GB2312" w:eastAsia="仿宋_GB2312" w:cs="宋体"/>
          <w:color w:val="auto"/>
          <w:kern w:val="0"/>
          <w:sz w:val="32"/>
          <w:szCs w:val="32"/>
          <w:highlight w:val="none"/>
          <w:lang w:val="en-US" w:eastAsia="zh-CN"/>
        </w:rPr>
        <w:t>万元，支出决算为</w:t>
      </w:r>
      <w:r>
        <w:rPr>
          <w:rFonts w:hint="eastAsia" w:ascii="仿宋_GB2312" w:cs="宋体"/>
          <w:color w:val="auto"/>
          <w:kern w:val="0"/>
          <w:sz w:val="32"/>
          <w:szCs w:val="32"/>
          <w:highlight w:val="none"/>
          <w:lang w:val="en-US" w:eastAsia="zh-CN"/>
        </w:rPr>
        <w:t>86.19</w:t>
      </w:r>
      <w:r>
        <w:rPr>
          <w:rFonts w:hint="default" w:ascii="仿宋_GB2312" w:eastAsia="仿宋_GB2312" w:cs="宋体"/>
          <w:color w:val="auto"/>
          <w:kern w:val="0"/>
          <w:sz w:val="32"/>
          <w:szCs w:val="32"/>
          <w:highlight w:val="none"/>
          <w:lang w:val="en-US" w:eastAsia="zh-CN"/>
        </w:rPr>
        <w:t>万元，完成年初预算的</w:t>
      </w:r>
      <w:r>
        <w:rPr>
          <w:rFonts w:hint="eastAsia" w:ascii="仿宋_GB2312" w:cs="宋体"/>
          <w:color w:val="auto"/>
          <w:kern w:val="0"/>
          <w:sz w:val="32"/>
          <w:szCs w:val="32"/>
          <w:highlight w:val="none"/>
          <w:lang w:val="en-US" w:eastAsia="zh-CN"/>
        </w:rPr>
        <w:t>97</w:t>
      </w:r>
      <w:r>
        <w:rPr>
          <w:rFonts w:hint="default" w:ascii="仿宋_GB2312" w:eastAsia="仿宋_GB2312" w:cs="宋体"/>
          <w:color w:val="auto"/>
          <w:kern w:val="0"/>
          <w:sz w:val="32"/>
          <w:szCs w:val="32"/>
          <w:highlight w:val="none"/>
          <w:lang w:val="en-US" w:eastAsia="zh-CN"/>
        </w:rPr>
        <w:t>%。决算数</w:t>
      </w:r>
      <w:r>
        <w:rPr>
          <w:rFonts w:hint="eastAsia" w:ascii="仿宋_GB2312" w:eastAsia="仿宋_GB2312" w:cs="宋体"/>
          <w:color w:val="auto"/>
          <w:kern w:val="0"/>
          <w:sz w:val="32"/>
          <w:szCs w:val="32"/>
          <w:highlight w:val="none"/>
          <w:lang w:val="en-US" w:eastAsia="zh-CN"/>
        </w:rPr>
        <w:t>小</w:t>
      </w:r>
      <w:r>
        <w:rPr>
          <w:rFonts w:hint="default" w:ascii="仿宋_GB2312" w:eastAsia="仿宋_GB2312" w:cs="宋体"/>
          <w:color w:val="auto"/>
          <w:kern w:val="0"/>
          <w:sz w:val="32"/>
          <w:szCs w:val="32"/>
          <w:highlight w:val="none"/>
          <w:lang w:val="en-US" w:eastAsia="zh-CN"/>
        </w:rPr>
        <w:t>于预算数的主要原因是部分</w:t>
      </w:r>
      <w:r>
        <w:rPr>
          <w:rFonts w:hint="eastAsia" w:ascii="仿宋_GB2312" w:eastAsia="仿宋_GB2312" w:cs="宋体"/>
          <w:color w:val="auto"/>
          <w:kern w:val="0"/>
          <w:sz w:val="32"/>
          <w:szCs w:val="32"/>
          <w:highlight w:val="none"/>
          <w:lang w:val="en-US" w:eastAsia="zh-CN"/>
        </w:rPr>
        <w:t>人员退休和调离。</w:t>
      </w:r>
    </w:p>
    <w:p w14:paraId="11D5947A">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eastAsia="仿宋_GB2312" w:cs="宋体"/>
          <w:color w:val="auto"/>
          <w:kern w:val="0"/>
          <w:sz w:val="32"/>
          <w:szCs w:val="32"/>
          <w:highlight w:val="none"/>
          <w:lang w:val="en-US" w:eastAsia="zh-CN"/>
        </w:rPr>
      </w:pPr>
      <w:r>
        <w:rPr>
          <w:rFonts w:hint="eastAsia" w:ascii="仿宋_GB2312" w:eastAsia="仿宋_GB2312" w:cs="宋体"/>
          <w:color w:val="auto"/>
          <w:kern w:val="0"/>
          <w:sz w:val="32"/>
          <w:szCs w:val="32"/>
          <w:highlight w:val="none"/>
          <w:lang w:val="en-US" w:eastAsia="zh-CN"/>
        </w:rPr>
        <w:t>城管执法（2120104）</w:t>
      </w:r>
      <w:r>
        <w:rPr>
          <w:rFonts w:hint="default" w:ascii="仿宋_GB2312" w:eastAsia="仿宋_GB2312" w:cs="宋体"/>
          <w:color w:val="auto"/>
          <w:kern w:val="0"/>
          <w:sz w:val="32"/>
          <w:szCs w:val="32"/>
          <w:highlight w:val="none"/>
          <w:lang w:val="en-US" w:eastAsia="zh-CN"/>
        </w:rPr>
        <w:t>年初预算为</w:t>
      </w:r>
      <w:r>
        <w:rPr>
          <w:rFonts w:hint="eastAsia" w:ascii="仿宋_GB2312" w:cs="宋体"/>
          <w:color w:val="auto"/>
          <w:kern w:val="0"/>
          <w:sz w:val="32"/>
          <w:szCs w:val="32"/>
          <w:highlight w:val="none"/>
          <w:lang w:val="en-US" w:eastAsia="zh-CN"/>
        </w:rPr>
        <w:t>2310.78</w:t>
      </w:r>
      <w:r>
        <w:rPr>
          <w:rFonts w:hint="default" w:ascii="仿宋_GB2312" w:eastAsia="仿宋_GB2312" w:cs="宋体"/>
          <w:color w:val="auto"/>
          <w:kern w:val="0"/>
          <w:sz w:val="32"/>
          <w:szCs w:val="32"/>
          <w:highlight w:val="none"/>
          <w:lang w:val="en-US" w:eastAsia="zh-CN"/>
        </w:rPr>
        <w:t>万元，支出决算为</w:t>
      </w:r>
      <w:r>
        <w:rPr>
          <w:rFonts w:hint="eastAsia" w:ascii="仿宋_GB2312" w:cs="宋体"/>
          <w:color w:val="auto"/>
          <w:kern w:val="0"/>
          <w:sz w:val="32"/>
          <w:szCs w:val="32"/>
          <w:highlight w:val="none"/>
          <w:lang w:val="en-US" w:eastAsia="zh-CN"/>
        </w:rPr>
        <w:t>2482</w:t>
      </w:r>
      <w:r>
        <w:rPr>
          <w:rFonts w:hint="default" w:ascii="仿宋_GB2312" w:eastAsia="仿宋_GB2312" w:cs="宋体"/>
          <w:color w:val="auto"/>
          <w:kern w:val="0"/>
          <w:sz w:val="32"/>
          <w:szCs w:val="32"/>
          <w:highlight w:val="none"/>
          <w:lang w:val="en-US" w:eastAsia="zh-CN"/>
        </w:rPr>
        <w:t>万元，完成年初预算的</w:t>
      </w:r>
      <w:r>
        <w:rPr>
          <w:rFonts w:hint="eastAsia" w:ascii="仿宋_GB2312" w:cs="宋体"/>
          <w:color w:val="auto"/>
          <w:kern w:val="0"/>
          <w:sz w:val="32"/>
          <w:szCs w:val="32"/>
          <w:highlight w:val="none"/>
          <w:lang w:val="en-US" w:eastAsia="zh-CN"/>
        </w:rPr>
        <w:t>100</w:t>
      </w:r>
      <w:r>
        <w:rPr>
          <w:rFonts w:hint="default" w:ascii="仿宋_GB2312" w:eastAsia="仿宋_GB2312" w:cs="宋体"/>
          <w:color w:val="auto"/>
          <w:kern w:val="0"/>
          <w:sz w:val="32"/>
          <w:szCs w:val="32"/>
          <w:highlight w:val="none"/>
          <w:lang w:val="en-US" w:eastAsia="zh-CN"/>
        </w:rPr>
        <w:t>%。决算数</w:t>
      </w:r>
      <w:r>
        <w:rPr>
          <w:rFonts w:hint="eastAsia" w:ascii="仿宋_GB2312" w:cs="宋体"/>
          <w:color w:val="auto"/>
          <w:kern w:val="0"/>
          <w:sz w:val="32"/>
          <w:szCs w:val="32"/>
          <w:highlight w:val="none"/>
          <w:lang w:val="en-US" w:eastAsia="zh-CN"/>
        </w:rPr>
        <w:t>大</w:t>
      </w:r>
      <w:r>
        <w:rPr>
          <w:rFonts w:hint="default" w:ascii="仿宋_GB2312" w:eastAsia="仿宋_GB2312" w:cs="宋体"/>
          <w:color w:val="auto"/>
          <w:kern w:val="0"/>
          <w:sz w:val="32"/>
          <w:szCs w:val="32"/>
          <w:highlight w:val="none"/>
          <w:lang w:val="en-US" w:eastAsia="zh-CN"/>
        </w:rPr>
        <w:t>于预算数的主要原因是</w:t>
      </w:r>
      <w:r>
        <w:rPr>
          <w:rFonts w:hint="eastAsia" w:ascii="仿宋_GB2312" w:eastAsia="仿宋_GB2312" w:cs="宋体"/>
          <w:color w:val="auto"/>
          <w:kern w:val="0"/>
          <w:sz w:val="32"/>
          <w:szCs w:val="32"/>
          <w:highlight w:val="none"/>
          <w:lang w:val="en-US" w:eastAsia="zh-CN"/>
        </w:rPr>
        <w:t>公</w:t>
      </w:r>
      <w:r>
        <w:rPr>
          <w:rFonts w:hint="eastAsia" w:ascii="仿宋_GB2312" w:cs="宋体"/>
          <w:color w:val="auto"/>
          <w:kern w:val="0"/>
          <w:sz w:val="32"/>
          <w:szCs w:val="32"/>
          <w:highlight w:val="none"/>
          <w:lang w:val="en-US" w:eastAsia="zh-CN"/>
        </w:rPr>
        <w:t>务用车运行维护费及单位采暖费、基层办公用房租赁费等公用经费为追加预算</w:t>
      </w:r>
      <w:r>
        <w:rPr>
          <w:rFonts w:hint="eastAsia" w:ascii="仿宋_GB2312" w:eastAsia="仿宋_GB2312" w:cs="宋体"/>
          <w:color w:val="auto"/>
          <w:kern w:val="0"/>
          <w:sz w:val="32"/>
          <w:szCs w:val="32"/>
          <w:highlight w:val="none"/>
          <w:lang w:val="en-US" w:eastAsia="zh-CN"/>
        </w:rPr>
        <w:t>。</w:t>
      </w:r>
    </w:p>
    <w:p w14:paraId="10662208">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firstLine="640" w:firstLineChars="200"/>
        <w:jc w:val="left"/>
        <w:textAlignment w:val="auto"/>
        <w:rPr>
          <w:rFonts w:hint="eastAsia"/>
          <w:szCs w:val="32"/>
        </w:rPr>
      </w:pPr>
      <w:r>
        <w:rPr>
          <w:rFonts w:hint="eastAsia" w:ascii="仿宋_GB2312" w:cs="宋体"/>
          <w:color w:val="auto"/>
          <w:kern w:val="0"/>
          <w:sz w:val="32"/>
          <w:szCs w:val="32"/>
          <w:highlight w:val="none"/>
          <w:lang w:val="en-US" w:eastAsia="zh-CN"/>
        </w:rPr>
        <w:t>住房公积金</w:t>
      </w:r>
      <w:r>
        <w:rPr>
          <w:rFonts w:hint="eastAsia" w:ascii="仿宋_GB2312" w:eastAsia="仿宋_GB2312" w:cs="宋体"/>
          <w:color w:val="auto"/>
          <w:kern w:val="0"/>
          <w:sz w:val="32"/>
          <w:szCs w:val="32"/>
          <w:highlight w:val="none"/>
          <w:lang w:val="en-US" w:eastAsia="zh-CN"/>
        </w:rPr>
        <w:t>（2</w:t>
      </w:r>
      <w:r>
        <w:rPr>
          <w:rFonts w:hint="eastAsia" w:ascii="仿宋_GB2312" w:cs="宋体"/>
          <w:color w:val="auto"/>
          <w:kern w:val="0"/>
          <w:sz w:val="32"/>
          <w:szCs w:val="32"/>
          <w:highlight w:val="none"/>
          <w:lang w:val="en-US" w:eastAsia="zh-CN"/>
        </w:rPr>
        <w:t>210201</w:t>
      </w:r>
      <w:r>
        <w:rPr>
          <w:rFonts w:hint="eastAsia" w:ascii="仿宋_GB2312" w:eastAsia="仿宋_GB2312" w:cs="宋体"/>
          <w:color w:val="auto"/>
          <w:kern w:val="0"/>
          <w:sz w:val="32"/>
          <w:szCs w:val="32"/>
          <w:highlight w:val="none"/>
          <w:lang w:val="en-US" w:eastAsia="zh-CN"/>
        </w:rPr>
        <w:t>）</w:t>
      </w:r>
      <w:r>
        <w:rPr>
          <w:rFonts w:hint="default" w:ascii="仿宋_GB2312" w:eastAsia="仿宋_GB2312" w:cs="宋体"/>
          <w:color w:val="auto"/>
          <w:kern w:val="0"/>
          <w:sz w:val="32"/>
          <w:szCs w:val="32"/>
          <w:highlight w:val="none"/>
          <w:lang w:val="en-US" w:eastAsia="zh-CN"/>
        </w:rPr>
        <w:t>年初预算为</w:t>
      </w:r>
      <w:r>
        <w:rPr>
          <w:rFonts w:hint="eastAsia" w:ascii="仿宋_GB2312" w:cs="宋体"/>
          <w:color w:val="auto"/>
          <w:kern w:val="0"/>
          <w:sz w:val="32"/>
          <w:szCs w:val="32"/>
          <w:highlight w:val="none"/>
          <w:lang w:val="en-US" w:eastAsia="zh-CN"/>
        </w:rPr>
        <w:t>145.27</w:t>
      </w:r>
      <w:r>
        <w:rPr>
          <w:rFonts w:hint="default" w:ascii="仿宋_GB2312" w:eastAsia="仿宋_GB2312" w:cs="宋体"/>
          <w:color w:val="auto"/>
          <w:kern w:val="0"/>
          <w:sz w:val="32"/>
          <w:szCs w:val="32"/>
          <w:highlight w:val="none"/>
          <w:lang w:val="en-US" w:eastAsia="zh-CN"/>
        </w:rPr>
        <w:t>万元，支出决算为</w:t>
      </w:r>
      <w:r>
        <w:rPr>
          <w:rFonts w:hint="eastAsia" w:ascii="仿宋_GB2312" w:cs="宋体"/>
          <w:color w:val="auto"/>
          <w:kern w:val="0"/>
          <w:sz w:val="32"/>
          <w:szCs w:val="32"/>
          <w:highlight w:val="none"/>
          <w:lang w:val="en-US" w:eastAsia="zh-CN"/>
        </w:rPr>
        <w:t>137.22</w:t>
      </w:r>
      <w:r>
        <w:rPr>
          <w:rFonts w:hint="default" w:ascii="仿宋_GB2312" w:eastAsia="仿宋_GB2312" w:cs="宋体"/>
          <w:color w:val="auto"/>
          <w:kern w:val="0"/>
          <w:sz w:val="32"/>
          <w:szCs w:val="32"/>
          <w:highlight w:val="none"/>
          <w:lang w:val="en-US" w:eastAsia="zh-CN"/>
        </w:rPr>
        <w:t>万元，完成年初预算的</w:t>
      </w:r>
      <w:r>
        <w:rPr>
          <w:rFonts w:hint="eastAsia" w:ascii="仿宋_GB2312" w:cs="宋体"/>
          <w:color w:val="auto"/>
          <w:kern w:val="0"/>
          <w:sz w:val="32"/>
          <w:szCs w:val="32"/>
          <w:highlight w:val="none"/>
          <w:lang w:val="en-US" w:eastAsia="zh-CN"/>
        </w:rPr>
        <w:t>94.</w:t>
      </w:r>
      <w:r>
        <w:rPr>
          <w:rFonts w:hint="default" w:ascii="仿宋_GB2312" w:eastAsia="仿宋_GB2312" w:cs="宋体"/>
          <w:color w:val="auto"/>
          <w:kern w:val="0"/>
          <w:sz w:val="32"/>
          <w:szCs w:val="32"/>
          <w:highlight w:val="none"/>
          <w:lang w:val="en-US" w:eastAsia="zh-CN"/>
        </w:rPr>
        <w:t>%。决算数</w:t>
      </w:r>
      <w:r>
        <w:rPr>
          <w:rFonts w:hint="eastAsia" w:ascii="仿宋_GB2312" w:eastAsia="仿宋_GB2312" w:cs="宋体"/>
          <w:color w:val="auto"/>
          <w:kern w:val="0"/>
          <w:sz w:val="32"/>
          <w:szCs w:val="32"/>
          <w:highlight w:val="none"/>
          <w:lang w:val="en-US" w:eastAsia="zh-CN"/>
        </w:rPr>
        <w:t>小</w:t>
      </w:r>
      <w:r>
        <w:rPr>
          <w:rFonts w:hint="default" w:ascii="仿宋_GB2312" w:eastAsia="仿宋_GB2312" w:cs="宋体"/>
          <w:color w:val="auto"/>
          <w:kern w:val="0"/>
          <w:sz w:val="32"/>
          <w:szCs w:val="32"/>
          <w:highlight w:val="none"/>
          <w:lang w:val="en-US" w:eastAsia="zh-CN"/>
        </w:rPr>
        <w:t>于预算数的主要原因是部分</w:t>
      </w:r>
      <w:r>
        <w:rPr>
          <w:rFonts w:hint="eastAsia" w:ascii="仿宋_GB2312" w:eastAsia="仿宋_GB2312" w:cs="宋体"/>
          <w:color w:val="auto"/>
          <w:kern w:val="0"/>
          <w:sz w:val="32"/>
          <w:szCs w:val="32"/>
          <w:highlight w:val="none"/>
          <w:lang w:val="en-US" w:eastAsia="zh-CN"/>
        </w:rPr>
        <w:t>人员退休和调离。</w:t>
      </w:r>
    </w:p>
    <w:p w14:paraId="70F306DE">
      <w:pPr>
        <w:spacing w:line="580" w:lineRule="exact"/>
        <w:ind w:firstLine="643"/>
        <w:rPr>
          <w:b/>
          <w:szCs w:val="32"/>
        </w:rPr>
      </w:pPr>
      <w:r>
        <w:rPr>
          <w:rFonts w:hint="eastAsia"/>
          <w:b/>
          <w:szCs w:val="32"/>
        </w:rPr>
        <w:t>六、一般公共预算</w:t>
      </w:r>
      <w:r>
        <w:rPr>
          <w:b/>
          <w:szCs w:val="32"/>
        </w:rPr>
        <w:t>财政拨款基本支出决算情况说明</w:t>
      </w:r>
    </w:p>
    <w:p w14:paraId="284B8F2E">
      <w:pPr>
        <w:spacing w:line="580" w:lineRule="exact"/>
        <w:ind w:firstLine="640"/>
        <w:rPr>
          <w:rFonts w:hint="default" w:ascii="仿宋_GB2312"/>
          <w:szCs w:val="32"/>
          <w:lang w:val="en-US"/>
        </w:rPr>
      </w:pPr>
      <w:r>
        <w:rPr>
          <w:rFonts w:hint="eastAsia" w:ascii="仿宋_GB2312"/>
          <w:szCs w:val="32"/>
        </w:rPr>
        <w:t>2021年度</w:t>
      </w:r>
      <w:r>
        <w:rPr>
          <w:rFonts w:ascii="仿宋_GB2312"/>
          <w:szCs w:val="32"/>
        </w:rPr>
        <w:t>财政拨款</w:t>
      </w:r>
      <w:r>
        <w:rPr>
          <w:rFonts w:hint="eastAsia" w:ascii="仿宋_GB2312"/>
          <w:szCs w:val="32"/>
        </w:rPr>
        <w:t>基本</w:t>
      </w:r>
      <w:r>
        <w:rPr>
          <w:rFonts w:ascii="仿宋_GB2312"/>
          <w:szCs w:val="32"/>
        </w:rPr>
        <w:t>支出</w:t>
      </w:r>
      <w:r>
        <w:rPr>
          <w:rFonts w:hint="eastAsia"/>
          <w:szCs w:val="32"/>
          <w:lang w:val="en-US" w:eastAsia="zh-CN"/>
        </w:rPr>
        <w:t>2040</w:t>
      </w:r>
      <w:r>
        <w:rPr>
          <w:rFonts w:hint="eastAsia" w:ascii="仿宋_GB2312"/>
          <w:szCs w:val="32"/>
        </w:rPr>
        <w:t>万元</w:t>
      </w:r>
      <w:r>
        <w:rPr>
          <w:rFonts w:ascii="仿宋_GB2312"/>
          <w:szCs w:val="32"/>
        </w:rPr>
        <w:t>，其中</w:t>
      </w:r>
      <w:r>
        <w:rPr>
          <w:rFonts w:hint="eastAsia" w:ascii="仿宋_GB2312"/>
          <w:szCs w:val="32"/>
        </w:rPr>
        <w:t>：人员</w:t>
      </w:r>
      <w:r>
        <w:rPr>
          <w:rFonts w:ascii="仿宋_GB2312"/>
          <w:szCs w:val="32"/>
        </w:rPr>
        <w:t>经费</w:t>
      </w:r>
      <w:r>
        <w:rPr>
          <w:rFonts w:hint="eastAsia" w:ascii="仿宋_GB2312"/>
          <w:szCs w:val="32"/>
          <w:lang w:val="en-US" w:eastAsia="zh-CN"/>
        </w:rPr>
        <w:t>1865.23</w:t>
      </w:r>
      <w:r>
        <w:rPr>
          <w:rFonts w:hint="eastAsia" w:ascii="仿宋_GB2312"/>
          <w:szCs w:val="32"/>
        </w:rPr>
        <w:t>万元</w:t>
      </w:r>
      <w:r>
        <w:rPr>
          <w:rFonts w:ascii="仿宋_GB2312"/>
          <w:szCs w:val="32"/>
        </w:rPr>
        <w:t>，</w:t>
      </w:r>
      <w:r>
        <w:rPr>
          <w:rFonts w:hint="eastAsia" w:ascii="仿宋_GB2312"/>
          <w:szCs w:val="32"/>
        </w:rPr>
        <w:t>主要</w:t>
      </w:r>
      <w:r>
        <w:rPr>
          <w:rFonts w:ascii="仿宋_GB2312"/>
          <w:szCs w:val="32"/>
        </w:rPr>
        <w:t>包括</w:t>
      </w:r>
      <w:r>
        <w:rPr>
          <w:rFonts w:hint="eastAsia" w:ascii="仿宋_GB2312" w:hAnsi="宋体" w:eastAsia="仿宋_GB2312" w:cs="宋体"/>
          <w:color w:val="auto"/>
          <w:kern w:val="0"/>
          <w:sz w:val="32"/>
          <w:szCs w:val="32"/>
          <w:highlight w:val="none"/>
        </w:rPr>
        <w:t>基本工资、津贴补贴、奖金、绩效工资、机关事业单位基本养老保险缴费、职业年金缴费、职工基本医疗保险缴费、其他社会保障缴费、住房公积金、退休费、</w:t>
      </w:r>
      <w:r>
        <w:rPr>
          <w:rFonts w:hint="eastAsia" w:ascii="仿宋_GB2312" w:hAnsi="宋体" w:cs="宋体"/>
          <w:color w:val="auto"/>
          <w:kern w:val="0"/>
          <w:sz w:val="32"/>
          <w:szCs w:val="32"/>
          <w:highlight w:val="none"/>
          <w:lang w:val="en-US" w:eastAsia="zh-CN"/>
        </w:rPr>
        <w:t>抚賉金、</w:t>
      </w:r>
      <w:r>
        <w:rPr>
          <w:rFonts w:hint="eastAsia" w:ascii="仿宋_GB2312" w:hAnsi="宋体" w:eastAsia="仿宋_GB2312" w:cs="宋体"/>
          <w:color w:val="auto"/>
          <w:kern w:val="0"/>
          <w:sz w:val="32"/>
          <w:szCs w:val="32"/>
          <w:highlight w:val="none"/>
        </w:rPr>
        <w:t>生活补助、其他对个人和家庭的补助；公用经费</w:t>
      </w:r>
      <w:r>
        <w:rPr>
          <w:rFonts w:hint="eastAsia" w:ascii="仿宋_GB2312"/>
          <w:szCs w:val="32"/>
          <w:lang w:val="en-US" w:eastAsia="zh-CN"/>
        </w:rPr>
        <w:t>174.82</w:t>
      </w:r>
      <w:r>
        <w:rPr>
          <w:rFonts w:hint="eastAsia" w:ascii="仿宋_GB2312" w:hAnsi="宋体" w:eastAsia="仿宋_GB2312" w:cs="宋体"/>
          <w:color w:val="auto"/>
          <w:kern w:val="0"/>
          <w:sz w:val="32"/>
          <w:szCs w:val="32"/>
          <w:highlight w:val="none"/>
        </w:rPr>
        <w:t>万元，包括：办公费、水费、电费、邮电费、取暖费、物业管理费、差旅费、维修（护）费、租赁费、培训费、劳务费、委托业务费、工会经费、福利费、公务用车运行维护费、其他商品和服务支出、办公设备购置</w:t>
      </w:r>
      <w:r>
        <w:rPr>
          <w:rFonts w:hint="eastAsia" w:ascii="仿宋_GB2312" w:hAnsi="宋体"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与20</w:t>
      </w:r>
      <w:r>
        <w:rPr>
          <w:rFonts w:hint="eastAsia" w:ascii="仿宋_GB2312" w:hAnsi="宋体" w:cs="宋体"/>
          <w:color w:val="auto"/>
          <w:kern w:val="0"/>
          <w:sz w:val="32"/>
          <w:szCs w:val="32"/>
          <w:highlight w:val="none"/>
          <w:lang w:val="en-US" w:eastAsia="zh-CN"/>
        </w:rPr>
        <w:t>20</w:t>
      </w:r>
      <w:r>
        <w:rPr>
          <w:rFonts w:hint="eastAsia" w:ascii="仿宋_GB2312" w:hAnsi="宋体" w:eastAsia="仿宋_GB2312" w:cs="宋体"/>
          <w:color w:val="auto"/>
          <w:kern w:val="0"/>
          <w:sz w:val="32"/>
          <w:szCs w:val="32"/>
          <w:highlight w:val="none"/>
        </w:rPr>
        <w:t>年决算数</w:t>
      </w:r>
      <w:r>
        <w:rPr>
          <w:rFonts w:hint="eastAsia" w:ascii="仿宋_GB2312" w:hAnsi="宋体" w:cs="宋体"/>
          <w:color w:val="auto"/>
          <w:kern w:val="0"/>
          <w:sz w:val="32"/>
          <w:szCs w:val="32"/>
          <w:highlight w:val="none"/>
          <w:lang w:val="en-US" w:eastAsia="zh-CN"/>
        </w:rPr>
        <w:t>2086万元基本持平。</w:t>
      </w:r>
    </w:p>
    <w:p w14:paraId="7C402B3D">
      <w:pPr>
        <w:spacing w:line="580" w:lineRule="exact"/>
        <w:ind w:firstLine="643"/>
        <w:outlineLvl w:val="0"/>
        <w:rPr>
          <w:rFonts w:hint="eastAsia" w:ascii="仿宋_GB2312"/>
          <w:b/>
          <w:szCs w:val="32"/>
        </w:rPr>
      </w:pPr>
      <w:r>
        <w:rPr>
          <w:rFonts w:hint="eastAsia" w:ascii="仿宋_GB2312"/>
          <w:b/>
          <w:szCs w:val="32"/>
        </w:rPr>
        <w:t>七、一般公共预算财政拨款“三公”经费支出决算情况说明</w:t>
      </w:r>
    </w:p>
    <w:p w14:paraId="796BEF70">
      <w:pPr>
        <w:spacing w:line="580" w:lineRule="exact"/>
        <w:ind w:firstLine="640"/>
        <w:rPr>
          <w:rFonts w:ascii="仿宋_GB2312"/>
          <w:szCs w:val="32"/>
        </w:rPr>
      </w:pPr>
      <w:r>
        <w:rPr>
          <w:rFonts w:hint="eastAsia" w:ascii="仿宋_GB2312"/>
          <w:szCs w:val="32"/>
        </w:rPr>
        <w:t>（一）“三公”经费财政拨款支出决算总体情况说明。</w:t>
      </w:r>
    </w:p>
    <w:p w14:paraId="2AB92339">
      <w:pPr>
        <w:spacing w:line="580" w:lineRule="exact"/>
        <w:ind w:firstLine="640"/>
        <w:rPr>
          <w:rFonts w:hint="eastAsia" w:ascii="仿宋_GB2312"/>
          <w:szCs w:val="32"/>
          <w:lang w:val="en-US" w:eastAsia="zh-CN"/>
        </w:rPr>
      </w:pPr>
      <w:r>
        <w:rPr>
          <w:rFonts w:hint="eastAsia" w:ascii="仿宋_GB2312"/>
          <w:szCs w:val="32"/>
        </w:rPr>
        <w:t>2021年度“三公”经费财政拨款支出预算</w:t>
      </w:r>
      <w:r>
        <w:rPr>
          <w:rFonts w:hint="eastAsia" w:ascii="仿宋_GB2312"/>
          <w:szCs w:val="32"/>
          <w:lang w:val="en-US" w:eastAsia="zh-CN"/>
        </w:rPr>
        <w:t>92.6</w:t>
      </w:r>
      <w:r>
        <w:rPr>
          <w:rFonts w:hint="eastAsia" w:ascii="仿宋_GB2312"/>
          <w:szCs w:val="32"/>
        </w:rPr>
        <w:t>万元，支出决算</w:t>
      </w:r>
      <w:r>
        <w:rPr>
          <w:rFonts w:hint="eastAsia" w:ascii="仿宋_GB2312"/>
          <w:szCs w:val="32"/>
          <w:lang w:val="en-US" w:eastAsia="zh-CN"/>
        </w:rPr>
        <w:t>92.6</w:t>
      </w:r>
      <w:r>
        <w:rPr>
          <w:rFonts w:hint="eastAsia" w:ascii="仿宋_GB2312"/>
          <w:szCs w:val="32"/>
        </w:rPr>
        <w:t>万元，完成预算的</w:t>
      </w:r>
      <w:r>
        <w:rPr>
          <w:rFonts w:hint="eastAsia" w:ascii="仿宋_GB2312"/>
          <w:szCs w:val="32"/>
          <w:lang w:val="en-US" w:eastAsia="zh-CN"/>
        </w:rPr>
        <w:t>100</w:t>
      </w:r>
      <w:r>
        <w:rPr>
          <w:rFonts w:hint="eastAsia" w:ascii="仿宋_GB2312"/>
          <w:szCs w:val="32"/>
        </w:rPr>
        <w:t>%，</w:t>
      </w:r>
      <w:r>
        <w:rPr>
          <w:rFonts w:hint="eastAsia" w:ascii="仿宋_GB2312"/>
          <w:szCs w:val="32"/>
          <w:lang w:val="en-US" w:eastAsia="zh-CN"/>
        </w:rPr>
        <w:t>与</w:t>
      </w:r>
      <w:r>
        <w:rPr>
          <w:rFonts w:hint="eastAsia" w:ascii="仿宋_GB2312"/>
          <w:szCs w:val="32"/>
        </w:rPr>
        <w:t>2</w:t>
      </w:r>
      <w:r>
        <w:rPr>
          <w:rFonts w:ascii="仿宋_GB2312"/>
          <w:szCs w:val="32"/>
        </w:rPr>
        <w:t>0</w:t>
      </w:r>
      <w:r>
        <w:rPr>
          <w:rFonts w:hint="eastAsia" w:ascii="仿宋_GB2312"/>
          <w:szCs w:val="32"/>
          <w:lang w:val="en-US" w:eastAsia="zh-CN"/>
        </w:rPr>
        <w:t>20</w:t>
      </w:r>
      <w:r>
        <w:rPr>
          <w:rFonts w:hint="eastAsia" w:ascii="仿宋_GB2312"/>
          <w:szCs w:val="32"/>
        </w:rPr>
        <w:t>年</w:t>
      </w:r>
      <w:r>
        <w:rPr>
          <w:rFonts w:hint="eastAsia" w:ascii="仿宋_GB2312"/>
          <w:szCs w:val="32"/>
          <w:lang w:val="en-US" w:eastAsia="zh-CN"/>
        </w:rPr>
        <w:t>持平。</w:t>
      </w:r>
    </w:p>
    <w:p w14:paraId="0BC4F929">
      <w:pPr>
        <w:spacing w:line="580" w:lineRule="exact"/>
        <w:ind w:firstLine="640"/>
        <w:rPr>
          <w:rFonts w:ascii="仿宋_GB2312"/>
          <w:szCs w:val="32"/>
        </w:rPr>
      </w:pPr>
      <w:r>
        <w:rPr>
          <w:rFonts w:hint="eastAsia" w:ascii="仿宋_GB2312"/>
          <w:szCs w:val="32"/>
        </w:rPr>
        <w:t>（二）“三公”经费财政拨款支出决算具体情况说明。</w:t>
      </w:r>
    </w:p>
    <w:p w14:paraId="03A208A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rPr>
        <w:t>20</w:t>
      </w:r>
      <w:r>
        <w:rPr>
          <w:rFonts w:hint="eastAsia" w:ascii="仿宋_GB2312" w:hAnsi="宋体" w:cs="宋体"/>
          <w:color w:val="auto"/>
          <w:kern w:val="0"/>
          <w:sz w:val="32"/>
          <w:szCs w:val="32"/>
          <w:highlight w:val="none"/>
          <w:lang w:val="en-US" w:eastAsia="zh-CN"/>
        </w:rPr>
        <w:t>21</w:t>
      </w:r>
      <w:r>
        <w:rPr>
          <w:rFonts w:hint="eastAsia" w:ascii="仿宋_GB2312" w:hAnsi="宋体" w:eastAsia="仿宋_GB2312" w:cs="宋体"/>
          <w:color w:val="auto"/>
          <w:kern w:val="0"/>
          <w:sz w:val="32"/>
          <w:szCs w:val="32"/>
          <w:highlight w:val="none"/>
        </w:rPr>
        <w:t>年度“三公”经费财政拨款支出决算</w:t>
      </w:r>
      <w:r>
        <w:rPr>
          <w:rFonts w:hint="eastAsia" w:ascii="仿宋_GB2312" w:hAnsi="宋体" w:cs="宋体"/>
          <w:color w:val="auto"/>
          <w:kern w:val="0"/>
          <w:sz w:val="32"/>
          <w:szCs w:val="32"/>
          <w:highlight w:val="none"/>
          <w:lang w:val="en-US" w:eastAsia="zh-CN"/>
        </w:rPr>
        <w:t>92.6</w:t>
      </w:r>
      <w:r>
        <w:rPr>
          <w:rFonts w:hint="eastAsia" w:ascii="仿宋_GB2312" w:hAnsi="宋体" w:eastAsia="仿宋_GB2312" w:cs="宋体"/>
          <w:color w:val="auto"/>
          <w:kern w:val="0"/>
          <w:sz w:val="32"/>
          <w:szCs w:val="32"/>
          <w:highlight w:val="none"/>
          <w:lang w:val="en-US" w:eastAsia="zh-CN"/>
        </w:rPr>
        <w:t>万元，</w:t>
      </w:r>
      <w:r>
        <w:rPr>
          <w:rFonts w:hint="eastAsia" w:ascii="仿宋_GB2312" w:hAnsi="宋体" w:eastAsia="仿宋_GB2312" w:cs="宋体"/>
          <w:color w:val="auto"/>
          <w:kern w:val="0"/>
          <w:sz w:val="32"/>
          <w:szCs w:val="32"/>
          <w:highlight w:val="none"/>
          <w:lang w:eastAsia="zh-CN"/>
        </w:rPr>
        <w:t>全部</w:t>
      </w:r>
      <w:r>
        <w:rPr>
          <w:rFonts w:hint="eastAsia" w:ascii="仿宋_GB2312" w:hAnsi="宋体" w:cs="宋体"/>
          <w:color w:val="auto"/>
          <w:kern w:val="0"/>
          <w:sz w:val="32"/>
          <w:szCs w:val="32"/>
          <w:highlight w:val="none"/>
          <w:lang w:val="en-US" w:eastAsia="zh-CN"/>
        </w:rPr>
        <w:t>用于</w:t>
      </w:r>
      <w:r>
        <w:rPr>
          <w:rFonts w:hint="eastAsia" w:ascii="仿宋_GB2312" w:hAnsi="宋体" w:eastAsia="仿宋_GB2312" w:cs="宋体"/>
          <w:color w:val="auto"/>
          <w:kern w:val="0"/>
          <w:sz w:val="32"/>
          <w:szCs w:val="32"/>
          <w:highlight w:val="none"/>
        </w:rPr>
        <w:t>公务用车运行</w:t>
      </w:r>
      <w:r>
        <w:rPr>
          <w:rFonts w:hint="eastAsia" w:ascii="仿宋_GB2312" w:hAnsi="宋体" w:cs="宋体"/>
          <w:color w:val="auto"/>
          <w:kern w:val="0"/>
          <w:sz w:val="32"/>
          <w:szCs w:val="32"/>
          <w:highlight w:val="none"/>
          <w:lang w:val="en-US" w:eastAsia="zh-CN"/>
        </w:rPr>
        <w:t>维护</w:t>
      </w:r>
      <w:r>
        <w:rPr>
          <w:rFonts w:hint="eastAsia" w:ascii="仿宋_GB2312" w:hAnsi="宋体" w:eastAsia="仿宋_GB2312" w:cs="宋体"/>
          <w:color w:val="auto"/>
          <w:kern w:val="0"/>
          <w:sz w:val="32"/>
          <w:szCs w:val="32"/>
          <w:highlight w:val="none"/>
        </w:rPr>
        <w:t>费</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占</w:t>
      </w:r>
      <w:r>
        <w:rPr>
          <w:rFonts w:hint="eastAsia" w:ascii="仿宋_GB2312" w:hAnsi="宋体" w:eastAsia="仿宋_GB2312" w:cs="宋体"/>
          <w:color w:val="auto"/>
          <w:kern w:val="0"/>
          <w:sz w:val="32"/>
          <w:szCs w:val="32"/>
          <w:highlight w:val="none"/>
          <w:lang w:val="en-US" w:eastAsia="zh-CN"/>
        </w:rPr>
        <w:t>100</w:t>
      </w:r>
      <w:r>
        <w:rPr>
          <w:rFonts w:hint="eastAsia" w:ascii="仿宋_GB2312" w:hAnsi="宋体" w:eastAsia="仿宋_GB2312" w:cs="宋体"/>
          <w:color w:val="auto"/>
          <w:kern w:val="0"/>
          <w:sz w:val="32"/>
          <w:szCs w:val="32"/>
          <w:highlight w:val="none"/>
        </w:rPr>
        <w:t>%</w:t>
      </w:r>
      <w:r>
        <w:rPr>
          <w:rFonts w:hint="eastAsia" w:ascii="仿宋_GB2312" w:hAnsi="宋体"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完成年初预算的</w:t>
      </w:r>
      <w:r>
        <w:rPr>
          <w:rFonts w:hint="eastAsia" w:ascii="仿宋_GB2312" w:hAnsi="宋体" w:cs="宋体"/>
          <w:color w:val="auto"/>
          <w:kern w:val="0"/>
          <w:sz w:val="32"/>
          <w:szCs w:val="32"/>
          <w:highlight w:val="none"/>
          <w:lang w:val="en-US" w:eastAsia="zh-CN"/>
        </w:rPr>
        <w:t>100</w:t>
      </w:r>
      <w:r>
        <w:rPr>
          <w:rFonts w:hint="eastAsia" w:ascii="仿宋_GB2312" w:hAnsi="宋体" w:eastAsia="仿宋_GB2312" w:cs="宋体"/>
          <w:color w:val="auto"/>
          <w:kern w:val="0"/>
          <w:sz w:val="32"/>
          <w:szCs w:val="32"/>
          <w:highlight w:val="none"/>
        </w:rPr>
        <w:t>%</w:t>
      </w:r>
      <w:r>
        <w:rPr>
          <w:rFonts w:hint="eastAsia" w:ascii="仿宋_GB2312" w:hAnsi="宋体" w:cs="宋体"/>
          <w:color w:val="auto"/>
          <w:kern w:val="0"/>
          <w:sz w:val="32"/>
          <w:szCs w:val="32"/>
          <w:highlight w:val="none"/>
          <w:lang w:eastAsia="zh-CN"/>
        </w:rPr>
        <w:t>。</w:t>
      </w:r>
    </w:p>
    <w:p w14:paraId="57593F8B">
      <w:pPr>
        <w:spacing w:line="580" w:lineRule="exact"/>
        <w:ind w:firstLine="640"/>
        <w:rPr>
          <w:rFonts w:hint="eastAsia" w:ascii="仿宋_GB2312"/>
          <w:szCs w:val="32"/>
          <w:highlight w:val="none"/>
          <w:lang w:val="en-US" w:eastAsia="zh-CN"/>
        </w:rPr>
      </w:pPr>
      <w:r>
        <w:rPr>
          <w:rFonts w:hint="eastAsia" w:ascii="仿宋_GB2312"/>
          <w:szCs w:val="32"/>
        </w:rPr>
        <w:t>因公出国 (境) 费</w:t>
      </w:r>
      <w:r>
        <w:rPr>
          <w:rFonts w:hint="eastAsia" w:ascii="仿宋_GB2312"/>
          <w:szCs w:val="32"/>
          <w:highlight w:val="none"/>
        </w:rPr>
        <w:t>支出0.00元，完成预算的0.00%，与上年相同，主要原因是:本单位因公出国（境）人数</w:t>
      </w:r>
      <w:r>
        <w:rPr>
          <w:rFonts w:hint="eastAsia" w:ascii="仿宋_GB2312"/>
          <w:szCs w:val="32"/>
          <w:highlight w:val="none"/>
          <w:lang w:val="en-US" w:eastAsia="zh-CN"/>
        </w:rPr>
        <w:t>0；</w:t>
      </w:r>
    </w:p>
    <w:p w14:paraId="24385E33">
      <w:pPr>
        <w:spacing w:line="580" w:lineRule="exact"/>
        <w:ind w:firstLine="640"/>
        <w:rPr>
          <w:rFonts w:hint="eastAsia" w:ascii="仿宋_GB2312" w:eastAsia="仿宋_GB2312"/>
          <w:szCs w:val="32"/>
          <w:highlight w:val="none"/>
          <w:lang w:eastAsia="zh-CN"/>
        </w:rPr>
      </w:pPr>
      <w:r>
        <w:rPr>
          <w:rFonts w:hint="eastAsia" w:ascii="仿宋_GB2312"/>
          <w:szCs w:val="32"/>
          <w:highlight w:val="none"/>
        </w:rPr>
        <w:t>公务用车购置费支出0.00元，完成预算的0.00%，与上年相同，主要原因是: 本单位购置公务用车</w:t>
      </w:r>
      <w:r>
        <w:rPr>
          <w:rFonts w:hint="eastAsia" w:ascii="仿宋_GB2312"/>
          <w:szCs w:val="32"/>
          <w:highlight w:val="none"/>
          <w:lang w:eastAsia="zh-CN"/>
        </w:rPr>
        <w:t>数量</w:t>
      </w:r>
      <w:r>
        <w:rPr>
          <w:rFonts w:hint="eastAsia" w:ascii="仿宋_GB2312"/>
          <w:szCs w:val="32"/>
          <w:highlight w:val="none"/>
          <w:lang w:val="en-US" w:eastAsia="zh-CN"/>
        </w:rPr>
        <w:t>0,</w:t>
      </w:r>
      <w:r>
        <w:rPr>
          <w:rFonts w:hint="eastAsia" w:ascii="仿宋_GB2312"/>
          <w:szCs w:val="32"/>
          <w:highlight w:val="none"/>
        </w:rPr>
        <w:t>截止目前公务用车保有量</w:t>
      </w:r>
      <w:r>
        <w:rPr>
          <w:rFonts w:hint="eastAsia" w:ascii="仿宋_GB2312"/>
          <w:szCs w:val="32"/>
          <w:highlight w:val="none"/>
          <w:lang w:val="en-US" w:eastAsia="zh-CN"/>
        </w:rPr>
        <w:t>47</w:t>
      </w:r>
      <w:r>
        <w:rPr>
          <w:rFonts w:hint="eastAsia" w:ascii="仿宋_GB2312"/>
          <w:szCs w:val="32"/>
          <w:highlight w:val="none"/>
        </w:rPr>
        <w:t>辆</w:t>
      </w:r>
      <w:r>
        <w:rPr>
          <w:rFonts w:hint="eastAsia" w:ascii="仿宋_GB2312"/>
          <w:szCs w:val="32"/>
          <w:highlight w:val="none"/>
          <w:lang w:val="en-US" w:eastAsia="zh-CN"/>
        </w:rPr>
        <w:t>;</w:t>
      </w:r>
    </w:p>
    <w:p w14:paraId="21FF7AF3">
      <w:pPr>
        <w:spacing w:line="580" w:lineRule="exact"/>
        <w:ind w:firstLine="640"/>
        <w:rPr>
          <w:rFonts w:hint="eastAsia" w:ascii="仿宋_GB2312"/>
          <w:szCs w:val="32"/>
          <w:highlight w:val="none"/>
        </w:rPr>
      </w:pPr>
      <w:r>
        <w:rPr>
          <w:rFonts w:hint="eastAsia" w:ascii="仿宋_GB2312"/>
          <w:szCs w:val="32"/>
          <w:highlight w:val="none"/>
        </w:rPr>
        <w:t>公务接待费支出0.00元，完成预算的0.00%，与上年相同，主要原因是: 本单位国内公务接待批次</w:t>
      </w:r>
      <w:r>
        <w:rPr>
          <w:rFonts w:hint="eastAsia" w:ascii="仿宋_GB2312"/>
          <w:szCs w:val="32"/>
          <w:highlight w:val="none"/>
          <w:lang w:val="en-US" w:eastAsia="zh-CN"/>
        </w:rPr>
        <w:t>0，人数0。</w:t>
      </w:r>
    </w:p>
    <w:p w14:paraId="22560AAB">
      <w:pPr>
        <w:spacing w:line="580" w:lineRule="exact"/>
        <w:ind w:firstLine="643"/>
        <w:rPr>
          <w:rFonts w:hint="eastAsia"/>
          <w:b/>
          <w:szCs w:val="32"/>
        </w:rPr>
      </w:pPr>
      <w:r>
        <w:rPr>
          <w:rFonts w:hint="eastAsia"/>
          <w:b/>
          <w:szCs w:val="32"/>
        </w:rPr>
        <w:t>八、其他重要事项情况说明</w:t>
      </w:r>
    </w:p>
    <w:p w14:paraId="13BEC1EA">
      <w:pPr>
        <w:spacing w:line="580" w:lineRule="exact"/>
        <w:ind w:firstLine="643"/>
        <w:outlineLvl w:val="0"/>
        <w:rPr>
          <w:rFonts w:hint="eastAsia" w:ascii="仿宋_GB2312"/>
          <w:szCs w:val="32"/>
        </w:rPr>
      </w:pPr>
      <w:r>
        <w:rPr>
          <w:rFonts w:hint="eastAsia" w:ascii="仿宋_GB2312"/>
          <w:b/>
          <w:szCs w:val="32"/>
        </w:rPr>
        <w:t>（一）机关运行经费支出情况说明</w:t>
      </w:r>
    </w:p>
    <w:p w14:paraId="025A9A39">
      <w:pPr>
        <w:spacing w:line="580" w:lineRule="exact"/>
        <w:ind w:firstLine="640"/>
        <w:rPr>
          <w:rFonts w:hint="eastAsia"/>
          <w:b/>
          <w:szCs w:val="32"/>
        </w:rPr>
      </w:pPr>
      <w:r>
        <w:rPr>
          <w:rFonts w:hint="eastAsia"/>
          <w:b/>
          <w:szCs w:val="32"/>
        </w:rPr>
        <w:t>本部门无机关运行经费。</w:t>
      </w:r>
    </w:p>
    <w:p w14:paraId="14ADE511">
      <w:pPr>
        <w:spacing w:line="580" w:lineRule="exact"/>
        <w:ind w:firstLine="643"/>
        <w:outlineLvl w:val="0"/>
        <w:rPr>
          <w:rFonts w:hint="eastAsia" w:ascii="仿宋_GB2312"/>
          <w:b/>
          <w:szCs w:val="32"/>
        </w:rPr>
      </w:pPr>
      <w:r>
        <w:rPr>
          <w:rFonts w:hint="eastAsia" w:ascii="仿宋_GB2312"/>
          <w:b/>
          <w:szCs w:val="32"/>
        </w:rPr>
        <w:t>（二）政府采购情况说明</w:t>
      </w:r>
    </w:p>
    <w:p w14:paraId="111B54E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年</w:t>
      </w:r>
      <w:r>
        <w:rPr>
          <w:rFonts w:hint="eastAsia" w:ascii="仿宋" w:hAnsi="仿宋" w:eastAsia="仿宋" w:cs="仿宋"/>
          <w:kern w:val="0"/>
          <w:sz w:val="32"/>
          <w:szCs w:val="32"/>
          <w:lang w:eastAsia="zh-CN"/>
        </w:rPr>
        <w:t>我单位</w:t>
      </w:r>
      <w:r>
        <w:rPr>
          <w:rFonts w:hint="eastAsia" w:ascii="仿宋" w:hAnsi="仿宋" w:eastAsia="仿宋" w:cs="仿宋"/>
          <w:kern w:val="0"/>
          <w:sz w:val="32"/>
          <w:szCs w:val="32"/>
        </w:rPr>
        <w:t>政府采购</w:t>
      </w:r>
      <w:r>
        <w:rPr>
          <w:rFonts w:hint="eastAsia" w:ascii="仿宋" w:hAnsi="仿宋" w:eastAsia="仿宋" w:cs="仿宋"/>
          <w:color w:val="auto"/>
          <w:kern w:val="0"/>
          <w:sz w:val="32"/>
          <w:szCs w:val="32"/>
        </w:rPr>
        <w:t>总额</w:t>
      </w:r>
      <w:r>
        <w:rPr>
          <w:rFonts w:hint="eastAsia" w:ascii="仿宋" w:hAnsi="仿宋" w:eastAsia="仿宋" w:cs="仿宋"/>
          <w:color w:val="auto"/>
          <w:kern w:val="0"/>
          <w:sz w:val="32"/>
          <w:szCs w:val="32"/>
          <w:lang w:val="en-US" w:eastAsia="zh-CN"/>
        </w:rPr>
        <w:t>873.07</w:t>
      </w:r>
      <w:r>
        <w:rPr>
          <w:rFonts w:hint="eastAsia" w:ascii="仿宋" w:hAnsi="仿宋" w:eastAsia="仿宋" w:cs="仿宋"/>
          <w:color w:val="auto"/>
          <w:kern w:val="0"/>
          <w:sz w:val="32"/>
          <w:szCs w:val="32"/>
        </w:rPr>
        <w:t>万元，其中</w:t>
      </w:r>
      <w:r>
        <w:rPr>
          <w:rFonts w:hint="eastAsia" w:ascii="仿宋" w:hAnsi="仿宋" w:eastAsia="仿宋" w:cs="仿宋"/>
          <w:kern w:val="0"/>
          <w:sz w:val="32"/>
          <w:szCs w:val="32"/>
        </w:rPr>
        <w:t>：政府采购货物预算</w:t>
      </w:r>
      <w:r>
        <w:rPr>
          <w:rFonts w:hint="eastAsia" w:ascii="仿宋" w:hAnsi="仿宋" w:eastAsia="仿宋" w:cs="仿宋"/>
          <w:kern w:val="0"/>
          <w:sz w:val="32"/>
          <w:szCs w:val="32"/>
          <w:lang w:val="en-US" w:eastAsia="zh-CN"/>
        </w:rPr>
        <w:t>50</w:t>
      </w:r>
      <w:r>
        <w:rPr>
          <w:rFonts w:hint="eastAsia" w:ascii="仿宋" w:hAnsi="仿宋" w:eastAsia="仿宋" w:cs="仿宋"/>
          <w:kern w:val="0"/>
          <w:sz w:val="32"/>
          <w:szCs w:val="32"/>
        </w:rPr>
        <w:t>万元、政府采购工程预算</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万元、政府采购服务预算</w:t>
      </w:r>
      <w:r>
        <w:rPr>
          <w:rFonts w:hint="eastAsia" w:ascii="仿宋" w:hAnsi="仿宋" w:eastAsia="仿宋" w:cs="仿宋"/>
          <w:kern w:val="0"/>
          <w:sz w:val="32"/>
          <w:szCs w:val="32"/>
          <w:lang w:val="en-US" w:eastAsia="zh-CN"/>
        </w:rPr>
        <w:t>823.07</w:t>
      </w:r>
      <w:r>
        <w:rPr>
          <w:rFonts w:hint="eastAsia" w:ascii="仿宋" w:hAnsi="仿宋" w:eastAsia="仿宋" w:cs="仿宋"/>
          <w:kern w:val="0"/>
          <w:sz w:val="32"/>
          <w:szCs w:val="32"/>
        </w:rPr>
        <w:t>万元。</w:t>
      </w:r>
    </w:p>
    <w:p w14:paraId="1B58C111">
      <w:pPr>
        <w:spacing w:line="580" w:lineRule="exact"/>
        <w:ind w:firstLine="640"/>
        <w:rPr>
          <w:rFonts w:hint="eastAsia" w:ascii="仿宋_GB2312"/>
          <w:szCs w:val="32"/>
        </w:rPr>
      </w:pPr>
    </w:p>
    <w:p w14:paraId="4F972F04">
      <w:pPr>
        <w:spacing w:line="580" w:lineRule="exact"/>
        <w:ind w:firstLine="517" w:firstLineChars="161"/>
        <w:outlineLvl w:val="0"/>
        <w:rPr>
          <w:rFonts w:hint="eastAsia" w:ascii="仿宋_GB2312"/>
          <w:szCs w:val="32"/>
        </w:rPr>
      </w:pPr>
      <w:r>
        <w:rPr>
          <w:rFonts w:hint="eastAsia" w:ascii="仿宋_GB2312"/>
          <w:b/>
          <w:szCs w:val="32"/>
        </w:rPr>
        <w:t>（三）国有资产占用情况说明</w:t>
      </w:r>
    </w:p>
    <w:p w14:paraId="55526850">
      <w:pPr>
        <w:widowControl/>
        <w:spacing w:line="560" w:lineRule="exact"/>
        <w:ind w:left="1" w:firstLine="640" w:firstLineChars="200"/>
        <w:rPr>
          <w:rFonts w:hint="eastAsia" w:ascii="仿宋_GB2312"/>
          <w:szCs w:val="32"/>
        </w:rPr>
      </w:pPr>
      <w:r>
        <w:rPr>
          <w:rFonts w:hint="eastAsia" w:ascii="仿宋_GB2312"/>
          <w:szCs w:val="32"/>
        </w:rPr>
        <w:t>截至20</w:t>
      </w:r>
      <w:r>
        <w:rPr>
          <w:rFonts w:ascii="仿宋_GB2312"/>
          <w:szCs w:val="32"/>
        </w:rPr>
        <w:t>2</w:t>
      </w:r>
      <w:r>
        <w:rPr>
          <w:rFonts w:hint="eastAsia" w:ascii="仿宋_GB2312"/>
          <w:szCs w:val="32"/>
          <w:lang w:val="en-US" w:eastAsia="zh-CN"/>
        </w:rPr>
        <w:t>1</w:t>
      </w:r>
      <w:r>
        <w:rPr>
          <w:rFonts w:hint="eastAsia" w:ascii="仿宋_GB2312"/>
          <w:szCs w:val="32"/>
        </w:rPr>
        <w:t>年12月31日，本部门共有车辆</w:t>
      </w:r>
      <w:r>
        <w:rPr>
          <w:rFonts w:hint="eastAsia" w:ascii="仿宋_GB2312"/>
          <w:szCs w:val="32"/>
          <w:lang w:val="en-US" w:eastAsia="zh-CN"/>
        </w:rPr>
        <w:t>47</w:t>
      </w:r>
      <w:r>
        <w:rPr>
          <w:rFonts w:hint="eastAsia" w:ascii="仿宋_GB2312"/>
          <w:szCs w:val="32"/>
        </w:rPr>
        <w:t>辆。</w:t>
      </w:r>
      <w:r>
        <w:rPr>
          <w:rFonts w:hint="eastAsia" w:ascii="仿宋_GB2312" w:hAnsi="宋体" w:eastAsia="仿宋_GB2312" w:cs="宋体"/>
          <w:color w:val="auto"/>
          <w:kern w:val="0"/>
          <w:sz w:val="32"/>
          <w:szCs w:val="32"/>
          <w:highlight w:val="none"/>
          <w:lang w:eastAsia="zh-CN"/>
        </w:rPr>
        <w:t>全部为</w:t>
      </w:r>
      <w:r>
        <w:rPr>
          <w:rFonts w:hint="eastAsia" w:ascii="仿宋_GB2312" w:hAnsi="宋体" w:eastAsia="仿宋_GB2312" w:cs="宋体"/>
          <w:color w:val="auto"/>
          <w:kern w:val="0"/>
          <w:sz w:val="32"/>
          <w:szCs w:val="32"/>
          <w:highlight w:val="none"/>
        </w:rPr>
        <w:t>执法执勤用车。</w:t>
      </w:r>
      <w:r>
        <w:rPr>
          <w:rFonts w:hint="eastAsia" w:ascii="仿宋_GB2312" w:hAnsi="宋体" w:eastAsia="仿宋_GB2312" w:cs="宋体"/>
          <w:color w:val="auto"/>
          <w:kern w:val="0"/>
          <w:sz w:val="32"/>
          <w:szCs w:val="32"/>
          <w:highlight w:val="none"/>
          <w:lang w:eastAsia="zh-CN"/>
        </w:rPr>
        <w:t>其中，有</w:t>
      </w:r>
      <w:r>
        <w:rPr>
          <w:rFonts w:hint="eastAsia" w:ascii="仿宋_GB2312" w:hAnsi="宋体" w:eastAsia="仿宋_GB2312" w:cs="宋体"/>
          <w:color w:val="auto"/>
          <w:kern w:val="0"/>
          <w:sz w:val="32"/>
          <w:szCs w:val="32"/>
          <w:highlight w:val="none"/>
          <w:lang w:val="en-US" w:eastAsia="zh-CN"/>
        </w:rPr>
        <w:t>8辆已划拨为我单位资产，并已登记。剩余39辆为整合单位原有资产，目前资产调转申请程序正在办理中。</w:t>
      </w:r>
      <w:r>
        <w:rPr>
          <w:rFonts w:hint="eastAsia" w:ascii="仿宋_GB2312" w:hAnsi="宋体" w:cs="宋体"/>
          <w:color w:val="auto"/>
          <w:kern w:val="0"/>
          <w:sz w:val="32"/>
          <w:szCs w:val="32"/>
          <w:highlight w:val="none"/>
          <w:lang w:val="en-US" w:eastAsia="zh-CN"/>
        </w:rPr>
        <w:t>另有</w:t>
      </w:r>
      <w:r>
        <w:rPr>
          <w:rFonts w:hint="eastAsia" w:ascii="仿宋" w:hAnsi="仿宋" w:eastAsia="仿宋" w:cs="仿宋"/>
          <w:color w:val="auto"/>
          <w:kern w:val="0"/>
          <w:sz w:val="32"/>
          <w:szCs w:val="32"/>
        </w:rPr>
        <w:t>执法摩托车40辆</w:t>
      </w:r>
      <w:r>
        <w:rPr>
          <w:rFonts w:hint="eastAsia" w:ascii="宋体" w:hAnsi="宋体" w:eastAsia="宋体" w:cs="宋体"/>
          <w:color w:val="auto"/>
          <w:kern w:val="0"/>
          <w:sz w:val="28"/>
          <w:szCs w:val="28"/>
        </w:rPr>
        <w:t>。</w:t>
      </w:r>
    </w:p>
    <w:p w14:paraId="32512EE3">
      <w:pPr>
        <w:numPr>
          <w:ilvl w:val="0"/>
          <w:numId w:val="3"/>
        </w:numPr>
        <w:spacing w:line="580" w:lineRule="exact"/>
        <w:ind w:firstLine="517" w:firstLineChars="161"/>
        <w:outlineLvl w:val="0"/>
        <w:rPr>
          <w:rFonts w:hint="eastAsia" w:ascii="仿宋_GB2312"/>
          <w:b/>
          <w:szCs w:val="32"/>
        </w:rPr>
      </w:pPr>
      <w:r>
        <w:rPr>
          <w:rFonts w:hint="eastAsia" w:ascii="仿宋_GB2312"/>
          <w:b/>
          <w:szCs w:val="32"/>
        </w:rPr>
        <w:t>预算绩效情况说明</w:t>
      </w:r>
    </w:p>
    <w:p w14:paraId="60B6B9ED">
      <w:pPr>
        <w:keepNext w:val="0"/>
        <w:keepLines w:val="0"/>
        <w:pageBreakBefore w:val="0"/>
        <w:numPr>
          <w:ilvl w:val="0"/>
          <w:numId w:val="0"/>
        </w:numPr>
        <w:kinsoku/>
        <w:wordWrap/>
        <w:overflowPunct/>
        <w:topLinePunct w:val="0"/>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（1）预算绩效管理工作开展情况。</w:t>
      </w:r>
    </w:p>
    <w:p w14:paraId="27E7EE91">
      <w:pPr>
        <w:pStyle w:val="2"/>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宋体" w:eastAsia="仿宋_GB2312" w:cs="宋体"/>
          <w:color w:val="auto"/>
          <w:kern w:val="0"/>
          <w:sz w:val="32"/>
          <w:szCs w:val="32"/>
          <w:highlight w:val="none"/>
          <w:lang w:val="en-US" w:eastAsia="zh-CN" w:bidi="ar-SA"/>
        </w:rPr>
        <w:t>根据预算绩效管理要求，</w:t>
      </w:r>
      <w:r>
        <w:rPr>
          <w:rFonts w:hint="eastAsia" w:ascii="仿宋_GB2312" w:eastAsia="仿宋_GB2312" w:cs="宋体"/>
          <w:color w:val="auto"/>
          <w:kern w:val="0"/>
          <w:sz w:val="32"/>
          <w:szCs w:val="32"/>
          <w:highlight w:val="none"/>
          <w:lang w:val="en-US" w:eastAsia="zh-CN" w:bidi="ar-SA"/>
        </w:rPr>
        <w:t>我单位</w:t>
      </w:r>
      <w:r>
        <w:rPr>
          <w:rFonts w:hint="eastAsia" w:ascii="仿宋_GB2312" w:hAnsi="宋体" w:eastAsia="仿宋_GB2312" w:cs="宋体"/>
          <w:color w:val="auto"/>
          <w:kern w:val="0"/>
          <w:sz w:val="32"/>
          <w:szCs w:val="32"/>
          <w:highlight w:val="none"/>
          <w:lang w:val="en-US" w:eastAsia="zh-CN" w:bidi="ar-SA"/>
        </w:rPr>
        <w:t>组织对 20</w:t>
      </w:r>
      <w:r>
        <w:rPr>
          <w:rFonts w:hint="eastAsia" w:ascii="仿宋_GB2312" w:eastAsia="仿宋_GB2312" w:cs="宋体"/>
          <w:color w:val="auto"/>
          <w:kern w:val="0"/>
          <w:sz w:val="32"/>
          <w:szCs w:val="32"/>
          <w:highlight w:val="none"/>
          <w:lang w:val="en-US" w:eastAsia="zh-CN" w:bidi="ar-SA"/>
        </w:rPr>
        <w:t>21</w:t>
      </w:r>
      <w:r>
        <w:rPr>
          <w:rFonts w:hint="eastAsia" w:ascii="仿宋_GB2312" w:hAnsi="宋体" w:eastAsia="仿宋_GB2312" w:cs="宋体"/>
          <w:color w:val="auto"/>
          <w:kern w:val="0"/>
          <w:sz w:val="32"/>
          <w:szCs w:val="32"/>
          <w:highlight w:val="none"/>
          <w:lang w:val="en-US" w:eastAsia="zh-CN" w:bidi="ar-SA"/>
        </w:rPr>
        <w:t>年度一般公共预算项目支出开展绩效自评，共涉及资</w:t>
      </w:r>
      <w:r>
        <w:rPr>
          <w:rFonts w:hint="eastAsia" w:ascii="仿宋_GB2312" w:eastAsia="仿宋_GB2312" w:cs="宋体"/>
          <w:color w:val="auto"/>
          <w:kern w:val="0"/>
          <w:sz w:val="32"/>
          <w:szCs w:val="32"/>
          <w:highlight w:val="none"/>
          <w:lang w:val="en-US" w:eastAsia="zh-CN" w:bidi="ar-SA"/>
        </w:rPr>
        <w:t>金786.93</w:t>
      </w:r>
      <w:r>
        <w:rPr>
          <w:rFonts w:hint="eastAsia" w:ascii="仿宋_GB2312" w:hAnsi="宋体" w:eastAsia="仿宋_GB2312" w:cs="宋体"/>
          <w:color w:val="auto"/>
          <w:kern w:val="0"/>
          <w:sz w:val="32"/>
          <w:szCs w:val="32"/>
          <w:highlight w:val="none"/>
          <w:lang w:val="en-US" w:eastAsia="zh-CN" w:bidi="ar-SA"/>
        </w:rPr>
        <w:t>万元。</w:t>
      </w:r>
      <w:r>
        <w:rPr>
          <w:rFonts w:hint="eastAsia" w:ascii="仿宋_GB2312" w:eastAsia="仿宋_GB2312" w:cs="宋体"/>
          <w:color w:val="auto"/>
          <w:kern w:val="0"/>
          <w:sz w:val="32"/>
          <w:szCs w:val="32"/>
          <w:highlight w:val="none"/>
          <w:lang w:val="en-US" w:eastAsia="zh-CN" w:bidi="ar-SA"/>
        </w:rPr>
        <w:t>城管局</w:t>
      </w:r>
      <w:r>
        <w:rPr>
          <w:rFonts w:hint="eastAsia" w:ascii="仿宋_GB2312" w:hAnsi="宋体" w:eastAsia="仿宋_GB2312" w:cs="宋体"/>
          <w:color w:val="auto"/>
          <w:kern w:val="0"/>
          <w:sz w:val="32"/>
          <w:szCs w:val="32"/>
          <w:highlight w:val="none"/>
          <w:lang w:val="en-US" w:eastAsia="zh-CN" w:bidi="ar-SA"/>
        </w:rPr>
        <w:t>组织对</w:t>
      </w:r>
      <w:r>
        <w:rPr>
          <w:rFonts w:hint="eastAsia" w:ascii="仿宋_GB2312" w:eastAsia="仿宋_GB2312" w:cs="宋体"/>
          <w:color w:val="auto"/>
          <w:kern w:val="0"/>
          <w:sz w:val="32"/>
          <w:szCs w:val="32"/>
          <w:highlight w:val="none"/>
          <w:lang w:val="en-US" w:eastAsia="zh-CN" w:bidi="ar-SA"/>
        </w:rPr>
        <w:t>我单位重点</w:t>
      </w:r>
      <w:r>
        <w:rPr>
          <w:rFonts w:hint="eastAsia" w:ascii="仿宋_GB2312" w:hAnsi="宋体" w:eastAsia="仿宋_GB2312" w:cs="宋体"/>
          <w:color w:val="auto"/>
          <w:kern w:val="0"/>
          <w:sz w:val="32"/>
          <w:szCs w:val="32"/>
          <w:highlight w:val="none"/>
          <w:lang w:val="en-US" w:eastAsia="zh-CN" w:bidi="ar-SA"/>
        </w:rPr>
        <w:t>项目开展了</w:t>
      </w:r>
      <w:r>
        <w:rPr>
          <w:rFonts w:hint="eastAsia" w:ascii="仿宋_GB2312" w:eastAsia="仿宋_GB2312" w:cs="宋体"/>
          <w:color w:val="auto"/>
          <w:kern w:val="0"/>
          <w:sz w:val="32"/>
          <w:szCs w:val="32"/>
          <w:highlight w:val="none"/>
          <w:lang w:val="en-US" w:eastAsia="zh-CN" w:bidi="ar-SA"/>
        </w:rPr>
        <w:t>复评</w:t>
      </w:r>
      <w:r>
        <w:rPr>
          <w:rFonts w:hint="eastAsia" w:ascii="仿宋_GB2312" w:hAnsi="宋体" w:eastAsia="仿宋_GB2312" w:cs="宋体"/>
          <w:color w:val="auto"/>
          <w:kern w:val="0"/>
          <w:sz w:val="32"/>
          <w:szCs w:val="32"/>
          <w:highlight w:val="none"/>
          <w:lang w:val="en-US" w:eastAsia="zh-CN" w:bidi="ar-SA"/>
        </w:rPr>
        <w:t xml:space="preserve">，涉及一般公共预算支出 </w:t>
      </w:r>
      <w:r>
        <w:rPr>
          <w:rFonts w:hint="eastAsia" w:ascii="仿宋_GB2312" w:eastAsia="仿宋_GB2312" w:cs="宋体"/>
          <w:color w:val="auto"/>
          <w:kern w:val="0"/>
          <w:sz w:val="32"/>
          <w:szCs w:val="32"/>
          <w:highlight w:val="none"/>
          <w:lang w:val="en-US" w:eastAsia="zh-CN" w:bidi="ar-SA"/>
        </w:rPr>
        <w:t>786.93</w:t>
      </w:r>
      <w:r>
        <w:rPr>
          <w:rFonts w:hint="eastAsia" w:ascii="仿宋_GB2312" w:hAnsi="宋体" w:eastAsia="仿宋_GB2312" w:cs="宋体"/>
          <w:color w:val="auto"/>
          <w:kern w:val="0"/>
          <w:sz w:val="32"/>
          <w:szCs w:val="32"/>
          <w:highlight w:val="none"/>
          <w:lang w:val="en-US" w:eastAsia="zh-CN" w:bidi="ar-SA"/>
        </w:rPr>
        <w:t>万元。从评价情况来看，项目立项程序完整、规范，预算执行及时、有效，绩效目标得到较好实现，绩效管理水平不断提高。</w:t>
      </w:r>
    </w:p>
    <w:p w14:paraId="667001A9">
      <w:pPr>
        <w:keepNext w:val="0"/>
        <w:keepLines w:val="0"/>
        <w:pageBreakBefore w:val="0"/>
        <w:widowControl/>
        <w:kinsoku/>
        <w:wordWrap/>
        <w:overflowPunct/>
        <w:topLinePunct w:val="0"/>
        <w:autoSpaceDE/>
        <w:autoSpaceDN/>
        <w:bidi w:val="0"/>
        <w:adjustRightInd/>
        <w:snapToGrid/>
        <w:spacing w:line="580" w:lineRule="exact"/>
        <w:ind w:left="0" w:firstLine="643" w:firstLineChars="200"/>
        <w:jc w:val="left"/>
        <w:textAlignment w:val="auto"/>
        <w:rPr>
          <w:rFonts w:hint="eastAsia" w:ascii="仿宋_GB2312" w:hAnsi="宋体" w:eastAsia="仿宋_GB2312" w:cs="宋体"/>
          <w:b/>
          <w:color w:val="auto"/>
          <w:kern w:val="0"/>
          <w:sz w:val="32"/>
          <w:szCs w:val="32"/>
          <w:highlight w:val="none"/>
          <w:lang w:eastAsia="zh-CN"/>
        </w:rPr>
      </w:pPr>
      <w:r>
        <w:rPr>
          <w:rFonts w:hint="eastAsia" w:ascii="仿宋_GB2312" w:hAnsi="宋体" w:eastAsia="仿宋_GB2312" w:cs="宋体"/>
          <w:b/>
          <w:color w:val="auto"/>
          <w:kern w:val="0"/>
          <w:sz w:val="32"/>
          <w:szCs w:val="32"/>
          <w:highlight w:val="none"/>
          <w:lang w:eastAsia="zh-CN"/>
        </w:rPr>
        <w:t>（</w:t>
      </w:r>
      <w:r>
        <w:rPr>
          <w:rFonts w:hint="eastAsia" w:ascii="仿宋_GB2312" w:hAnsi="宋体" w:cs="宋体"/>
          <w:b/>
          <w:color w:val="auto"/>
          <w:kern w:val="0"/>
          <w:sz w:val="32"/>
          <w:szCs w:val="32"/>
          <w:highlight w:val="none"/>
          <w:lang w:val="en-US" w:eastAsia="zh-CN"/>
        </w:rPr>
        <w:t>2</w:t>
      </w:r>
      <w:r>
        <w:rPr>
          <w:rFonts w:hint="eastAsia" w:ascii="仿宋_GB2312" w:hAnsi="宋体" w:eastAsia="仿宋_GB2312" w:cs="宋体"/>
          <w:b/>
          <w:color w:val="auto"/>
          <w:kern w:val="0"/>
          <w:sz w:val="32"/>
          <w:szCs w:val="32"/>
          <w:highlight w:val="none"/>
          <w:lang w:eastAsia="zh-CN"/>
        </w:rPr>
        <w:t>）部门决算中项目绩效自评结果</w:t>
      </w:r>
    </w:p>
    <w:p w14:paraId="53DE101C">
      <w:pPr>
        <w:bidi w:val="0"/>
        <w:rPr>
          <w:rFonts w:hint="eastAsia"/>
          <w:lang w:val="en-US" w:eastAsia="zh-CN"/>
        </w:rPr>
      </w:pPr>
      <w:r>
        <w:rPr>
          <w:rFonts w:hint="eastAsia"/>
          <w:lang w:val="en-US" w:eastAsia="zh-CN"/>
        </w:rPr>
        <w:t>我单位在 2021年度决算中对“综合行政执法队运转经费”项目开展了绩效自评。</w:t>
      </w:r>
    </w:p>
    <w:p w14:paraId="7615B499">
      <w:pPr>
        <w:bidi w:val="0"/>
        <w:rPr>
          <w:rFonts w:hint="eastAsia"/>
          <w:lang w:val="en-US" w:eastAsia="zh-CN"/>
        </w:rPr>
      </w:pPr>
      <w:r>
        <w:rPr>
          <w:rFonts w:hint="eastAsia"/>
          <w:lang w:val="en-US" w:eastAsia="zh-CN"/>
        </w:rPr>
        <w:t>“综合行政执法队运转经费”项目自评综述：根据年初设定的绩效目标，项目自评得分为 91分。全年预算数为786.93万元，执行数为786.93万元，完成预算的100%。项目绩效目标完成情况：通过项目实施，满足了单位执法工作在人员上的需求，保障了协管人员的薪资与福利。发现的主要问题：资金使用率较低。下一步改进措施：编制预算时进一步细化项目内容，尽可能地减少不确定性。</w:t>
      </w:r>
    </w:p>
    <w:p w14:paraId="060B1B7B">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80" w:lineRule="exact"/>
        <w:ind w:leftChars="200"/>
        <w:textAlignment w:val="auto"/>
        <w:rPr>
          <w:rFonts w:hint="eastAsia" w:ascii="仿宋_GB2312" w:hAnsi="宋体" w:eastAsia="仿宋_GB2312" w:cs="宋体"/>
          <w:color w:val="auto"/>
          <w:kern w:val="0"/>
          <w:sz w:val="32"/>
          <w:szCs w:val="32"/>
          <w:highlight w:val="none"/>
          <w:lang w:val="en-US" w:eastAsia="zh-CN" w:bidi="ar-SA"/>
        </w:rPr>
      </w:pPr>
    </w:p>
    <w:tbl>
      <w:tblPr>
        <w:tblStyle w:val="5"/>
        <w:tblW w:w="5000" w:type="pct"/>
        <w:tblInd w:w="0" w:type="dxa"/>
        <w:tblLayout w:type="fixed"/>
        <w:tblCellMar>
          <w:top w:w="0" w:type="dxa"/>
          <w:left w:w="108" w:type="dxa"/>
          <w:bottom w:w="0" w:type="dxa"/>
          <w:right w:w="108" w:type="dxa"/>
        </w:tblCellMar>
      </w:tblPr>
      <w:tblGrid>
        <w:gridCol w:w="624"/>
        <w:gridCol w:w="736"/>
        <w:gridCol w:w="87"/>
        <w:gridCol w:w="837"/>
        <w:gridCol w:w="87"/>
        <w:gridCol w:w="280"/>
        <w:gridCol w:w="629"/>
        <w:gridCol w:w="58"/>
        <w:gridCol w:w="638"/>
        <w:gridCol w:w="964"/>
        <w:gridCol w:w="1025"/>
        <w:gridCol w:w="173"/>
        <w:gridCol w:w="697"/>
        <w:gridCol w:w="328"/>
        <w:gridCol w:w="263"/>
        <w:gridCol w:w="344"/>
        <w:gridCol w:w="753"/>
      </w:tblGrid>
      <w:tr w14:paraId="27C7DB8B">
        <w:tblPrEx>
          <w:tblCellMar>
            <w:top w:w="0" w:type="dxa"/>
            <w:left w:w="108" w:type="dxa"/>
            <w:bottom w:w="0" w:type="dxa"/>
            <w:right w:w="108" w:type="dxa"/>
          </w:tblCellMar>
        </w:tblPrEx>
        <w:trPr>
          <w:trHeight w:val="775" w:hRule="atLeast"/>
        </w:trPr>
        <w:tc>
          <w:tcPr>
            <w:tcW w:w="5000" w:type="pct"/>
            <w:gridSpan w:val="17"/>
            <w:tcBorders>
              <w:top w:val="nil"/>
              <w:left w:val="nil"/>
              <w:bottom w:val="nil"/>
              <w:right w:val="nil"/>
            </w:tcBorders>
            <w:noWrap w:val="0"/>
            <w:vAlign w:val="center"/>
          </w:tcPr>
          <w:p w14:paraId="5B7EF53F">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 xml:space="preserve">阳泉市项目支出绩效自评表                </w:t>
            </w:r>
          </w:p>
        </w:tc>
      </w:tr>
      <w:tr w14:paraId="039A8BD1">
        <w:tblPrEx>
          <w:tblCellMar>
            <w:top w:w="0" w:type="dxa"/>
            <w:left w:w="108" w:type="dxa"/>
            <w:bottom w:w="0" w:type="dxa"/>
            <w:right w:w="108" w:type="dxa"/>
          </w:tblCellMar>
        </w:tblPrEx>
        <w:trPr>
          <w:trHeight w:val="640" w:hRule="atLeast"/>
        </w:trPr>
        <w:tc>
          <w:tcPr>
            <w:tcW w:w="5000" w:type="pct"/>
            <w:gridSpan w:val="17"/>
            <w:tcBorders>
              <w:top w:val="nil"/>
              <w:left w:val="nil"/>
              <w:bottom w:val="single" w:color="000000" w:sz="4" w:space="0"/>
              <w:right w:val="nil"/>
            </w:tcBorders>
            <w:noWrap w:val="0"/>
            <w:vAlign w:val="center"/>
          </w:tcPr>
          <w:p w14:paraId="5EC108A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单位（盖章）：阳泉市城市管理综合行政执法队                                         </w:t>
            </w:r>
          </w:p>
        </w:tc>
      </w:tr>
      <w:tr w14:paraId="2A0E6A4F">
        <w:tblPrEx>
          <w:tblCellMar>
            <w:top w:w="0" w:type="dxa"/>
            <w:left w:w="108" w:type="dxa"/>
            <w:bottom w:w="0" w:type="dxa"/>
            <w:right w:w="108" w:type="dxa"/>
          </w:tblCellMar>
        </w:tblPrEx>
        <w:trPr>
          <w:trHeight w:val="580" w:hRule="atLeast"/>
        </w:trPr>
        <w:tc>
          <w:tcPr>
            <w:tcW w:w="1339" w:type="pct"/>
            <w:gridSpan w:val="4"/>
            <w:tcBorders>
              <w:top w:val="single" w:color="000000" w:sz="4" w:space="0"/>
              <w:left w:val="single" w:color="000000" w:sz="4" w:space="0"/>
              <w:bottom w:val="single" w:color="000000" w:sz="4" w:space="0"/>
              <w:right w:val="single" w:color="000000" w:sz="4" w:space="0"/>
            </w:tcBorders>
            <w:noWrap w:val="0"/>
            <w:vAlign w:val="center"/>
          </w:tcPr>
          <w:p w14:paraId="3809F3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项目名称</w:t>
            </w:r>
          </w:p>
        </w:tc>
        <w:tc>
          <w:tcPr>
            <w:tcW w:w="3660" w:type="pct"/>
            <w:gridSpan w:val="13"/>
            <w:tcBorders>
              <w:top w:val="single" w:color="000000" w:sz="4" w:space="0"/>
              <w:left w:val="single" w:color="000000" w:sz="4" w:space="0"/>
              <w:bottom w:val="single" w:color="000000" w:sz="4" w:space="0"/>
              <w:right w:val="single" w:color="000000" w:sz="4" w:space="0"/>
            </w:tcBorders>
            <w:noWrap w:val="0"/>
            <w:vAlign w:val="center"/>
          </w:tcPr>
          <w:p w14:paraId="2DC7B3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综合行政执法队运转经费</w:t>
            </w:r>
          </w:p>
        </w:tc>
      </w:tr>
      <w:tr w14:paraId="24FFAF5E">
        <w:tblPrEx>
          <w:tblCellMar>
            <w:top w:w="0" w:type="dxa"/>
            <w:left w:w="108" w:type="dxa"/>
            <w:bottom w:w="0" w:type="dxa"/>
            <w:right w:w="108" w:type="dxa"/>
          </w:tblCellMar>
        </w:tblPrEx>
        <w:trPr>
          <w:trHeight w:val="580" w:hRule="atLeast"/>
        </w:trPr>
        <w:tc>
          <w:tcPr>
            <w:tcW w:w="1339" w:type="pct"/>
            <w:gridSpan w:val="4"/>
            <w:tcBorders>
              <w:top w:val="single" w:color="000000" w:sz="4" w:space="0"/>
              <w:left w:val="single" w:color="000000" w:sz="4" w:space="0"/>
              <w:bottom w:val="single" w:color="000000" w:sz="4" w:space="0"/>
              <w:right w:val="single" w:color="000000" w:sz="4" w:space="0"/>
            </w:tcBorders>
            <w:noWrap w:val="0"/>
            <w:vAlign w:val="center"/>
          </w:tcPr>
          <w:p w14:paraId="360C5C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项目负责人</w:t>
            </w:r>
          </w:p>
        </w:tc>
        <w:tc>
          <w:tcPr>
            <w:tcW w:w="1558" w:type="pct"/>
            <w:gridSpan w:val="6"/>
            <w:tcBorders>
              <w:top w:val="single" w:color="000000" w:sz="4" w:space="0"/>
              <w:left w:val="single" w:color="000000" w:sz="4" w:space="0"/>
              <w:bottom w:val="single" w:color="000000" w:sz="4" w:space="0"/>
              <w:right w:val="single" w:color="000000" w:sz="4" w:space="0"/>
            </w:tcBorders>
            <w:noWrap w:val="0"/>
            <w:vAlign w:val="center"/>
          </w:tcPr>
          <w:p w14:paraId="0181B3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姚丙成</w:t>
            </w:r>
          </w:p>
        </w:tc>
        <w:tc>
          <w:tcPr>
            <w:tcW w:w="702" w:type="pct"/>
            <w:gridSpan w:val="2"/>
            <w:tcBorders>
              <w:top w:val="single" w:color="000000" w:sz="4" w:space="0"/>
              <w:left w:val="single" w:color="000000" w:sz="4" w:space="0"/>
              <w:bottom w:val="single" w:color="000000" w:sz="4" w:space="0"/>
              <w:right w:val="single" w:color="000000" w:sz="4" w:space="0"/>
            </w:tcBorders>
            <w:noWrap w:val="0"/>
            <w:vAlign w:val="center"/>
          </w:tcPr>
          <w:p w14:paraId="23CD0D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联系电话</w:t>
            </w:r>
          </w:p>
        </w:tc>
        <w:tc>
          <w:tcPr>
            <w:tcW w:w="1399" w:type="pct"/>
            <w:gridSpan w:val="5"/>
            <w:tcBorders>
              <w:top w:val="single" w:color="000000" w:sz="4" w:space="0"/>
              <w:left w:val="single" w:color="000000" w:sz="4" w:space="0"/>
              <w:bottom w:val="single" w:color="000000" w:sz="4" w:space="0"/>
              <w:right w:val="single" w:color="000000" w:sz="4" w:space="0"/>
            </w:tcBorders>
            <w:noWrap w:val="0"/>
            <w:vAlign w:val="center"/>
          </w:tcPr>
          <w:p w14:paraId="27B6D3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13293737007</w:t>
            </w:r>
          </w:p>
        </w:tc>
      </w:tr>
      <w:tr w14:paraId="2E1BD4E8">
        <w:tblPrEx>
          <w:tblCellMar>
            <w:top w:w="0" w:type="dxa"/>
            <w:left w:w="108" w:type="dxa"/>
            <w:bottom w:w="0" w:type="dxa"/>
            <w:right w:w="108" w:type="dxa"/>
          </w:tblCellMar>
        </w:tblPrEx>
        <w:trPr>
          <w:trHeight w:val="580" w:hRule="atLeast"/>
        </w:trPr>
        <w:tc>
          <w:tcPr>
            <w:tcW w:w="1339" w:type="pct"/>
            <w:gridSpan w:val="4"/>
            <w:tcBorders>
              <w:top w:val="single" w:color="000000" w:sz="4" w:space="0"/>
              <w:left w:val="single" w:color="000000" w:sz="4" w:space="0"/>
              <w:bottom w:val="single" w:color="000000" w:sz="4" w:space="0"/>
              <w:right w:val="single" w:color="000000" w:sz="4" w:space="0"/>
            </w:tcBorders>
            <w:noWrap w:val="0"/>
            <w:vAlign w:val="center"/>
          </w:tcPr>
          <w:p w14:paraId="4C4186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主管部门</w:t>
            </w:r>
          </w:p>
        </w:tc>
        <w:tc>
          <w:tcPr>
            <w:tcW w:w="1558" w:type="pct"/>
            <w:gridSpan w:val="6"/>
            <w:tcBorders>
              <w:top w:val="single" w:color="000000" w:sz="4" w:space="0"/>
              <w:left w:val="single" w:color="000000" w:sz="4" w:space="0"/>
              <w:bottom w:val="single" w:color="000000" w:sz="4" w:space="0"/>
              <w:right w:val="single" w:color="000000" w:sz="4" w:space="0"/>
            </w:tcBorders>
            <w:noWrap w:val="0"/>
            <w:vAlign w:val="center"/>
          </w:tcPr>
          <w:p w14:paraId="355F53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阳泉市城市管理局</w:t>
            </w:r>
          </w:p>
        </w:tc>
        <w:tc>
          <w:tcPr>
            <w:tcW w:w="702" w:type="pct"/>
            <w:gridSpan w:val="2"/>
            <w:tcBorders>
              <w:top w:val="single" w:color="000000" w:sz="4" w:space="0"/>
              <w:left w:val="single" w:color="000000" w:sz="4" w:space="0"/>
              <w:bottom w:val="single" w:color="000000" w:sz="4" w:space="0"/>
              <w:right w:val="single" w:color="000000" w:sz="4" w:space="0"/>
            </w:tcBorders>
            <w:noWrap w:val="0"/>
            <w:vAlign w:val="center"/>
          </w:tcPr>
          <w:p w14:paraId="4F7E13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实施单位</w:t>
            </w:r>
          </w:p>
        </w:tc>
        <w:tc>
          <w:tcPr>
            <w:tcW w:w="1399" w:type="pct"/>
            <w:gridSpan w:val="5"/>
            <w:tcBorders>
              <w:top w:val="single" w:color="000000" w:sz="4" w:space="0"/>
              <w:left w:val="single" w:color="000000" w:sz="4" w:space="0"/>
              <w:bottom w:val="single" w:color="000000" w:sz="4" w:space="0"/>
              <w:right w:val="single" w:color="000000" w:sz="4" w:space="0"/>
            </w:tcBorders>
            <w:noWrap w:val="0"/>
            <w:vAlign w:val="center"/>
          </w:tcPr>
          <w:p w14:paraId="249AAB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阳泉市城市管理综合行政执法队</w:t>
            </w:r>
          </w:p>
        </w:tc>
      </w:tr>
      <w:tr w14:paraId="64298D01">
        <w:tblPrEx>
          <w:tblCellMar>
            <w:top w:w="0" w:type="dxa"/>
            <w:left w:w="108" w:type="dxa"/>
            <w:bottom w:w="0" w:type="dxa"/>
            <w:right w:w="108" w:type="dxa"/>
          </w:tblCellMar>
        </w:tblPrEx>
        <w:trPr>
          <w:trHeight w:val="640" w:hRule="atLeast"/>
        </w:trPr>
        <w:tc>
          <w:tcPr>
            <w:tcW w:w="1339" w:type="pct"/>
            <w:gridSpan w:val="4"/>
            <w:tcBorders>
              <w:top w:val="single" w:color="000000" w:sz="4" w:space="0"/>
              <w:left w:val="single" w:color="000000" w:sz="4" w:space="0"/>
              <w:bottom w:val="single" w:color="000000" w:sz="4" w:space="0"/>
              <w:right w:val="single" w:color="000000" w:sz="4" w:space="0"/>
            </w:tcBorders>
            <w:noWrap w:val="0"/>
            <w:vAlign w:val="center"/>
          </w:tcPr>
          <w:p w14:paraId="6810CB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项目起止时间</w:t>
            </w:r>
          </w:p>
        </w:tc>
        <w:tc>
          <w:tcPr>
            <w:tcW w:w="1558" w:type="pct"/>
            <w:gridSpan w:val="6"/>
            <w:tcBorders>
              <w:top w:val="single" w:color="000000" w:sz="4" w:space="0"/>
              <w:left w:val="single" w:color="000000" w:sz="4" w:space="0"/>
              <w:bottom w:val="single" w:color="000000" w:sz="4" w:space="0"/>
              <w:right w:val="single" w:color="000000" w:sz="4" w:space="0"/>
            </w:tcBorders>
            <w:noWrap w:val="0"/>
            <w:vAlign w:val="center"/>
          </w:tcPr>
          <w:p w14:paraId="552BD7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2021.1-2021.12</w:t>
            </w:r>
          </w:p>
        </w:tc>
        <w:tc>
          <w:tcPr>
            <w:tcW w:w="702" w:type="pct"/>
            <w:gridSpan w:val="2"/>
            <w:tcBorders>
              <w:top w:val="single" w:color="000000" w:sz="4" w:space="0"/>
              <w:left w:val="single" w:color="000000" w:sz="4" w:space="0"/>
              <w:bottom w:val="single" w:color="000000" w:sz="4" w:space="0"/>
              <w:right w:val="single" w:color="000000" w:sz="4" w:space="0"/>
            </w:tcBorders>
            <w:noWrap w:val="0"/>
            <w:vAlign w:val="center"/>
          </w:tcPr>
          <w:p w14:paraId="624F89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绩效自评评价年度</w:t>
            </w:r>
          </w:p>
        </w:tc>
        <w:tc>
          <w:tcPr>
            <w:tcW w:w="1399" w:type="pct"/>
            <w:gridSpan w:val="5"/>
            <w:tcBorders>
              <w:top w:val="single" w:color="000000" w:sz="4" w:space="0"/>
              <w:left w:val="single" w:color="000000" w:sz="4" w:space="0"/>
              <w:bottom w:val="single" w:color="000000" w:sz="4" w:space="0"/>
              <w:right w:val="single" w:color="000000" w:sz="4" w:space="0"/>
            </w:tcBorders>
            <w:noWrap w:val="0"/>
            <w:vAlign w:val="center"/>
          </w:tcPr>
          <w:p w14:paraId="4D8096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2021年</w:t>
            </w:r>
          </w:p>
        </w:tc>
      </w:tr>
      <w:tr w14:paraId="259757D6">
        <w:tblPrEx>
          <w:tblCellMar>
            <w:top w:w="0" w:type="dxa"/>
            <w:left w:w="108" w:type="dxa"/>
            <w:bottom w:w="0" w:type="dxa"/>
            <w:right w:w="108" w:type="dxa"/>
          </w:tblCellMar>
        </w:tblPrEx>
        <w:trPr>
          <w:trHeight w:val="1670" w:hRule="atLeast"/>
        </w:trPr>
        <w:tc>
          <w:tcPr>
            <w:tcW w:w="1339" w:type="pct"/>
            <w:gridSpan w:val="4"/>
            <w:tcBorders>
              <w:top w:val="single" w:color="000000" w:sz="4" w:space="0"/>
              <w:left w:val="single" w:color="000000" w:sz="4" w:space="0"/>
              <w:bottom w:val="single" w:color="000000" w:sz="4" w:space="0"/>
              <w:right w:val="single" w:color="000000" w:sz="4" w:space="0"/>
            </w:tcBorders>
            <w:noWrap w:val="0"/>
            <w:vAlign w:val="center"/>
          </w:tcPr>
          <w:p w14:paraId="4B42F8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项目预算金额（万元）</w:t>
            </w:r>
          </w:p>
        </w:tc>
        <w:tc>
          <w:tcPr>
            <w:tcW w:w="584" w:type="pct"/>
            <w:gridSpan w:val="3"/>
            <w:tcBorders>
              <w:top w:val="single" w:color="000000" w:sz="4" w:space="0"/>
              <w:left w:val="single" w:color="000000" w:sz="4" w:space="0"/>
              <w:bottom w:val="single" w:color="000000" w:sz="4" w:space="0"/>
              <w:right w:val="single" w:color="000000" w:sz="4" w:space="0"/>
            </w:tcBorders>
            <w:noWrap w:val="0"/>
            <w:vAlign w:val="center"/>
          </w:tcPr>
          <w:p w14:paraId="3DA32D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786.93</w:t>
            </w:r>
          </w:p>
        </w:tc>
        <w:tc>
          <w:tcPr>
            <w:tcW w:w="973" w:type="pct"/>
            <w:gridSpan w:val="3"/>
            <w:tcBorders>
              <w:top w:val="single" w:color="000000" w:sz="4" w:space="0"/>
              <w:left w:val="single" w:color="000000" w:sz="4" w:space="0"/>
              <w:bottom w:val="single" w:color="000000" w:sz="4" w:space="0"/>
              <w:right w:val="single" w:color="000000" w:sz="4" w:space="0"/>
            </w:tcBorders>
            <w:noWrap w:val="0"/>
            <w:vAlign w:val="center"/>
          </w:tcPr>
          <w:p w14:paraId="33EDF8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实际到位金额（万元）</w:t>
            </w:r>
          </w:p>
        </w:tc>
        <w:tc>
          <w:tcPr>
            <w:tcW w:w="702" w:type="pct"/>
            <w:gridSpan w:val="2"/>
            <w:tcBorders>
              <w:top w:val="single" w:color="000000" w:sz="4" w:space="0"/>
              <w:left w:val="single" w:color="000000" w:sz="4" w:space="0"/>
              <w:bottom w:val="single" w:color="000000" w:sz="4" w:space="0"/>
              <w:right w:val="single" w:color="000000" w:sz="4" w:space="0"/>
            </w:tcBorders>
            <w:noWrap w:val="0"/>
            <w:vAlign w:val="center"/>
          </w:tcPr>
          <w:p w14:paraId="784E8E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786.93</w:t>
            </w:r>
          </w:p>
        </w:tc>
        <w:tc>
          <w:tcPr>
            <w:tcW w:w="601" w:type="pct"/>
            <w:gridSpan w:val="2"/>
            <w:tcBorders>
              <w:top w:val="single" w:color="000000" w:sz="4" w:space="0"/>
              <w:left w:val="single" w:color="000000" w:sz="4" w:space="0"/>
              <w:bottom w:val="single" w:color="000000" w:sz="4" w:space="0"/>
              <w:right w:val="single" w:color="000000" w:sz="4" w:space="0"/>
            </w:tcBorders>
            <w:noWrap w:val="0"/>
            <w:vAlign w:val="center"/>
          </w:tcPr>
          <w:p w14:paraId="4B76B5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实际执行金额（万元）</w:t>
            </w:r>
          </w:p>
        </w:tc>
        <w:tc>
          <w:tcPr>
            <w:tcW w:w="797" w:type="pct"/>
            <w:gridSpan w:val="3"/>
            <w:tcBorders>
              <w:top w:val="single" w:color="000000" w:sz="4" w:space="0"/>
              <w:left w:val="single" w:color="000000" w:sz="4" w:space="0"/>
              <w:bottom w:val="single" w:color="000000" w:sz="4" w:space="0"/>
              <w:right w:val="single" w:color="000000" w:sz="4" w:space="0"/>
            </w:tcBorders>
            <w:noWrap w:val="0"/>
            <w:vAlign w:val="center"/>
          </w:tcPr>
          <w:p w14:paraId="4919F4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786.93</w:t>
            </w:r>
          </w:p>
        </w:tc>
      </w:tr>
      <w:tr w14:paraId="0F6C9443">
        <w:tblPrEx>
          <w:tblCellMar>
            <w:top w:w="0" w:type="dxa"/>
            <w:left w:w="108" w:type="dxa"/>
            <w:bottom w:w="0" w:type="dxa"/>
            <w:right w:w="108" w:type="dxa"/>
          </w:tblCellMar>
        </w:tblPrEx>
        <w:trPr>
          <w:trHeight w:val="1010" w:hRule="atLeast"/>
        </w:trPr>
        <w:tc>
          <w:tcPr>
            <w:tcW w:w="1339" w:type="pct"/>
            <w:gridSpan w:val="4"/>
            <w:tcBorders>
              <w:top w:val="single" w:color="000000" w:sz="4" w:space="0"/>
              <w:left w:val="single" w:color="000000" w:sz="4" w:space="0"/>
              <w:bottom w:val="single" w:color="000000" w:sz="4" w:space="0"/>
              <w:right w:val="single" w:color="000000" w:sz="4" w:space="0"/>
            </w:tcBorders>
            <w:noWrap w:val="0"/>
            <w:vAlign w:val="center"/>
          </w:tcPr>
          <w:p w14:paraId="25F4E1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其中：中央财政</w:t>
            </w:r>
          </w:p>
        </w:tc>
        <w:tc>
          <w:tcPr>
            <w:tcW w:w="584" w:type="pct"/>
            <w:gridSpan w:val="3"/>
            <w:tcBorders>
              <w:top w:val="single" w:color="000000" w:sz="4" w:space="0"/>
              <w:left w:val="single" w:color="000000" w:sz="4" w:space="0"/>
              <w:bottom w:val="single" w:color="000000" w:sz="4" w:space="0"/>
              <w:right w:val="single" w:color="000000" w:sz="4" w:space="0"/>
            </w:tcBorders>
            <w:noWrap w:val="0"/>
            <w:vAlign w:val="center"/>
          </w:tcPr>
          <w:p w14:paraId="7F62553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973" w:type="pct"/>
            <w:gridSpan w:val="3"/>
            <w:tcBorders>
              <w:top w:val="single" w:color="000000" w:sz="4" w:space="0"/>
              <w:left w:val="single" w:color="000000" w:sz="4" w:space="0"/>
              <w:bottom w:val="single" w:color="000000" w:sz="4" w:space="0"/>
              <w:right w:val="single" w:color="000000" w:sz="4" w:space="0"/>
            </w:tcBorders>
            <w:noWrap w:val="0"/>
            <w:vAlign w:val="center"/>
          </w:tcPr>
          <w:p w14:paraId="072AF2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其中：中央财政</w:t>
            </w:r>
          </w:p>
        </w:tc>
        <w:tc>
          <w:tcPr>
            <w:tcW w:w="702" w:type="pct"/>
            <w:gridSpan w:val="2"/>
            <w:tcBorders>
              <w:top w:val="single" w:color="000000" w:sz="4" w:space="0"/>
              <w:left w:val="single" w:color="000000" w:sz="4" w:space="0"/>
              <w:bottom w:val="single" w:color="000000" w:sz="4" w:space="0"/>
              <w:right w:val="single" w:color="000000" w:sz="4" w:space="0"/>
            </w:tcBorders>
            <w:noWrap w:val="0"/>
            <w:vAlign w:val="center"/>
          </w:tcPr>
          <w:p w14:paraId="08215E9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601" w:type="pct"/>
            <w:gridSpan w:val="2"/>
            <w:tcBorders>
              <w:top w:val="single" w:color="000000" w:sz="4" w:space="0"/>
              <w:left w:val="single" w:color="000000" w:sz="4" w:space="0"/>
              <w:bottom w:val="single" w:color="000000" w:sz="4" w:space="0"/>
              <w:right w:val="single" w:color="000000" w:sz="4" w:space="0"/>
            </w:tcBorders>
            <w:noWrap w:val="0"/>
            <w:vAlign w:val="center"/>
          </w:tcPr>
          <w:p w14:paraId="59FA53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其中：中央财政</w:t>
            </w:r>
          </w:p>
        </w:tc>
        <w:tc>
          <w:tcPr>
            <w:tcW w:w="797" w:type="pct"/>
            <w:gridSpan w:val="3"/>
            <w:tcBorders>
              <w:top w:val="single" w:color="000000" w:sz="4" w:space="0"/>
              <w:left w:val="single" w:color="000000" w:sz="4" w:space="0"/>
              <w:bottom w:val="single" w:color="000000" w:sz="4" w:space="0"/>
              <w:right w:val="single" w:color="000000" w:sz="4" w:space="0"/>
            </w:tcBorders>
            <w:noWrap w:val="0"/>
            <w:vAlign w:val="center"/>
          </w:tcPr>
          <w:p w14:paraId="53A992D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r>
      <w:tr w14:paraId="727E0267">
        <w:tblPrEx>
          <w:tblCellMar>
            <w:top w:w="0" w:type="dxa"/>
            <w:left w:w="108" w:type="dxa"/>
            <w:bottom w:w="0" w:type="dxa"/>
            <w:right w:w="108" w:type="dxa"/>
          </w:tblCellMar>
        </w:tblPrEx>
        <w:trPr>
          <w:trHeight w:val="580" w:hRule="atLeast"/>
        </w:trPr>
        <w:tc>
          <w:tcPr>
            <w:tcW w:w="1339" w:type="pct"/>
            <w:gridSpan w:val="4"/>
            <w:tcBorders>
              <w:top w:val="single" w:color="000000" w:sz="4" w:space="0"/>
              <w:left w:val="single" w:color="000000" w:sz="4" w:space="0"/>
              <w:bottom w:val="single" w:color="000000" w:sz="4" w:space="0"/>
              <w:right w:val="single" w:color="000000" w:sz="4" w:space="0"/>
            </w:tcBorders>
            <w:noWrap w:val="0"/>
            <w:vAlign w:val="center"/>
          </w:tcPr>
          <w:p w14:paraId="6120C9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省财政</w:t>
            </w:r>
          </w:p>
        </w:tc>
        <w:tc>
          <w:tcPr>
            <w:tcW w:w="584" w:type="pct"/>
            <w:gridSpan w:val="3"/>
            <w:tcBorders>
              <w:top w:val="single" w:color="000000" w:sz="4" w:space="0"/>
              <w:left w:val="single" w:color="000000" w:sz="4" w:space="0"/>
              <w:bottom w:val="single" w:color="000000" w:sz="4" w:space="0"/>
              <w:right w:val="single" w:color="000000" w:sz="4" w:space="0"/>
            </w:tcBorders>
            <w:noWrap w:val="0"/>
            <w:vAlign w:val="center"/>
          </w:tcPr>
          <w:p w14:paraId="4C8CAA6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973" w:type="pct"/>
            <w:gridSpan w:val="3"/>
            <w:tcBorders>
              <w:top w:val="single" w:color="000000" w:sz="4" w:space="0"/>
              <w:left w:val="single" w:color="000000" w:sz="4" w:space="0"/>
              <w:bottom w:val="single" w:color="000000" w:sz="4" w:space="0"/>
              <w:right w:val="single" w:color="000000" w:sz="4" w:space="0"/>
            </w:tcBorders>
            <w:noWrap w:val="0"/>
            <w:vAlign w:val="center"/>
          </w:tcPr>
          <w:p w14:paraId="1BAA38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省财政</w:t>
            </w:r>
          </w:p>
        </w:tc>
        <w:tc>
          <w:tcPr>
            <w:tcW w:w="702" w:type="pct"/>
            <w:gridSpan w:val="2"/>
            <w:tcBorders>
              <w:top w:val="single" w:color="000000" w:sz="4" w:space="0"/>
              <w:left w:val="single" w:color="000000" w:sz="4" w:space="0"/>
              <w:bottom w:val="single" w:color="000000" w:sz="4" w:space="0"/>
              <w:right w:val="single" w:color="000000" w:sz="4" w:space="0"/>
            </w:tcBorders>
            <w:noWrap w:val="0"/>
            <w:vAlign w:val="center"/>
          </w:tcPr>
          <w:p w14:paraId="7294581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601" w:type="pct"/>
            <w:gridSpan w:val="2"/>
            <w:tcBorders>
              <w:top w:val="single" w:color="000000" w:sz="4" w:space="0"/>
              <w:left w:val="single" w:color="000000" w:sz="4" w:space="0"/>
              <w:bottom w:val="single" w:color="000000" w:sz="4" w:space="0"/>
              <w:right w:val="single" w:color="000000" w:sz="4" w:space="0"/>
            </w:tcBorders>
            <w:noWrap w:val="0"/>
            <w:vAlign w:val="center"/>
          </w:tcPr>
          <w:p w14:paraId="50F322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省财政</w:t>
            </w:r>
          </w:p>
        </w:tc>
        <w:tc>
          <w:tcPr>
            <w:tcW w:w="797" w:type="pct"/>
            <w:gridSpan w:val="3"/>
            <w:tcBorders>
              <w:top w:val="single" w:color="000000" w:sz="4" w:space="0"/>
              <w:left w:val="single" w:color="000000" w:sz="4" w:space="0"/>
              <w:bottom w:val="single" w:color="000000" w:sz="4" w:space="0"/>
              <w:right w:val="single" w:color="000000" w:sz="4" w:space="0"/>
            </w:tcBorders>
            <w:noWrap w:val="0"/>
            <w:vAlign w:val="center"/>
          </w:tcPr>
          <w:p w14:paraId="70BC2DC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r>
      <w:tr w14:paraId="3C60FC1F">
        <w:tblPrEx>
          <w:tblCellMar>
            <w:top w:w="0" w:type="dxa"/>
            <w:left w:w="108" w:type="dxa"/>
            <w:bottom w:w="0" w:type="dxa"/>
            <w:right w:w="108" w:type="dxa"/>
          </w:tblCellMar>
        </w:tblPrEx>
        <w:trPr>
          <w:trHeight w:val="580" w:hRule="atLeast"/>
        </w:trPr>
        <w:tc>
          <w:tcPr>
            <w:tcW w:w="1339" w:type="pct"/>
            <w:gridSpan w:val="4"/>
            <w:tcBorders>
              <w:top w:val="single" w:color="000000" w:sz="4" w:space="0"/>
              <w:left w:val="single" w:color="000000" w:sz="4" w:space="0"/>
              <w:bottom w:val="single" w:color="000000" w:sz="4" w:space="0"/>
              <w:right w:val="single" w:color="000000" w:sz="4" w:space="0"/>
            </w:tcBorders>
            <w:noWrap w:val="0"/>
            <w:vAlign w:val="center"/>
          </w:tcPr>
          <w:p w14:paraId="00B030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市、县财政</w:t>
            </w:r>
          </w:p>
        </w:tc>
        <w:tc>
          <w:tcPr>
            <w:tcW w:w="584" w:type="pct"/>
            <w:gridSpan w:val="3"/>
            <w:tcBorders>
              <w:top w:val="single" w:color="000000" w:sz="4" w:space="0"/>
              <w:left w:val="single" w:color="000000" w:sz="4" w:space="0"/>
              <w:bottom w:val="single" w:color="000000" w:sz="4" w:space="0"/>
              <w:right w:val="single" w:color="000000" w:sz="4" w:space="0"/>
            </w:tcBorders>
            <w:noWrap w:val="0"/>
            <w:vAlign w:val="center"/>
          </w:tcPr>
          <w:p w14:paraId="6832E1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786.93</w:t>
            </w:r>
          </w:p>
        </w:tc>
        <w:tc>
          <w:tcPr>
            <w:tcW w:w="973" w:type="pct"/>
            <w:gridSpan w:val="3"/>
            <w:tcBorders>
              <w:top w:val="single" w:color="000000" w:sz="4" w:space="0"/>
              <w:left w:val="single" w:color="000000" w:sz="4" w:space="0"/>
              <w:bottom w:val="single" w:color="000000" w:sz="4" w:space="0"/>
              <w:right w:val="single" w:color="000000" w:sz="4" w:space="0"/>
            </w:tcBorders>
            <w:noWrap w:val="0"/>
            <w:vAlign w:val="center"/>
          </w:tcPr>
          <w:p w14:paraId="13A4B1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市、县财政</w:t>
            </w:r>
          </w:p>
        </w:tc>
        <w:tc>
          <w:tcPr>
            <w:tcW w:w="702" w:type="pct"/>
            <w:gridSpan w:val="2"/>
            <w:tcBorders>
              <w:top w:val="single" w:color="000000" w:sz="4" w:space="0"/>
              <w:left w:val="single" w:color="000000" w:sz="4" w:space="0"/>
              <w:bottom w:val="single" w:color="000000" w:sz="4" w:space="0"/>
              <w:right w:val="single" w:color="000000" w:sz="4" w:space="0"/>
            </w:tcBorders>
            <w:noWrap w:val="0"/>
            <w:vAlign w:val="center"/>
          </w:tcPr>
          <w:p w14:paraId="52B0F3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786.93</w:t>
            </w:r>
          </w:p>
        </w:tc>
        <w:tc>
          <w:tcPr>
            <w:tcW w:w="601" w:type="pct"/>
            <w:gridSpan w:val="2"/>
            <w:tcBorders>
              <w:top w:val="single" w:color="000000" w:sz="4" w:space="0"/>
              <w:left w:val="single" w:color="000000" w:sz="4" w:space="0"/>
              <w:bottom w:val="single" w:color="000000" w:sz="4" w:space="0"/>
              <w:right w:val="single" w:color="000000" w:sz="4" w:space="0"/>
            </w:tcBorders>
            <w:noWrap w:val="0"/>
            <w:vAlign w:val="center"/>
          </w:tcPr>
          <w:p w14:paraId="36823D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市、县财政</w:t>
            </w:r>
          </w:p>
        </w:tc>
        <w:tc>
          <w:tcPr>
            <w:tcW w:w="797" w:type="pct"/>
            <w:gridSpan w:val="3"/>
            <w:tcBorders>
              <w:top w:val="single" w:color="000000" w:sz="4" w:space="0"/>
              <w:left w:val="single" w:color="000000" w:sz="4" w:space="0"/>
              <w:bottom w:val="single" w:color="000000" w:sz="4" w:space="0"/>
              <w:right w:val="single" w:color="000000" w:sz="4" w:space="0"/>
            </w:tcBorders>
            <w:noWrap w:val="0"/>
            <w:vAlign w:val="center"/>
          </w:tcPr>
          <w:p w14:paraId="51FA70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221"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786.93</w:t>
            </w:r>
          </w:p>
        </w:tc>
      </w:tr>
      <w:tr w14:paraId="3BE74D65">
        <w:tblPrEx>
          <w:tblCellMar>
            <w:top w:w="0" w:type="dxa"/>
            <w:left w:w="108" w:type="dxa"/>
            <w:bottom w:w="0" w:type="dxa"/>
            <w:right w:w="108" w:type="dxa"/>
          </w:tblCellMar>
        </w:tblPrEx>
        <w:trPr>
          <w:trHeight w:val="580" w:hRule="atLeast"/>
        </w:trPr>
        <w:tc>
          <w:tcPr>
            <w:tcW w:w="1339" w:type="pct"/>
            <w:gridSpan w:val="4"/>
            <w:tcBorders>
              <w:top w:val="single" w:color="000000" w:sz="4" w:space="0"/>
              <w:left w:val="single" w:color="000000" w:sz="4" w:space="0"/>
              <w:bottom w:val="single" w:color="000000" w:sz="4" w:space="0"/>
              <w:right w:val="single" w:color="000000" w:sz="4" w:space="0"/>
            </w:tcBorders>
            <w:noWrap w:val="0"/>
            <w:vAlign w:val="center"/>
          </w:tcPr>
          <w:p w14:paraId="2BA037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w:t>
            </w:r>
          </w:p>
        </w:tc>
        <w:tc>
          <w:tcPr>
            <w:tcW w:w="584" w:type="pct"/>
            <w:gridSpan w:val="3"/>
            <w:tcBorders>
              <w:top w:val="single" w:color="000000" w:sz="4" w:space="0"/>
              <w:left w:val="single" w:color="000000" w:sz="4" w:space="0"/>
              <w:bottom w:val="single" w:color="000000" w:sz="4" w:space="0"/>
              <w:right w:val="single" w:color="000000" w:sz="4" w:space="0"/>
            </w:tcBorders>
            <w:noWrap w:val="0"/>
            <w:vAlign w:val="center"/>
          </w:tcPr>
          <w:p w14:paraId="272E1D4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973" w:type="pct"/>
            <w:gridSpan w:val="3"/>
            <w:tcBorders>
              <w:top w:val="single" w:color="000000" w:sz="4" w:space="0"/>
              <w:left w:val="single" w:color="000000" w:sz="4" w:space="0"/>
              <w:bottom w:val="single" w:color="000000" w:sz="4" w:space="0"/>
              <w:right w:val="single" w:color="000000" w:sz="4" w:space="0"/>
            </w:tcBorders>
            <w:noWrap w:val="0"/>
            <w:vAlign w:val="center"/>
          </w:tcPr>
          <w:p w14:paraId="0C611F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w:t>
            </w:r>
          </w:p>
        </w:tc>
        <w:tc>
          <w:tcPr>
            <w:tcW w:w="702" w:type="pct"/>
            <w:gridSpan w:val="2"/>
            <w:tcBorders>
              <w:top w:val="single" w:color="000000" w:sz="4" w:space="0"/>
              <w:left w:val="single" w:color="000000" w:sz="4" w:space="0"/>
              <w:bottom w:val="single" w:color="000000" w:sz="4" w:space="0"/>
              <w:right w:val="single" w:color="000000" w:sz="4" w:space="0"/>
            </w:tcBorders>
            <w:noWrap w:val="0"/>
            <w:vAlign w:val="center"/>
          </w:tcPr>
          <w:p w14:paraId="5DA9C77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601" w:type="pct"/>
            <w:gridSpan w:val="2"/>
            <w:tcBorders>
              <w:top w:val="single" w:color="000000" w:sz="4" w:space="0"/>
              <w:left w:val="single" w:color="000000" w:sz="4" w:space="0"/>
              <w:bottom w:val="single" w:color="000000" w:sz="4" w:space="0"/>
              <w:right w:val="single" w:color="000000" w:sz="4" w:space="0"/>
            </w:tcBorders>
            <w:noWrap w:val="0"/>
            <w:vAlign w:val="center"/>
          </w:tcPr>
          <w:p w14:paraId="502544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w:t>
            </w:r>
          </w:p>
        </w:tc>
        <w:tc>
          <w:tcPr>
            <w:tcW w:w="797" w:type="pct"/>
            <w:gridSpan w:val="3"/>
            <w:tcBorders>
              <w:top w:val="single" w:color="000000" w:sz="4" w:space="0"/>
              <w:left w:val="single" w:color="000000" w:sz="4" w:space="0"/>
              <w:bottom w:val="single" w:color="000000" w:sz="4" w:space="0"/>
              <w:right w:val="single" w:color="000000" w:sz="4" w:space="0"/>
            </w:tcBorders>
            <w:noWrap w:val="0"/>
            <w:vAlign w:val="center"/>
          </w:tcPr>
          <w:p w14:paraId="7F70631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r>
      <w:tr w14:paraId="6B2ECA24">
        <w:tblPrEx>
          <w:tblCellMar>
            <w:top w:w="0" w:type="dxa"/>
            <w:left w:w="108" w:type="dxa"/>
            <w:bottom w:w="0" w:type="dxa"/>
            <w:right w:w="108" w:type="dxa"/>
          </w:tblCellMar>
        </w:tblPrEx>
        <w:trPr>
          <w:trHeight w:val="1320" w:hRule="atLeast"/>
        </w:trPr>
        <w:tc>
          <w:tcPr>
            <w:tcW w:w="797"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54C34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项目预期绩效目标</w:t>
            </w:r>
          </w:p>
        </w:tc>
        <w:tc>
          <w:tcPr>
            <w:tcW w:w="542" w:type="pct"/>
            <w:gridSpan w:val="2"/>
            <w:tcBorders>
              <w:top w:val="single" w:color="000000" w:sz="4" w:space="0"/>
              <w:left w:val="single" w:color="000000" w:sz="4" w:space="0"/>
              <w:bottom w:val="single" w:color="000000" w:sz="4" w:space="0"/>
              <w:right w:val="single" w:color="000000" w:sz="4" w:space="0"/>
            </w:tcBorders>
            <w:noWrap w:val="0"/>
            <w:vAlign w:val="center"/>
          </w:tcPr>
          <w:p w14:paraId="2E24A8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项目提供的公共产品和服务的数量</w:t>
            </w:r>
          </w:p>
        </w:tc>
        <w:tc>
          <w:tcPr>
            <w:tcW w:w="3660" w:type="pct"/>
            <w:gridSpan w:val="13"/>
            <w:tcBorders>
              <w:top w:val="single" w:color="000000" w:sz="4" w:space="0"/>
              <w:left w:val="single" w:color="000000" w:sz="4" w:space="0"/>
              <w:bottom w:val="single" w:color="000000" w:sz="4" w:space="0"/>
              <w:right w:val="single" w:color="000000" w:sz="4" w:space="0"/>
            </w:tcBorders>
            <w:noWrap w:val="0"/>
            <w:vAlign w:val="center"/>
          </w:tcPr>
          <w:p w14:paraId="72F792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阳泉市人民政府办公厅专题会议纪要【2018】75号议定：“要通过劳务派遣方式配齐城市管理协管人员，协管人员要逐步延伸至社区和城区，矿区管理的城中村、城边村、城市建设管理综合行政执法队在编人员、协管人员的工资、福利市财政要足额保障”。房屋租赁申请依据：阳直管发【2019】132号文，关于对我队申请办公用房问题的有关批复。</w:t>
            </w:r>
          </w:p>
        </w:tc>
      </w:tr>
      <w:tr w14:paraId="66A46B82">
        <w:tblPrEx>
          <w:tblCellMar>
            <w:top w:w="0" w:type="dxa"/>
            <w:left w:w="108" w:type="dxa"/>
            <w:bottom w:w="0" w:type="dxa"/>
            <w:right w:w="108" w:type="dxa"/>
          </w:tblCellMar>
        </w:tblPrEx>
        <w:trPr>
          <w:trHeight w:val="1320" w:hRule="atLeast"/>
        </w:trPr>
        <w:tc>
          <w:tcPr>
            <w:tcW w:w="797"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DED38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2"/>
                <w:szCs w:val="22"/>
                <w:u w:val="none"/>
              </w:rPr>
            </w:pPr>
          </w:p>
        </w:tc>
        <w:tc>
          <w:tcPr>
            <w:tcW w:w="542" w:type="pct"/>
            <w:gridSpan w:val="2"/>
            <w:tcBorders>
              <w:top w:val="single" w:color="000000" w:sz="4" w:space="0"/>
              <w:left w:val="single" w:color="000000" w:sz="4" w:space="0"/>
              <w:bottom w:val="single" w:color="000000" w:sz="4" w:space="0"/>
              <w:right w:val="single" w:color="000000" w:sz="4" w:space="0"/>
            </w:tcBorders>
            <w:noWrap w:val="0"/>
            <w:vAlign w:val="center"/>
          </w:tcPr>
          <w:p w14:paraId="1704C8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项目效果</w:t>
            </w:r>
          </w:p>
        </w:tc>
        <w:tc>
          <w:tcPr>
            <w:tcW w:w="3660" w:type="pct"/>
            <w:gridSpan w:val="13"/>
            <w:tcBorders>
              <w:top w:val="single" w:color="000000" w:sz="4" w:space="0"/>
              <w:left w:val="single" w:color="000000" w:sz="4" w:space="0"/>
              <w:bottom w:val="single" w:color="000000" w:sz="4" w:space="0"/>
              <w:right w:val="single" w:color="000000" w:sz="4" w:space="0"/>
            </w:tcBorders>
            <w:noWrap w:val="0"/>
            <w:vAlign w:val="center"/>
          </w:tcPr>
          <w:p w14:paraId="634E62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通过劳务派遣方式，保障协管员薪资到位；按时支付房租费用，保证工作正常进行；合理利用办案经费，以提高执法质量和执法效率。</w:t>
            </w:r>
          </w:p>
        </w:tc>
      </w:tr>
      <w:tr w14:paraId="48B9F47C">
        <w:tblPrEx>
          <w:tblCellMar>
            <w:top w:w="0" w:type="dxa"/>
            <w:left w:w="108" w:type="dxa"/>
            <w:bottom w:w="0" w:type="dxa"/>
            <w:right w:w="108" w:type="dxa"/>
          </w:tblCellMar>
        </w:tblPrEx>
        <w:trPr>
          <w:trHeight w:val="760" w:hRule="atLeast"/>
        </w:trPr>
        <w:tc>
          <w:tcPr>
            <w:tcW w:w="797" w:type="pct"/>
            <w:gridSpan w:val="2"/>
            <w:tcBorders>
              <w:top w:val="single" w:color="000000" w:sz="4" w:space="0"/>
              <w:left w:val="single" w:color="000000" w:sz="4" w:space="0"/>
              <w:bottom w:val="single" w:color="000000" w:sz="4" w:space="0"/>
              <w:right w:val="single" w:color="000000" w:sz="4" w:space="0"/>
            </w:tcBorders>
            <w:noWrap w:val="0"/>
            <w:vAlign w:val="center"/>
          </w:tcPr>
          <w:p w14:paraId="0D3BDD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项目执行情况（10分）</w:t>
            </w:r>
          </w:p>
        </w:tc>
        <w:tc>
          <w:tcPr>
            <w:tcW w:w="4202" w:type="pct"/>
            <w:gridSpan w:val="15"/>
            <w:tcBorders>
              <w:top w:val="single" w:color="000000" w:sz="4" w:space="0"/>
              <w:left w:val="single" w:color="000000" w:sz="4" w:space="0"/>
              <w:bottom w:val="single" w:color="000000" w:sz="4" w:space="0"/>
              <w:right w:val="single" w:color="000000" w:sz="4" w:space="0"/>
            </w:tcBorders>
            <w:noWrap w:val="0"/>
            <w:vAlign w:val="center"/>
          </w:tcPr>
          <w:p w14:paraId="45EF1D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预算执行率100%</w:t>
            </w:r>
          </w:p>
        </w:tc>
      </w:tr>
      <w:tr w14:paraId="1B88594A">
        <w:tblPrEx>
          <w:tblCellMar>
            <w:top w:w="0" w:type="dxa"/>
            <w:left w:w="108" w:type="dxa"/>
            <w:bottom w:w="0" w:type="dxa"/>
            <w:right w:w="108" w:type="dxa"/>
          </w:tblCellMar>
        </w:tblPrEx>
        <w:trPr>
          <w:trHeight w:val="680" w:hRule="atLeast"/>
        </w:trPr>
        <w:tc>
          <w:tcPr>
            <w:tcW w:w="5000" w:type="pct"/>
            <w:gridSpan w:val="17"/>
            <w:tcBorders>
              <w:top w:val="single" w:color="000000" w:sz="4" w:space="0"/>
              <w:left w:val="single" w:color="000000" w:sz="4" w:space="0"/>
              <w:bottom w:val="single" w:color="000000" w:sz="4" w:space="0"/>
              <w:right w:val="single" w:color="000000" w:sz="4" w:space="0"/>
            </w:tcBorders>
            <w:noWrap w:val="0"/>
            <w:vAlign w:val="center"/>
          </w:tcPr>
          <w:p w14:paraId="617F97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 效 目 标 自 评 情 况</w:t>
            </w:r>
          </w:p>
        </w:tc>
      </w:tr>
      <w:tr w14:paraId="5B629786">
        <w:tblPrEx>
          <w:tblCellMar>
            <w:top w:w="0" w:type="dxa"/>
            <w:left w:w="108" w:type="dxa"/>
            <w:bottom w:w="0" w:type="dxa"/>
            <w:right w:w="108" w:type="dxa"/>
          </w:tblCellMar>
        </w:tblPrEx>
        <w:trPr>
          <w:trHeight w:val="680"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7B3FF0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482" w:type="pct"/>
            <w:gridSpan w:val="2"/>
            <w:tcBorders>
              <w:top w:val="single" w:color="000000" w:sz="4" w:space="0"/>
              <w:left w:val="single" w:color="000000" w:sz="4" w:space="0"/>
              <w:bottom w:val="single" w:color="000000" w:sz="4" w:space="0"/>
              <w:right w:val="single" w:color="000000" w:sz="4" w:space="0"/>
            </w:tcBorders>
            <w:noWrap/>
            <w:vAlign w:val="center"/>
          </w:tcPr>
          <w:p w14:paraId="278378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542" w:type="pct"/>
            <w:gridSpan w:val="2"/>
            <w:tcBorders>
              <w:top w:val="single" w:color="000000" w:sz="4" w:space="0"/>
              <w:left w:val="single" w:color="000000" w:sz="4" w:space="0"/>
              <w:bottom w:val="single" w:color="000000" w:sz="4" w:space="0"/>
              <w:right w:val="single" w:color="000000" w:sz="4" w:space="0"/>
            </w:tcBorders>
            <w:noWrap w:val="0"/>
            <w:vAlign w:val="center"/>
          </w:tcPr>
          <w:p w14:paraId="1D8CBE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507" w:type="pct"/>
            <w:gridSpan w:val="5"/>
            <w:tcBorders>
              <w:top w:val="single" w:color="000000" w:sz="4" w:space="0"/>
              <w:left w:val="single" w:color="000000" w:sz="4" w:space="0"/>
              <w:bottom w:val="single" w:color="000000" w:sz="4" w:space="0"/>
              <w:right w:val="single" w:color="000000" w:sz="4" w:space="0"/>
            </w:tcBorders>
            <w:noWrap w:val="0"/>
            <w:vAlign w:val="center"/>
          </w:tcPr>
          <w:p w14:paraId="3C8B04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4321FD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年度指标值</w:t>
            </w:r>
          </w:p>
        </w:tc>
        <w:tc>
          <w:tcPr>
            <w:tcW w:w="510" w:type="pct"/>
            <w:gridSpan w:val="2"/>
            <w:tcBorders>
              <w:top w:val="single" w:color="000000" w:sz="4" w:space="0"/>
              <w:left w:val="single" w:color="000000" w:sz="4" w:space="0"/>
              <w:bottom w:val="single" w:color="000000" w:sz="4" w:space="0"/>
              <w:right w:val="single" w:color="000000" w:sz="4" w:space="0"/>
            </w:tcBorders>
            <w:noWrap w:val="0"/>
            <w:vAlign w:val="center"/>
          </w:tcPr>
          <w:p w14:paraId="21E1B7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全年完成值</w:t>
            </w:r>
          </w:p>
        </w:tc>
        <w:tc>
          <w:tcPr>
            <w:tcW w:w="548" w:type="pct"/>
            <w:gridSpan w:val="3"/>
            <w:tcBorders>
              <w:top w:val="single" w:color="000000" w:sz="4" w:space="0"/>
              <w:left w:val="single" w:color="000000" w:sz="4" w:space="0"/>
              <w:bottom w:val="single" w:color="000000" w:sz="4" w:space="0"/>
              <w:right w:val="single" w:color="000000" w:sz="4" w:space="0"/>
            </w:tcBorders>
            <w:noWrap w:val="0"/>
            <w:vAlign w:val="center"/>
          </w:tcPr>
          <w:p w14:paraId="401967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未完成原因和改进措施</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87C53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自评得分</w:t>
            </w:r>
          </w:p>
        </w:tc>
      </w:tr>
      <w:tr w14:paraId="1A3730B6">
        <w:tblPrEx>
          <w:tblCellMar>
            <w:top w:w="0" w:type="dxa"/>
            <w:left w:w="108" w:type="dxa"/>
            <w:bottom w:w="0" w:type="dxa"/>
            <w:right w:w="108" w:type="dxa"/>
          </w:tblCellMar>
        </w:tblPrEx>
        <w:trPr>
          <w:trHeight w:val="580" w:hRule="atLeast"/>
        </w:trPr>
        <w:tc>
          <w:tcPr>
            <w:tcW w:w="366" w:type="pct"/>
            <w:vMerge w:val="restart"/>
            <w:tcBorders>
              <w:top w:val="single" w:color="000000" w:sz="4" w:space="0"/>
              <w:left w:val="single" w:color="000000" w:sz="4" w:space="0"/>
              <w:bottom w:val="single" w:color="000000" w:sz="4" w:space="0"/>
              <w:right w:val="single" w:color="000000" w:sz="4" w:space="0"/>
            </w:tcBorders>
            <w:noWrap w:val="0"/>
            <w:vAlign w:val="center"/>
          </w:tcPr>
          <w:p w14:paraId="7409D4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效</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指</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标</w:t>
            </w:r>
          </w:p>
        </w:tc>
        <w:tc>
          <w:tcPr>
            <w:tcW w:w="48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A43C4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产出指标（50分）</w:t>
            </w:r>
          </w:p>
        </w:tc>
        <w:tc>
          <w:tcPr>
            <w:tcW w:w="54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F03E6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567" w:type="pct"/>
            <w:gridSpan w:val="3"/>
            <w:tcBorders>
              <w:top w:val="single" w:color="000000" w:sz="4" w:space="0"/>
              <w:left w:val="single" w:color="000000" w:sz="4" w:space="0"/>
              <w:bottom w:val="single" w:color="000000" w:sz="4" w:space="0"/>
              <w:right w:val="single" w:color="000000" w:sz="4" w:space="0"/>
            </w:tcBorders>
            <w:noWrap w:val="0"/>
            <w:vAlign w:val="center"/>
          </w:tcPr>
          <w:p w14:paraId="1ED937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指标1：</w:t>
            </w:r>
          </w:p>
        </w:tc>
        <w:tc>
          <w:tcPr>
            <w:tcW w:w="939" w:type="pct"/>
            <w:gridSpan w:val="2"/>
            <w:tcBorders>
              <w:top w:val="single" w:color="000000" w:sz="4" w:space="0"/>
              <w:left w:val="single" w:color="000000" w:sz="4" w:space="0"/>
              <w:bottom w:val="single" w:color="000000" w:sz="4" w:space="0"/>
              <w:right w:val="single" w:color="000000" w:sz="4" w:space="0"/>
            </w:tcBorders>
            <w:noWrap w:val="0"/>
            <w:vAlign w:val="center"/>
          </w:tcPr>
          <w:p w14:paraId="03BC8E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协管员人数</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79966C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210人</w:t>
            </w:r>
          </w:p>
        </w:tc>
        <w:tc>
          <w:tcPr>
            <w:tcW w:w="510" w:type="pct"/>
            <w:gridSpan w:val="2"/>
            <w:tcBorders>
              <w:top w:val="single" w:color="000000" w:sz="4" w:space="0"/>
              <w:left w:val="single" w:color="000000" w:sz="4" w:space="0"/>
              <w:bottom w:val="single" w:color="000000" w:sz="4" w:space="0"/>
              <w:right w:val="single" w:color="000000" w:sz="4" w:space="0"/>
            </w:tcBorders>
            <w:noWrap w:val="0"/>
            <w:vAlign w:val="center"/>
          </w:tcPr>
          <w:p w14:paraId="1D642F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210人</w:t>
            </w:r>
          </w:p>
        </w:tc>
        <w:tc>
          <w:tcPr>
            <w:tcW w:w="548" w:type="pct"/>
            <w:gridSpan w:val="3"/>
            <w:tcBorders>
              <w:top w:val="single" w:color="000000" w:sz="4" w:space="0"/>
              <w:left w:val="single" w:color="000000" w:sz="4" w:space="0"/>
              <w:bottom w:val="single" w:color="000000" w:sz="4" w:space="0"/>
              <w:right w:val="single" w:color="000000" w:sz="4" w:space="0"/>
            </w:tcBorders>
            <w:noWrap w:val="0"/>
            <w:vAlign w:val="center"/>
          </w:tcPr>
          <w:p w14:paraId="0D5CB7A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441" w:type="pct"/>
            <w:vMerge w:val="restart"/>
            <w:tcBorders>
              <w:top w:val="single" w:color="000000" w:sz="4" w:space="0"/>
              <w:left w:val="single" w:color="000000" w:sz="4" w:space="0"/>
              <w:bottom w:val="single" w:color="000000" w:sz="4" w:space="0"/>
              <w:right w:val="single" w:color="000000" w:sz="4" w:space="0"/>
            </w:tcBorders>
            <w:noWrap w:val="0"/>
            <w:vAlign w:val="center"/>
          </w:tcPr>
          <w:p w14:paraId="0089DF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4F5FE912">
        <w:tblPrEx>
          <w:tblCellMar>
            <w:top w:w="0" w:type="dxa"/>
            <w:left w:w="108" w:type="dxa"/>
            <w:bottom w:w="0" w:type="dxa"/>
            <w:right w:w="108" w:type="dxa"/>
          </w:tblCellMar>
        </w:tblPrEx>
        <w:trPr>
          <w:trHeight w:val="580" w:hRule="atLeast"/>
        </w:trPr>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9FAB7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2"/>
                <w:szCs w:val="22"/>
                <w:u w:val="none"/>
              </w:rPr>
            </w:pPr>
          </w:p>
        </w:tc>
        <w:tc>
          <w:tcPr>
            <w:tcW w:w="48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72ACD6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54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41D7E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567" w:type="pct"/>
            <w:gridSpan w:val="3"/>
            <w:tcBorders>
              <w:top w:val="single" w:color="000000" w:sz="4" w:space="0"/>
              <w:left w:val="single" w:color="000000" w:sz="4" w:space="0"/>
              <w:bottom w:val="single" w:color="000000" w:sz="4" w:space="0"/>
              <w:right w:val="single" w:color="000000" w:sz="4" w:space="0"/>
            </w:tcBorders>
            <w:noWrap w:val="0"/>
            <w:vAlign w:val="center"/>
          </w:tcPr>
          <w:p w14:paraId="057C2A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指标2：</w:t>
            </w:r>
          </w:p>
        </w:tc>
        <w:tc>
          <w:tcPr>
            <w:tcW w:w="939" w:type="pct"/>
            <w:gridSpan w:val="2"/>
            <w:tcBorders>
              <w:top w:val="single" w:color="000000" w:sz="4" w:space="0"/>
              <w:left w:val="single" w:color="000000" w:sz="4" w:space="0"/>
              <w:bottom w:val="single" w:color="000000" w:sz="4" w:space="0"/>
              <w:right w:val="single" w:color="000000" w:sz="4" w:space="0"/>
            </w:tcBorders>
            <w:noWrap w:val="0"/>
            <w:vAlign w:val="center"/>
          </w:tcPr>
          <w:p w14:paraId="6D81E4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房屋面积</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7F5FBD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510" w:type="pct"/>
            <w:gridSpan w:val="2"/>
            <w:tcBorders>
              <w:top w:val="single" w:color="000000" w:sz="4" w:space="0"/>
              <w:left w:val="single" w:color="000000" w:sz="4" w:space="0"/>
              <w:bottom w:val="single" w:color="000000" w:sz="4" w:space="0"/>
              <w:right w:val="single" w:color="000000" w:sz="4" w:space="0"/>
            </w:tcBorders>
            <w:noWrap w:val="0"/>
            <w:vAlign w:val="center"/>
          </w:tcPr>
          <w:p w14:paraId="12CC15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548" w:type="pct"/>
            <w:gridSpan w:val="3"/>
            <w:tcBorders>
              <w:top w:val="single" w:color="000000" w:sz="4" w:space="0"/>
              <w:left w:val="single" w:color="000000" w:sz="4" w:space="0"/>
              <w:bottom w:val="single" w:color="000000" w:sz="4" w:space="0"/>
              <w:right w:val="single" w:color="000000" w:sz="4" w:space="0"/>
            </w:tcBorders>
            <w:noWrap w:val="0"/>
            <w:vAlign w:val="center"/>
          </w:tcPr>
          <w:p w14:paraId="495276B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4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B2DEE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r>
      <w:tr w14:paraId="51A0D079">
        <w:tblPrEx>
          <w:tblCellMar>
            <w:top w:w="0" w:type="dxa"/>
            <w:left w:w="108" w:type="dxa"/>
            <w:bottom w:w="0" w:type="dxa"/>
            <w:right w:w="108" w:type="dxa"/>
          </w:tblCellMar>
        </w:tblPrEx>
        <w:trPr>
          <w:trHeight w:val="580" w:hRule="atLeast"/>
        </w:trPr>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DFEA2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2"/>
                <w:szCs w:val="22"/>
                <w:u w:val="none"/>
              </w:rPr>
            </w:pPr>
          </w:p>
        </w:tc>
        <w:tc>
          <w:tcPr>
            <w:tcW w:w="48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66073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54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FA49A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567" w:type="pct"/>
            <w:gridSpan w:val="3"/>
            <w:tcBorders>
              <w:top w:val="single" w:color="000000" w:sz="4" w:space="0"/>
              <w:left w:val="single" w:color="000000" w:sz="4" w:space="0"/>
              <w:bottom w:val="single" w:color="000000" w:sz="4" w:space="0"/>
              <w:right w:val="single" w:color="000000" w:sz="4" w:space="0"/>
            </w:tcBorders>
            <w:noWrap w:val="0"/>
            <w:vAlign w:val="center"/>
          </w:tcPr>
          <w:p w14:paraId="3E4E06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指标1：</w:t>
            </w:r>
          </w:p>
        </w:tc>
        <w:tc>
          <w:tcPr>
            <w:tcW w:w="939" w:type="pct"/>
            <w:gridSpan w:val="2"/>
            <w:tcBorders>
              <w:top w:val="single" w:color="000000" w:sz="4" w:space="0"/>
              <w:left w:val="single" w:color="000000" w:sz="4" w:space="0"/>
              <w:bottom w:val="single" w:color="000000" w:sz="4" w:space="0"/>
              <w:right w:val="single" w:color="000000" w:sz="4" w:space="0"/>
            </w:tcBorders>
            <w:noWrap w:val="0"/>
            <w:vAlign w:val="center"/>
          </w:tcPr>
          <w:p w14:paraId="210FD1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应发尽发率</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4E43B1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0" w:type="pct"/>
            <w:gridSpan w:val="2"/>
            <w:tcBorders>
              <w:top w:val="single" w:color="000000" w:sz="4" w:space="0"/>
              <w:left w:val="single" w:color="000000" w:sz="4" w:space="0"/>
              <w:bottom w:val="single" w:color="000000" w:sz="4" w:space="0"/>
              <w:right w:val="single" w:color="000000" w:sz="4" w:space="0"/>
            </w:tcBorders>
            <w:noWrap w:val="0"/>
            <w:vAlign w:val="center"/>
          </w:tcPr>
          <w:p w14:paraId="541243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48" w:type="pct"/>
            <w:gridSpan w:val="3"/>
            <w:tcBorders>
              <w:top w:val="single" w:color="000000" w:sz="4" w:space="0"/>
              <w:left w:val="single" w:color="000000" w:sz="4" w:space="0"/>
              <w:bottom w:val="single" w:color="000000" w:sz="4" w:space="0"/>
              <w:right w:val="single" w:color="000000" w:sz="4" w:space="0"/>
            </w:tcBorders>
            <w:noWrap w:val="0"/>
            <w:vAlign w:val="center"/>
          </w:tcPr>
          <w:p w14:paraId="76D366D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4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F67A8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r>
      <w:tr w14:paraId="6CE9AC86">
        <w:tblPrEx>
          <w:tblCellMar>
            <w:top w:w="0" w:type="dxa"/>
            <w:left w:w="108" w:type="dxa"/>
            <w:bottom w:w="0" w:type="dxa"/>
            <w:right w:w="108" w:type="dxa"/>
          </w:tblCellMar>
        </w:tblPrEx>
        <w:trPr>
          <w:trHeight w:val="620" w:hRule="atLeast"/>
        </w:trPr>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63E9E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2"/>
                <w:szCs w:val="22"/>
                <w:u w:val="none"/>
              </w:rPr>
            </w:pPr>
          </w:p>
        </w:tc>
        <w:tc>
          <w:tcPr>
            <w:tcW w:w="48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8C0058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54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7E14E7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567" w:type="pct"/>
            <w:gridSpan w:val="3"/>
            <w:tcBorders>
              <w:top w:val="single" w:color="000000" w:sz="4" w:space="0"/>
              <w:left w:val="single" w:color="000000" w:sz="4" w:space="0"/>
              <w:bottom w:val="single" w:color="000000" w:sz="4" w:space="0"/>
              <w:right w:val="single" w:color="000000" w:sz="4" w:space="0"/>
            </w:tcBorders>
            <w:noWrap w:val="0"/>
            <w:vAlign w:val="center"/>
          </w:tcPr>
          <w:p w14:paraId="2472C5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指标2：</w:t>
            </w:r>
          </w:p>
        </w:tc>
        <w:tc>
          <w:tcPr>
            <w:tcW w:w="939" w:type="pct"/>
            <w:gridSpan w:val="2"/>
            <w:tcBorders>
              <w:top w:val="single" w:color="000000" w:sz="4" w:space="0"/>
              <w:left w:val="single" w:color="000000" w:sz="4" w:space="0"/>
              <w:bottom w:val="single" w:color="000000" w:sz="4" w:space="0"/>
              <w:right w:val="single" w:color="000000" w:sz="4" w:space="0"/>
            </w:tcBorders>
            <w:noWrap w:val="0"/>
            <w:vAlign w:val="center"/>
          </w:tcPr>
          <w:p w14:paraId="64B6A8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劳务派遣公司服务质量</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2C229D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符合合同规定</w:t>
            </w:r>
          </w:p>
        </w:tc>
        <w:tc>
          <w:tcPr>
            <w:tcW w:w="510" w:type="pct"/>
            <w:gridSpan w:val="2"/>
            <w:tcBorders>
              <w:top w:val="single" w:color="000000" w:sz="4" w:space="0"/>
              <w:left w:val="single" w:color="000000" w:sz="4" w:space="0"/>
              <w:bottom w:val="single" w:color="000000" w:sz="4" w:space="0"/>
              <w:right w:val="single" w:color="000000" w:sz="4" w:space="0"/>
            </w:tcBorders>
            <w:noWrap w:val="0"/>
            <w:vAlign w:val="center"/>
          </w:tcPr>
          <w:p w14:paraId="42B12E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符合合同规定</w:t>
            </w:r>
          </w:p>
        </w:tc>
        <w:tc>
          <w:tcPr>
            <w:tcW w:w="548" w:type="pct"/>
            <w:gridSpan w:val="3"/>
            <w:tcBorders>
              <w:top w:val="single" w:color="000000" w:sz="4" w:space="0"/>
              <w:left w:val="single" w:color="000000" w:sz="4" w:space="0"/>
              <w:bottom w:val="single" w:color="000000" w:sz="4" w:space="0"/>
              <w:right w:val="single" w:color="000000" w:sz="4" w:space="0"/>
            </w:tcBorders>
            <w:noWrap w:val="0"/>
            <w:vAlign w:val="center"/>
          </w:tcPr>
          <w:p w14:paraId="35C6957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4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35501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r>
      <w:tr w14:paraId="69BAC114">
        <w:tblPrEx>
          <w:tblCellMar>
            <w:top w:w="0" w:type="dxa"/>
            <w:left w:w="108" w:type="dxa"/>
            <w:bottom w:w="0" w:type="dxa"/>
            <w:right w:w="108" w:type="dxa"/>
          </w:tblCellMar>
        </w:tblPrEx>
        <w:trPr>
          <w:trHeight w:val="620" w:hRule="atLeast"/>
        </w:trPr>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79BE7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2"/>
                <w:szCs w:val="22"/>
                <w:u w:val="none"/>
              </w:rPr>
            </w:pPr>
          </w:p>
        </w:tc>
        <w:tc>
          <w:tcPr>
            <w:tcW w:w="48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39CE5A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54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56071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567" w:type="pct"/>
            <w:gridSpan w:val="3"/>
            <w:tcBorders>
              <w:top w:val="single" w:color="000000" w:sz="4" w:space="0"/>
              <w:left w:val="single" w:color="000000" w:sz="4" w:space="0"/>
              <w:bottom w:val="single" w:color="000000" w:sz="4" w:space="0"/>
              <w:right w:val="single" w:color="000000" w:sz="4" w:space="0"/>
            </w:tcBorders>
            <w:noWrap w:val="0"/>
            <w:vAlign w:val="center"/>
          </w:tcPr>
          <w:p w14:paraId="404B2A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指标3：</w:t>
            </w:r>
          </w:p>
        </w:tc>
        <w:tc>
          <w:tcPr>
            <w:tcW w:w="939" w:type="pct"/>
            <w:gridSpan w:val="2"/>
            <w:tcBorders>
              <w:top w:val="single" w:color="000000" w:sz="4" w:space="0"/>
              <w:left w:val="single" w:color="000000" w:sz="4" w:space="0"/>
              <w:bottom w:val="single" w:color="000000" w:sz="4" w:space="0"/>
              <w:right w:val="single" w:color="000000" w:sz="4" w:space="0"/>
            </w:tcBorders>
            <w:noWrap w:val="0"/>
            <w:vAlign w:val="center"/>
          </w:tcPr>
          <w:p w14:paraId="405C72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协管员日常工作完成率</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020F85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0" w:type="pct"/>
            <w:gridSpan w:val="2"/>
            <w:tcBorders>
              <w:top w:val="single" w:color="000000" w:sz="4" w:space="0"/>
              <w:left w:val="single" w:color="000000" w:sz="4" w:space="0"/>
              <w:bottom w:val="single" w:color="000000" w:sz="4" w:space="0"/>
              <w:right w:val="single" w:color="000000" w:sz="4" w:space="0"/>
            </w:tcBorders>
            <w:noWrap w:val="0"/>
            <w:vAlign w:val="center"/>
          </w:tcPr>
          <w:p w14:paraId="2248D6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48" w:type="pct"/>
            <w:gridSpan w:val="3"/>
            <w:tcBorders>
              <w:top w:val="single" w:color="000000" w:sz="4" w:space="0"/>
              <w:left w:val="single" w:color="000000" w:sz="4" w:space="0"/>
              <w:bottom w:val="single" w:color="000000" w:sz="4" w:space="0"/>
              <w:right w:val="single" w:color="000000" w:sz="4" w:space="0"/>
            </w:tcBorders>
            <w:noWrap w:val="0"/>
            <w:vAlign w:val="center"/>
          </w:tcPr>
          <w:p w14:paraId="44EA6E0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4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3B28F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r>
      <w:tr w14:paraId="1FD89A4A">
        <w:tblPrEx>
          <w:tblCellMar>
            <w:top w:w="0" w:type="dxa"/>
            <w:left w:w="108" w:type="dxa"/>
            <w:bottom w:w="0" w:type="dxa"/>
            <w:right w:w="108" w:type="dxa"/>
          </w:tblCellMar>
        </w:tblPrEx>
        <w:trPr>
          <w:trHeight w:val="620" w:hRule="atLeast"/>
        </w:trPr>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0CA0B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2"/>
                <w:szCs w:val="22"/>
                <w:u w:val="none"/>
              </w:rPr>
            </w:pPr>
          </w:p>
        </w:tc>
        <w:tc>
          <w:tcPr>
            <w:tcW w:w="48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9088E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54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E2FE7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567" w:type="pct"/>
            <w:gridSpan w:val="3"/>
            <w:tcBorders>
              <w:top w:val="single" w:color="000000" w:sz="4" w:space="0"/>
              <w:left w:val="single" w:color="000000" w:sz="4" w:space="0"/>
              <w:bottom w:val="single" w:color="000000" w:sz="4" w:space="0"/>
              <w:right w:val="single" w:color="000000" w:sz="4" w:space="0"/>
            </w:tcBorders>
            <w:noWrap w:val="0"/>
            <w:vAlign w:val="center"/>
          </w:tcPr>
          <w:p w14:paraId="76E683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指标4：</w:t>
            </w:r>
          </w:p>
        </w:tc>
        <w:tc>
          <w:tcPr>
            <w:tcW w:w="939" w:type="pct"/>
            <w:gridSpan w:val="2"/>
            <w:tcBorders>
              <w:top w:val="single" w:color="000000" w:sz="4" w:space="0"/>
              <w:left w:val="single" w:color="000000" w:sz="4" w:space="0"/>
              <w:bottom w:val="single" w:color="000000" w:sz="4" w:space="0"/>
              <w:right w:val="single" w:color="000000" w:sz="4" w:space="0"/>
            </w:tcBorders>
            <w:noWrap w:val="0"/>
            <w:vAlign w:val="center"/>
          </w:tcPr>
          <w:p w14:paraId="52FB3F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外租办公用房保障率</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548E61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0" w:type="pct"/>
            <w:gridSpan w:val="2"/>
            <w:tcBorders>
              <w:top w:val="single" w:color="000000" w:sz="4" w:space="0"/>
              <w:left w:val="single" w:color="000000" w:sz="4" w:space="0"/>
              <w:bottom w:val="single" w:color="000000" w:sz="4" w:space="0"/>
              <w:right w:val="single" w:color="000000" w:sz="4" w:space="0"/>
            </w:tcBorders>
            <w:noWrap w:val="0"/>
            <w:vAlign w:val="center"/>
          </w:tcPr>
          <w:p w14:paraId="201AEF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48" w:type="pct"/>
            <w:gridSpan w:val="3"/>
            <w:tcBorders>
              <w:top w:val="single" w:color="000000" w:sz="4" w:space="0"/>
              <w:left w:val="single" w:color="000000" w:sz="4" w:space="0"/>
              <w:bottom w:val="single" w:color="000000" w:sz="4" w:space="0"/>
              <w:right w:val="single" w:color="000000" w:sz="4" w:space="0"/>
            </w:tcBorders>
            <w:noWrap w:val="0"/>
            <w:vAlign w:val="center"/>
          </w:tcPr>
          <w:p w14:paraId="2A14E7D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4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48EC2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r>
      <w:tr w14:paraId="0B315C7C">
        <w:tblPrEx>
          <w:tblCellMar>
            <w:top w:w="0" w:type="dxa"/>
            <w:left w:w="108" w:type="dxa"/>
            <w:bottom w:w="0" w:type="dxa"/>
            <w:right w:w="108" w:type="dxa"/>
          </w:tblCellMar>
        </w:tblPrEx>
        <w:trPr>
          <w:trHeight w:val="600" w:hRule="atLeast"/>
        </w:trPr>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7F593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2"/>
                <w:szCs w:val="22"/>
                <w:u w:val="none"/>
              </w:rPr>
            </w:pPr>
          </w:p>
        </w:tc>
        <w:tc>
          <w:tcPr>
            <w:tcW w:w="48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F7E90E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54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A5374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567" w:type="pct"/>
            <w:gridSpan w:val="3"/>
            <w:tcBorders>
              <w:top w:val="single" w:color="000000" w:sz="4" w:space="0"/>
              <w:left w:val="single" w:color="000000" w:sz="4" w:space="0"/>
              <w:bottom w:val="single" w:color="000000" w:sz="4" w:space="0"/>
              <w:right w:val="single" w:color="000000" w:sz="4" w:space="0"/>
            </w:tcBorders>
            <w:noWrap w:val="0"/>
            <w:vAlign w:val="center"/>
          </w:tcPr>
          <w:p w14:paraId="42BDC7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指标1：</w:t>
            </w:r>
          </w:p>
        </w:tc>
        <w:tc>
          <w:tcPr>
            <w:tcW w:w="939" w:type="pct"/>
            <w:gridSpan w:val="2"/>
            <w:tcBorders>
              <w:top w:val="single" w:color="000000" w:sz="4" w:space="0"/>
              <w:left w:val="single" w:color="000000" w:sz="4" w:space="0"/>
              <w:bottom w:val="single" w:color="000000" w:sz="4" w:space="0"/>
              <w:right w:val="single" w:color="000000" w:sz="4" w:space="0"/>
            </w:tcBorders>
            <w:noWrap w:val="0"/>
            <w:vAlign w:val="center"/>
          </w:tcPr>
          <w:p w14:paraId="016CCE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工资发放及社保缴纳时间</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4A406A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按月发放、缴纳</w:t>
            </w:r>
          </w:p>
        </w:tc>
        <w:tc>
          <w:tcPr>
            <w:tcW w:w="510" w:type="pct"/>
            <w:gridSpan w:val="2"/>
            <w:tcBorders>
              <w:top w:val="single" w:color="000000" w:sz="4" w:space="0"/>
              <w:left w:val="single" w:color="000000" w:sz="4" w:space="0"/>
              <w:bottom w:val="single" w:color="000000" w:sz="4" w:space="0"/>
              <w:right w:val="single" w:color="000000" w:sz="4" w:space="0"/>
            </w:tcBorders>
            <w:noWrap w:val="0"/>
            <w:vAlign w:val="center"/>
          </w:tcPr>
          <w:p w14:paraId="1963C1D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548" w:type="pct"/>
            <w:gridSpan w:val="3"/>
            <w:tcBorders>
              <w:top w:val="single" w:color="000000" w:sz="4" w:space="0"/>
              <w:left w:val="single" w:color="000000" w:sz="4" w:space="0"/>
              <w:bottom w:val="single" w:color="000000" w:sz="4" w:space="0"/>
              <w:right w:val="single" w:color="000000" w:sz="4" w:space="0"/>
            </w:tcBorders>
            <w:noWrap w:val="0"/>
            <w:vAlign w:val="center"/>
          </w:tcPr>
          <w:p w14:paraId="55102C2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4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FA3A0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r>
      <w:tr w14:paraId="37C832D1">
        <w:tblPrEx>
          <w:tblCellMar>
            <w:top w:w="0" w:type="dxa"/>
            <w:left w:w="108" w:type="dxa"/>
            <w:bottom w:w="0" w:type="dxa"/>
            <w:right w:w="108" w:type="dxa"/>
          </w:tblCellMar>
        </w:tblPrEx>
        <w:trPr>
          <w:trHeight w:val="580" w:hRule="atLeast"/>
        </w:trPr>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FCA89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2"/>
                <w:szCs w:val="22"/>
                <w:u w:val="none"/>
              </w:rPr>
            </w:pPr>
          </w:p>
        </w:tc>
        <w:tc>
          <w:tcPr>
            <w:tcW w:w="48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A85233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54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BD96C7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567" w:type="pct"/>
            <w:gridSpan w:val="3"/>
            <w:tcBorders>
              <w:top w:val="single" w:color="000000" w:sz="4" w:space="0"/>
              <w:left w:val="single" w:color="000000" w:sz="4" w:space="0"/>
              <w:bottom w:val="single" w:color="000000" w:sz="4" w:space="0"/>
              <w:right w:val="single" w:color="000000" w:sz="4" w:space="0"/>
            </w:tcBorders>
            <w:noWrap w:val="0"/>
            <w:vAlign w:val="center"/>
          </w:tcPr>
          <w:p w14:paraId="25EFA6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指标2：</w:t>
            </w:r>
          </w:p>
        </w:tc>
        <w:tc>
          <w:tcPr>
            <w:tcW w:w="939" w:type="pct"/>
            <w:gridSpan w:val="2"/>
            <w:tcBorders>
              <w:top w:val="single" w:color="000000" w:sz="4" w:space="0"/>
              <w:left w:val="single" w:color="000000" w:sz="4" w:space="0"/>
              <w:bottom w:val="single" w:color="000000" w:sz="4" w:space="0"/>
              <w:right w:val="single" w:color="000000" w:sz="4" w:space="0"/>
            </w:tcBorders>
            <w:noWrap w:val="0"/>
            <w:vAlign w:val="center"/>
          </w:tcPr>
          <w:p w14:paraId="037EF6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房租缴纳及时性</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62AB5F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510" w:type="pct"/>
            <w:gridSpan w:val="2"/>
            <w:tcBorders>
              <w:top w:val="single" w:color="000000" w:sz="4" w:space="0"/>
              <w:left w:val="single" w:color="000000" w:sz="4" w:space="0"/>
              <w:bottom w:val="single" w:color="000000" w:sz="4" w:space="0"/>
              <w:right w:val="single" w:color="000000" w:sz="4" w:space="0"/>
            </w:tcBorders>
            <w:noWrap w:val="0"/>
            <w:vAlign w:val="center"/>
          </w:tcPr>
          <w:p w14:paraId="4DD67B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548" w:type="pct"/>
            <w:gridSpan w:val="3"/>
            <w:tcBorders>
              <w:top w:val="single" w:color="000000" w:sz="4" w:space="0"/>
              <w:left w:val="single" w:color="000000" w:sz="4" w:space="0"/>
              <w:bottom w:val="single" w:color="000000" w:sz="4" w:space="0"/>
              <w:right w:val="single" w:color="000000" w:sz="4" w:space="0"/>
            </w:tcBorders>
            <w:noWrap w:val="0"/>
            <w:vAlign w:val="center"/>
          </w:tcPr>
          <w:p w14:paraId="2AE9382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4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15511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r>
      <w:tr w14:paraId="3410821C">
        <w:tblPrEx>
          <w:tblCellMar>
            <w:top w:w="0" w:type="dxa"/>
            <w:left w:w="108" w:type="dxa"/>
            <w:bottom w:w="0" w:type="dxa"/>
            <w:right w:w="108" w:type="dxa"/>
          </w:tblCellMar>
        </w:tblPrEx>
        <w:trPr>
          <w:trHeight w:val="580" w:hRule="atLeast"/>
        </w:trPr>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B153D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2"/>
                <w:szCs w:val="22"/>
                <w:u w:val="none"/>
              </w:rPr>
            </w:pPr>
          </w:p>
        </w:tc>
        <w:tc>
          <w:tcPr>
            <w:tcW w:w="48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3323E3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54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3117F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567" w:type="pct"/>
            <w:gridSpan w:val="3"/>
            <w:tcBorders>
              <w:top w:val="single" w:color="000000" w:sz="4" w:space="0"/>
              <w:left w:val="single" w:color="000000" w:sz="4" w:space="0"/>
              <w:bottom w:val="single" w:color="000000" w:sz="4" w:space="0"/>
              <w:right w:val="single" w:color="000000" w:sz="4" w:space="0"/>
            </w:tcBorders>
            <w:noWrap w:val="0"/>
            <w:vAlign w:val="center"/>
          </w:tcPr>
          <w:p w14:paraId="3B7B58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指标1：</w:t>
            </w:r>
          </w:p>
        </w:tc>
        <w:tc>
          <w:tcPr>
            <w:tcW w:w="939" w:type="pct"/>
            <w:gridSpan w:val="2"/>
            <w:tcBorders>
              <w:top w:val="single" w:color="000000" w:sz="4" w:space="0"/>
              <w:left w:val="single" w:color="000000" w:sz="4" w:space="0"/>
              <w:bottom w:val="single" w:color="000000" w:sz="4" w:space="0"/>
              <w:right w:val="single" w:color="000000" w:sz="4" w:space="0"/>
            </w:tcBorders>
            <w:noWrap w:val="0"/>
            <w:vAlign w:val="center"/>
          </w:tcPr>
          <w:p w14:paraId="35D178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人均工资及保险</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6C511D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3.46万元/年/人</w:t>
            </w:r>
          </w:p>
        </w:tc>
        <w:tc>
          <w:tcPr>
            <w:tcW w:w="510" w:type="pct"/>
            <w:gridSpan w:val="2"/>
            <w:tcBorders>
              <w:top w:val="single" w:color="000000" w:sz="4" w:space="0"/>
              <w:left w:val="single" w:color="000000" w:sz="4" w:space="0"/>
              <w:bottom w:val="single" w:color="000000" w:sz="4" w:space="0"/>
              <w:right w:val="single" w:color="000000" w:sz="4" w:space="0"/>
            </w:tcBorders>
            <w:noWrap w:val="0"/>
            <w:vAlign w:val="center"/>
          </w:tcPr>
          <w:p w14:paraId="5A1CD8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3.46万元/年/人</w:t>
            </w:r>
          </w:p>
        </w:tc>
        <w:tc>
          <w:tcPr>
            <w:tcW w:w="548" w:type="pct"/>
            <w:gridSpan w:val="3"/>
            <w:tcBorders>
              <w:top w:val="single" w:color="000000" w:sz="4" w:space="0"/>
              <w:left w:val="single" w:color="000000" w:sz="4" w:space="0"/>
              <w:bottom w:val="single" w:color="000000" w:sz="4" w:space="0"/>
              <w:right w:val="single" w:color="000000" w:sz="4" w:space="0"/>
            </w:tcBorders>
            <w:noWrap w:val="0"/>
            <w:vAlign w:val="center"/>
          </w:tcPr>
          <w:p w14:paraId="4586434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4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4658E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r>
      <w:tr w14:paraId="4D130CAE">
        <w:tblPrEx>
          <w:tblCellMar>
            <w:top w:w="0" w:type="dxa"/>
            <w:left w:w="108" w:type="dxa"/>
            <w:bottom w:w="0" w:type="dxa"/>
            <w:right w:w="108" w:type="dxa"/>
          </w:tblCellMar>
        </w:tblPrEx>
        <w:trPr>
          <w:trHeight w:val="580" w:hRule="atLeast"/>
        </w:trPr>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263CD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2"/>
                <w:szCs w:val="22"/>
                <w:u w:val="none"/>
              </w:rPr>
            </w:pPr>
          </w:p>
        </w:tc>
        <w:tc>
          <w:tcPr>
            <w:tcW w:w="48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CCC576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54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6833C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567" w:type="pct"/>
            <w:gridSpan w:val="3"/>
            <w:tcBorders>
              <w:top w:val="single" w:color="000000" w:sz="4" w:space="0"/>
              <w:left w:val="single" w:color="000000" w:sz="4" w:space="0"/>
              <w:bottom w:val="single" w:color="000000" w:sz="4" w:space="0"/>
              <w:right w:val="single" w:color="000000" w:sz="4" w:space="0"/>
            </w:tcBorders>
            <w:noWrap w:val="0"/>
            <w:vAlign w:val="center"/>
          </w:tcPr>
          <w:p w14:paraId="6D5865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指标2：</w:t>
            </w:r>
          </w:p>
        </w:tc>
        <w:tc>
          <w:tcPr>
            <w:tcW w:w="939" w:type="pct"/>
            <w:gridSpan w:val="2"/>
            <w:tcBorders>
              <w:top w:val="single" w:color="000000" w:sz="4" w:space="0"/>
              <w:left w:val="single" w:color="000000" w:sz="4" w:space="0"/>
              <w:bottom w:val="single" w:color="000000" w:sz="4" w:space="0"/>
              <w:right w:val="single" w:color="000000" w:sz="4" w:space="0"/>
            </w:tcBorders>
            <w:noWrap w:val="0"/>
            <w:vAlign w:val="center"/>
          </w:tcPr>
          <w:p w14:paraId="66A4EE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人均派遣费用</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657389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50/月/人</w:t>
            </w:r>
          </w:p>
        </w:tc>
        <w:tc>
          <w:tcPr>
            <w:tcW w:w="510" w:type="pct"/>
            <w:gridSpan w:val="2"/>
            <w:tcBorders>
              <w:top w:val="single" w:color="000000" w:sz="4" w:space="0"/>
              <w:left w:val="single" w:color="000000" w:sz="4" w:space="0"/>
              <w:bottom w:val="single" w:color="000000" w:sz="4" w:space="0"/>
              <w:right w:val="single" w:color="000000" w:sz="4" w:space="0"/>
            </w:tcBorders>
            <w:noWrap w:val="0"/>
            <w:vAlign w:val="center"/>
          </w:tcPr>
          <w:p w14:paraId="12F386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50/月/人</w:t>
            </w:r>
          </w:p>
        </w:tc>
        <w:tc>
          <w:tcPr>
            <w:tcW w:w="548" w:type="pct"/>
            <w:gridSpan w:val="3"/>
            <w:tcBorders>
              <w:top w:val="single" w:color="000000" w:sz="4" w:space="0"/>
              <w:left w:val="single" w:color="000000" w:sz="4" w:space="0"/>
              <w:bottom w:val="single" w:color="000000" w:sz="4" w:space="0"/>
              <w:right w:val="single" w:color="000000" w:sz="4" w:space="0"/>
            </w:tcBorders>
            <w:noWrap w:val="0"/>
            <w:vAlign w:val="center"/>
          </w:tcPr>
          <w:p w14:paraId="5E0FD8C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4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67C90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r>
      <w:tr w14:paraId="237B8127">
        <w:tblPrEx>
          <w:tblCellMar>
            <w:top w:w="0" w:type="dxa"/>
            <w:left w:w="108" w:type="dxa"/>
            <w:bottom w:w="0" w:type="dxa"/>
            <w:right w:w="108" w:type="dxa"/>
          </w:tblCellMar>
        </w:tblPrEx>
        <w:trPr>
          <w:trHeight w:val="580" w:hRule="atLeast"/>
        </w:trPr>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C8AC1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2"/>
                <w:szCs w:val="22"/>
                <w:u w:val="none"/>
              </w:rPr>
            </w:pPr>
          </w:p>
        </w:tc>
        <w:tc>
          <w:tcPr>
            <w:tcW w:w="48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FDA80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54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AB86E4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567" w:type="pct"/>
            <w:gridSpan w:val="3"/>
            <w:tcBorders>
              <w:top w:val="single" w:color="000000" w:sz="4" w:space="0"/>
              <w:left w:val="single" w:color="000000" w:sz="4" w:space="0"/>
              <w:bottom w:val="single" w:color="000000" w:sz="4" w:space="0"/>
              <w:right w:val="single" w:color="000000" w:sz="4" w:space="0"/>
            </w:tcBorders>
            <w:noWrap w:val="0"/>
            <w:vAlign w:val="center"/>
          </w:tcPr>
          <w:p w14:paraId="35166E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指标3：</w:t>
            </w:r>
          </w:p>
        </w:tc>
        <w:tc>
          <w:tcPr>
            <w:tcW w:w="939" w:type="pct"/>
            <w:gridSpan w:val="2"/>
            <w:tcBorders>
              <w:top w:val="single" w:color="000000" w:sz="4" w:space="0"/>
              <w:left w:val="single" w:color="000000" w:sz="4" w:space="0"/>
              <w:bottom w:val="single" w:color="000000" w:sz="4" w:space="0"/>
              <w:right w:val="single" w:color="000000" w:sz="4" w:space="0"/>
            </w:tcBorders>
            <w:noWrap w:val="0"/>
            <w:vAlign w:val="center"/>
          </w:tcPr>
          <w:p w14:paraId="71CFEF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单位房租费用</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2D9C25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276.6/年/㎡</w:t>
            </w:r>
          </w:p>
        </w:tc>
        <w:tc>
          <w:tcPr>
            <w:tcW w:w="510" w:type="pct"/>
            <w:gridSpan w:val="2"/>
            <w:tcBorders>
              <w:top w:val="single" w:color="000000" w:sz="4" w:space="0"/>
              <w:left w:val="single" w:color="000000" w:sz="4" w:space="0"/>
              <w:bottom w:val="single" w:color="000000" w:sz="4" w:space="0"/>
              <w:right w:val="single" w:color="000000" w:sz="4" w:space="0"/>
            </w:tcBorders>
            <w:noWrap w:val="0"/>
            <w:vAlign w:val="center"/>
          </w:tcPr>
          <w:p w14:paraId="407834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276.6/年/㎡</w:t>
            </w:r>
          </w:p>
        </w:tc>
        <w:tc>
          <w:tcPr>
            <w:tcW w:w="548" w:type="pct"/>
            <w:gridSpan w:val="3"/>
            <w:tcBorders>
              <w:top w:val="single" w:color="000000" w:sz="4" w:space="0"/>
              <w:left w:val="single" w:color="000000" w:sz="4" w:space="0"/>
              <w:bottom w:val="single" w:color="000000" w:sz="4" w:space="0"/>
              <w:right w:val="single" w:color="000000" w:sz="4" w:space="0"/>
            </w:tcBorders>
            <w:noWrap w:val="0"/>
            <w:vAlign w:val="center"/>
          </w:tcPr>
          <w:p w14:paraId="42135A6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4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F0668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r>
      <w:tr w14:paraId="6D8FBD1B">
        <w:tblPrEx>
          <w:tblCellMar>
            <w:top w:w="0" w:type="dxa"/>
            <w:left w:w="108" w:type="dxa"/>
            <w:bottom w:w="0" w:type="dxa"/>
            <w:right w:w="108" w:type="dxa"/>
          </w:tblCellMar>
        </w:tblPrEx>
        <w:trPr>
          <w:trHeight w:val="600" w:hRule="atLeast"/>
        </w:trPr>
        <w:tc>
          <w:tcPr>
            <w:tcW w:w="366" w:type="pct"/>
            <w:vMerge w:val="restart"/>
            <w:tcBorders>
              <w:top w:val="single" w:color="000000" w:sz="4" w:space="0"/>
              <w:left w:val="single" w:color="000000" w:sz="4" w:space="0"/>
              <w:bottom w:val="single" w:color="000000" w:sz="4" w:space="0"/>
              <w:right w:val="single" w:color="000000" w:sz="4" w:space="0"/>
            </w:tcBorders>
            <w:noWrap w:val="0"/>
            <w:vAlign w:val="center"/>
          </w:tcPr>
          <w:p w14:paraId="4541AA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效</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指</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标</w:t>
            </w:r>
          </w:p>
        </w:tc>
        <w:tc>
          <w:tcPr>
            <w:tcW w:w="48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82193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效益指标（30分</w:t>
            </w:r>
          </w:p>
        </w:tc>
        <w:tc>
          <w:tcPr>
            <w:tcW w:w="54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14931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567" w:type="pct"/>
            <w:gridSpan w:val="3"/>
            <w:tcBorders>
              <w:top w:val="single" w:color="000000" w:sz="4" w:space="0"/>
              <w:left w:val="single" w:color="000000" w:sz="4" w:space="0"/>
              <w:bottom w:val="single" w:color="000000" w:sz="4" w:space="0"/>
              <w:right w:val="single" w:color="000000" w:sz="4" w:space="0"/>
            </w:tcBorders>
            <w:noWrap w:val="0"/>
            <w:vAlign w:val="center"/>
          </w:tcPr>
          <w:p w14:paraId="4BC211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指标1：</w:t>
            </w:r>
          </w:p>
        </w:tc>
        <w:tc>
          <w:tcPr>
            <w:tcW w:w="939" w:type="pct"/>
            <w:gridSpan w:val="2"/>
            <w:tcBorders>
              <w:top w:val="single" w:color="000000" w:sz="4" w:space="0"/>
              <w:left w:val="single" w:color="000000" w:sz="4" w:space="0"/>
              <w:bottom w:val="single" w:color="000000" w:sz="4" w:space="0"/>
              <w:right w:val="single" w:color="000000" w:sz="4" w:space="0"/>
            </w:tcBorders>
            <w:noWrap w:val="0"/>
            <w:vAlign w:val="center"/>
          </w:tcPr>
          <w:p w14:paraId="2415F8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高效完成城管执法工作</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6D43F9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高效完成</w:t>
            </w:r>
          </w:p>
        </w:tc>
        <w:tc>
          <w:tcPr>
            <w:tcW w:w="510" w:type="pct"/>
            <w:gridSpan w:val="2"/>
            <w:tcBorders>
              <w:top w:val="single" w:color="000000" w:sz="4" w:space="0"/>
              <w:left w:val="single" w:color="000000" w:sz="4" w:space="0"/>
              <w:bottom w:val="single" w:color="000000" w:sz="4" w:space="0"/>
              <w:right w:val="single" w:color="000000" w:sz="4" w:space="0"/>
            </w:tcBorders>
            <w:noWrap w:val="0"/>
            <w:vAlign w:val="center"/>
          </w:tcPr>
          <w:p w14:paraId="42E8CF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高效完成</w:t>
            </w:r>
          </w:p>
        </w:tc>
        <w:tc>
          <w:tcPr>
            <w:tcW w:w="548" w:type="pct"/>
            <w:gridSpan w:val="3"/>
            <w:tcBorders>
              <w:top w:val="single" w:color="000000" w:sz="4" w:space="0"/>
              <w:left w:val="single" w:color="000000" w:sz="4" w:space="0"/>
              <w:bottom w:val="single" w:color="000000" w:sz="4" w:space="0"/>
              <w:right w:val="single" w:color="000000" w:sz="4" w:space="0"/>
            </w:tcBorders>
            <w:noWrap w:val="0"/>
            <w:vAlign w:val="center"/>
          </w:tcPr>
          <w:p w14:paraId="509F064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441" w:type="pct"/>
            <w:vMerge w:val="restart"/>
            <w:tcBorders>
              <w:top w:val="single" w:color="000000" w:sz="4" w:space="0"/>
              <w:left w:val="single" w:color="000000" w:sz="4" w:space="0"/>
              <w:bottom w:val="single" w:color="000000" w:sz="4" w:space="0"/>
              <w:right w:val="single" w:color="000000" w:sz="4" w:space="0"/>
            </w:tcBorders>
            <w:noWrap w:val="0"/>
            <w:vAlign w:val="center"/>
          </w:tcPr>
          <w:p w14:paraId="2456D6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73F238C1">
        <w:tblPrEx>
          <w:tblCellMar>
            <w:top w:w="0" w:type="dxa"/>
            <w:left w:w="108" w:type="dxa"/>
            <w:bottom w:w="0" w:type="dxa"/>
            <w:right w:w="108" w:type="dxa"/>
          </w:tblCellMar>
        </w:tblPrEx>
        <w:trPr>
          <w:trHeight w:val="580" w:hRule="atLeast"/>
        </w:trPr>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484A9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2"/>
                <w:szCs w:val="22"/>
                <w:u w:val="none"/>
              </w:rPr>
            </w:pPr>
          </w:p>
        </w:tc>
        <w:tc>
          <w:tcPr>
            <w:tcW w:w="48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2E81FB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54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645D96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567" w:type="pct"/>
            <w:gridSpan w:val="3"/>
            <w:tcBorders>
              <w:top w:val="single" w:color="000000" w:sz="4" w:space="0"/>
              <w:left w:val="single" w:color="000000" w:sz="4" w:space="0"/>
              <w:bottom w:val="single" w:color="000000" w:sz="4" w:space="0"/>
              <w:right w:val="single" w:color="000000" w:sz="4" w:space="0"/>
            </w:tcBorders>
            <w:noWrap w:val="0"/>
            <w:vAlign w:val="center"/>
          </w:tcPr>
          <w:p w14:paraId="6F0188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指标2：</w:t>
            </w:r>
          </w:p>
        </w:tc>
        <w:tc>
          <w:tcPr>
            <w:tcW w:w="939" w:type="pct"/>
            <w:gridSpan w:val="2"/>
            <w:tcBorders>
              <w:top w:val="single" w:color="000000" w:sz="4" w:space="0"/>
              <w:left w:val="single" w:color="000000" w:sz="4" w:space="0"/>
              <w:bottom w:val="single" w:color="000000" w:sz="4" w:space="0"/>
              <w:right w:val="single" w:color="000000" w:sz="4" w:space="0"/>
            </w:tcBorders>
            <w:noWrap w:val="0"/>
            <w:vAlign w:val="center"/>
          </w:tcPr>
          <w:p w14:paraId="3D0DB9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带动就业增长效果</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423093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0" w:type="pct"/>
            <w:gridSpan w:val="2"/>
            <w:tcBorders>
              <w:top w:val="single" w:color="000000" w:sz="4" w:space="0"/>
              <w:left w:val="single" w:color="000000" w:sz="4" w:space="0"/>
              <w:bottom w:val="single" w:color="000000" w:sz="4" w:space="0"/>
              <w:right w:val="single" w:color="000000" w:sz="4" w:space="0"/>
            </w:tcBorders>
            <w:noWrap w:val="0"/>
            <w:vAlign w:val="center"/>
          </w:tcPr>
          <w:p w14:paraId="3B310BE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48" w:type="pct"/>
            <w:gridSpan w:val="3"/>
            <w:tcBorders>
              <w:top w:val="single" w:color="000000" w:sz="4" w:space="0"/>
              <w:left w:val="single" w:color="000000" w:sz="4" w:space="0"/>
              <w:bottom w:val="single" w:color="000000" w:sz="4" w:space="0"/>
              <w:right w:val="single" w:color="000000" w:sz="4" w:space="0"/>
            </w:tcBorders>
            <w:noWrap w:val="0"/>
            <w:vAlign w:val="center"/>
          </w:tcPr>
          <w:p w14:paraId="11F9285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4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12082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r>
      <w:tr w14:paraId="179B9327">
        <w:tblPrEx>
          <w:tblCellMar>
            <w:top w:w="0" w:type="dxa"/>
            <w:left w:w="108" w:type="dxa"/>
            <w:bottom w:w="0" w:type="dxa"/>
            <w:right w:w="108" w:type="dxa"/>
          </w:tblCellMar>
        </w:tblPrEx>
        <w:trPr>
          <w:trHeight w:val="580" w:hRule="atLeast"/>
        </w:trPr>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6CAD5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2"/>
                <w:szCs w:val="22"/>
                <w:u w:val="none"/>
              </w:rPr>
            </w:pPr>
          </w:p>
        </w:tc>
        <w:tc>
          <w:tcPr>
            <w:tcW w:w="48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0C754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（10分）</w:t>
            </w:r>
          </w:p>
        </w:tc>
        <w:tc>
          <w:tcPr>
            <w:tcW w:w="54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9813B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567" w:type="pct"/>
            <w:gridSpan w:val="3"/>
            <w:tcBorders>
              <w:top w:val="single" w:color="000000" w:sz="4" w:space="0"/>
              <w:left w:val="single" w:color="000000" w:sz="4" w:space="0"/>
              <w:bottom w:val="single" w:color="000000" w:sz="4" w:space="0"/>
              <w:right w:val="single" w:color="000000" w:sz="4" w:space="0"/>
            </w:tcBorders>
            <w:noWrap w:val="0"/>
            <w:vAlign w:val="center"/>
          </w:tcPr>
          <w:p w14:paraId="3C927B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指标1：</w:t>
            </w:r>
          </w:p>
        </w:tc>
        <w:tc>
          <w:tcPr>
            <w:tcW w:w="939" w:type="pct"/>
            <w:gridSpan w:val="2"/>
            <w:tcBorders>
              <w:top w:val="single" w:color="000000" w:sz="4" w:space="0"/>
              <w:left w:val="single" w:color="000000" w:sz="4" w:space="0"/>
              <w:bottom w:val="single" w:color="000000" w:sz="4" w:space="0"/>
              <w:right w:val="single" w:color="000000" w:sz="4" w:space="0"/>
            </w:tcBorders>
            <w:noWrap w:val="0"/>
            <w:vAlign w:val="center"/>
          </w:tcPr>
          <w:p w14:paraId="42B8E6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职工满意度</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68BB6C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10" w:type="pct"/>
            <w:gridSpan w:val="2"/>
            <w:tcBorders>
              <w:top w:val="single" w:color="000000" w:sz="4" w:space="0"/>
              <w:left w:val="single" w:color="000000" w:sz="4" w:space="0"/>
              <w:bottom w:val="single" w:color="000000" w:sz="4" w:space="0"/>
              <w:right w:val="single" w:color="000000" w:sz="4" w:space="0"/>
            </w:tcBorders>
            <w:noWrap w:val="0"/>
            <w:vAlign w:val="center"/>
          </w:tcPr>
          <w:p w14:paraId="33E158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548" w:type="pct"/>
            <w:gridSpan w:val="3"/>
            <w:tcBorders>
              <w:top w:val="single" w:color="000000" w:sz="4" w:space="0"/>
              <w:left w:val="single" w:color="000000" w:sz="4" w:space="0"/>
              <w:bottom w:val="single" w:color="000000" w:sz="4" w:space="0"/>
              <w:right w:val="single" w:color="000000" w:sz="4" w:space="0"/>
            </w:tcBorders>
            <w:noWrap w:val="0"/>
            <w:vAlign w:val="center"/>
          </w:tcPr>
          <w:p w14:paraId="53B8B3F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441" w:type="pct"/>
            <w:vMerge w:val="restart"/>
            <w:tcBorders>
              <w:top w:val="single" w:color="000000" w:sz="4" w:space="0"/>
              <w:left w:val="single" w:color="000000" w:sz="4" w:space="0"/>
              <w:bottom w:val="single" w:color="000000" w:sz="4" w:space="0"/>
              <w:right w:val="single" w:color="000000" w:sz="4" w:space="0"/>
            </w:tcBorders>
            <w:noWrap w:val="0"/>
            <w:vAlign w:val="center"/>
          </w:tcPr>
          <w:p w14:paraId="1C27A5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72DC5132">
        <w:tblPrEx>
          <w:tblCellMar>
            <w:top w:w="0" w:type="dxa"/>
            <w:left w:w="108" w:type="dxa"/>
            <w:bottom w:w="0" w:type="dxa"/>
            <w:right w:w="108" w:type="dxa"/>
          </w:tblCellMar>
        </w:tblPrEx>
        <w:trPr>
          <w:trHeight w:val="600" w:hRule="atLeast"/>
        </w:trPr>
        <w:tc>
          <w:tcPr>
            <w:tcW w:w="3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E7ED1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2"/>
                <w:szCs w:val="22"/>
                <w:u w:val="none"/>
              </w:rPr>
            </w:pPr>
          </w:p>
        </w:tc>
        <w:tc>
          <w:tcPr>
            <w:tcW w:w="48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29138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54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604CF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567" w:type="pct"/>
            <w:gridSpan w:val="3"/>
            <w:tcBorders>
              <w:top w:val="single" w:color="000000" w:sz="4" w:space="0"/>
              <w:left w:val="single" w:color="000000" w:sz="4" w:space="0"/>
              <w:bottom w:val="single" w:color="000000" w:sz="4" w:space="0"/>
              <w:right w:val="single" w:color="000000" w:sz="4" w:space="0"/>
            </w:tcBorders>
            <w:noWrap w:val="0"/>
            <w:vAlign w:val="center"/>
          </w:tcPr>
          <w:p w14:paraId="409275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指标2：</w:t>
            </w:r>
          </w:p>
        </w:tc>
        <w:tc>
          <w:tcPr>
            <w:tcW w:w="939" w:type="pct"/>
            <w:gridSpan w:val="2"/>
            <w:tcBorders>
              <w:top w:val="single" w:color="000000" w:sz="4" w:space="0"/>
              <w:left w:val="single" w:color="000000" w:sz="4" w:space="0"/>
              <w:bottom w:val="single" w:color="000000" w:sz="4" w:space="0"/>
              <w:right w:val="single" w:color="000000" w:sz="4" w:space="0"/>
            </w:tcBorders>
            <w:noWrap w:val="0"/>
            <w:vAlign w:val="center"/>
          </w:tcPr>
          <w:p w14:paraId="6EBFCB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劳务派遣公司满意度</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23C8E6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w:t>
            </w:r>
          </w:p>
        </w:tc>
        <w:tc>
          <w:tcPr>
            <w:tcW w:w="510" w:type="pct"/>
            <w:gridSpan w:val="2"/>
            <w:tcBorders>
              <w:top w:val="single" w:color="000000" w:sz="4" w:space="0"/>
              <w:left w:val="single" w:color="000000" w:sz="4" w:space="0"/>
              <w:bottom w:val="single" w:color="000000" w:sz="4" w:space="0"/>
              <w:right w:val="single" w:color="000000" w:sz="4" w:space="0"/>
            </w:tcBorders>
            <w:noWrap w:val="0"/>
            <w:vAlign w:val="center"/>
          </w:tcPr>
          <w:p w14:paraId="789AC9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w:t>
            </w:r>
          </w:p>
        </w:tc>
        <w:tc>
          <w:tcPr>
            <w:tcW w:w="548" w:type="pct"/>
            <w:gridSpan w:val="3"/>
            <w:tcBorders>
              <w:top w:val="single" w:color="000000" w:sz="4" w:space="0"/>
              <w:left w:val="single" w:color="000000" w:sz="4" w:space="0"/>
              <w:bottom w:val="single" w:color="000000" w:sz="4" w:space="0"/>
              <w:right w:val="single" w:color="000000" w:sz="4" w:space="0"/>
            </w:tcBorders>
            <w:noWrap w:val="0"/>
            <w:vAlign w:val="center"/>
          </w:tcPr>
          <w:p w14:paraId="32A5FCE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4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5AD5C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r>
      <w:tr w14:paraId="1DDD5A7C">
        <w:tblPrEx>
          <w:tblCellMar>
            <w:top w:w="0" w:type="dxa"/>
            <w:left w:w="108" w:type="dxa"/>
            <w:bottom w:w="0" w:type="dxa"/>
            <w:right w:w="108" w:type="dxa"/>
          </w:tblCellMar>
        </w:tblPrEx>
        <w:trPr>
          <w:trHeight w:val="780" w:hRule="atLeast"/>
        </w:trPr>
        <w:tc>
          <w:tcPr>
            <w:tcW w:w="4558" w:type="pct"/>
            <w:gridSpan w:val="16"/>
            <w:tcBorders>
              <w:top w:val="single" w:color="000000" w:sz="4" w:space="0"/>
              <w:left w:val="single" w:color="000000" w:sz="4" w:space="0"/>
              <w:bottom w:val="single" w:color="000000" w:sz="4" w:space="0"/>
              <w:right w:val="single" w:color="000000" w:sz="4" w:space="0"/>
            </w:tcBorders>
            <w:noWrap w:val="0"/>
            <w:vAlign w:val="center"/>
          </w:tcPr>
          <w:p w14:paraId="17FD7E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    分</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3AEDC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r>
      <w:tr w14:paraId="454FA5E1">
        <w:tblPrEx>
          <w:tblCellMar>
            <w:top w:w="0" w:type="dxa"/>
            <w:left w:w="108" w:type="dxa"/>
            <w:bottom w:w="0" w:type="dxa"/>
            <w:right w:w="108" w:type="dxa"/>
          </w:tblCellMar>
        </w:tblPrEx>
        <w:trPr>
          <w:trHeight w:val="960" w:hRule="atLeast"/>
        </w:trPr>
        <w:tc>
          <w:tcPr>
            <w:tcW w:w="5000" w:type="pct"/>
            <w:gridSpan w:val="17"/>
            <w:tcBorders>
              <w:top w:val="single" w:color="000000" w:sz="4" w:space="0"/>
              <w:left w:val="single" w:color="000000" w:sz="4" w:space="0"/>
              <w:bottom w:val="single" w:color="000000" w:sz="4" w:space="0"/>
              <w:right w:val="single" w:color="000000" w:sz="4" w:space="0"/>
            </w:tcBorders>
            <w:noWrap w:val="0"/>
            <w:vAlign w:val="center"/>
          </w:tcPr>
          <w:p w14:paraId="348919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20"/>
                <w:kern w:val="0"/>
                <w:sz w:val="22"/>
                <w:szCs w:val="22"/>
                <w:u w:val="none"/>
                <w:lang w:val="en-US" w:eastAsia="zh-CN" w:bidi="ar"/>
              </w:rPr>
              <w:t>总分设置为100分：预算执行率10分、产出指标50分、效益指标30分、服务对象满意度指标10分。等级一般划分为四档：100-90（含）分为优、90-80（含）分为良、80-60（含）分为中、60分以下为差。</w:t>
            </w:r>
          </w:p>
        </w:tc>
      </w:tr>
      <w:tr w14:paraId="1F9B5018">
        <w:tblPrEx>
          <w:tblCellMar>
            <w:top w:w="0" w:type="dxa"/>
            <w:left w:w="108" w:type="dxa"/>
            <w:bottom w:w="0" w:type="dxa"/>
            <w:right w:w="108" w:type="dxa"/>
          </w:tblCellMar>
        </w:tblPrEx>
        <w:trPr>
          <w:trHeight w:val="1420" w:hRule="atLeast"/>
        </w:trPr>
        <w:tc>
          <w:tcPr>
            <w:tcW w:w="848" w:type="pct"/>
            <w:gridSpan w:val="3"/>
            <w:tcBorders>
              <w:top w:val="single" w:color="000000" w:sz="4" w:space="0"/>
              <w:left w:val="single" w:color="000000" w:sz="4" w:space="0"/>
              <w:bottom w:val="single" w:color="000000" w:sz="4" w:space="0"/>
              <w:right w:val="single" w:color="000000" w:sz="4" w:space="0"/>
            </w:tcBorders>
            <w:noWrap w:val="0"/>
            <w:vAlign w:val="center"/>
          </w:tcPr>
          <w:p w14:paraId="2C7F18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自评结论及结果分析</w:t>
            </w:r>
          </w:p>
        </w:tc>
        <w:tc>
          <w:tcPr>
            <w:tcW w:w="4151" w:type="pct"/>
            <w:gridSpan w:val="14"/>
            <w:tcBorders>
              <w:top w:val="single" w:color="000000" w:sz="4" w:space="0"/>
              <w:left w:val="single" w:color="000000" w:sz="4" w:space="0"/>
              <w:bottom w:val="single" w:color="000000" w:sz="4" w:space="0"/>
              <w:right w:val="single" w:color="000000" w:sz="4" w:space="0"/>
            </w:tcBorders>
            <w:noWrap w:val="0"/>
            <w:vAlign w:val="center"/>
          </w:tcPr>
          <w:p w14:paraId="6C8614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管人员经费项目总体得分为90分，评价等级为优秀。项目立项依据充分，绩效指标明确，财政资金及时到位，管理制度健全并执行有效，资金使用合规。有效提升了城市治理水平和效果，降低了执法成本，为市民提供了整洁、有序、美好的生活环境。</w:t>
            </w:r>
          </w:p>
        </w:tc>
      </w:tr>
      <w:tr w14:paraId="06B97D6E">
        <w:tblPrEx>
          <w:tblCellMar>
            <w:top w:w="0" w:type="dxa"/>
            <w:left w:w="108" w:type="dxa"/>
            <w:bottom w:w="0" w:type="dxa"/>
            <w:right w:w="108" w:type="dxa"/>
          </w:tblCellMar>
        </w:tblPrEx>
        <w:trPr>
          <w:trHeight w:val="780" w:hRule="atLeast"/>
        </w:trPr>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C02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主要经验做法</w:t>
            </w:r>
          </w:p>
        </w:tc>
        <w:tc>
          <w:tcPr>
            <w:tcW w:w="4151" w:type="pct"/>
            <w:gridSpan w:val="14"/>
            <w:tcBorders>
              <w:top w:val="single" w:color="000000" w:sz="4" w:space="0"/>
              <w:left w:val="single" w:color="000000" w:sz="4" w:space="0"/>
              <w:bottom w:val="single" w:color="000000" w:sz="4" w:space="0"/>
              <w:right w:val="single" w:color="000000" w:sz="4" w:space="0"/>
            </w:tcBorders>
            <w:shd w:val="clear" w:color="auto" w:fill="CCE8CF"/>
            <w:noWrap w:val="0"/>
            <w:vAlign w:val="center"/>
          </w:tcPr>
          <w:p w14:paraId="3B41C1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447BB858">
        <w:tblPrEx>
          <w:tblCellMar>
            <w:top w:w="0" w:type="dxa"/>
            <w:left w:w="108" w:type="dxa"/>
            <w:bottom w:w="0" w:type="dxa"/>
            <w:right w:w="108" w:type="dxa"/>
          </w:tblCellMar>
        </w:tblPrEx>
        <w:trPr>
          <w:trHeight w:val="1125" w:hRule="atLeast"/>
        </w:trPr>
        <w:tc>
          <w:tcPr>
            <w:tcW w:w="848" w:type="pct"/>
            <w:gridSpan w:val="3"/>
            <w:tcBorders>
              <w:top w:val="single" w:color="000000" w:sz="4" w:space="0"/>
              <w:left w:val="single" w:color="000000" w:sz="4" w:space="0"/>
              <w:bottom w:val="single" w:color="000000" w:sz="4" w:space="0"/>
              <w:right w:val="single" w:color="000000" w:sz="4" w:space="0"/>
            </w:tcBorders>
            <w:noWrap w:val="0"/>
            <w:vAlign w:val="center"/>
          </w:tcPr>
          <w:p w14:paraId="0C6EB8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存在问题与整改措施</w:t>
            </w:r>
          </w:p>
        </w:tc>
        <w:tc>
          <w:tcPr>
            <w:tcW w:w="4151" w:type="pct"/>
            <w:gridSpan w:val="14"/>
            <w:tcBorders>
              <w:top w:val="single" w:color="000000" w:sz="4" w:space="0"/>
              <w:left w:val="single" w:color="000000" w:sz="4" w:space="0"/>
              <w:bottom w:val="single" w:color="000000" w:sz="4" w:space="0"/>
              <w:right w:val="single" w:color="000000" w:sz="4" w:space="0"/>
            </w:tcBorders>
            <w:noWrap w:val="0"/>
            <w:vAlign w:val="center"/>
          </w:tcPr>
          <w:p w14:paraId="69EBCA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14:paraId="1B4552CF">
        <w:tblPrEx>
          <w:tblCellMar>
            <w:top w:w="0" w:type="dxa"/>
            <w:left w:w="108" w:type="dxa"/>
            <w:bottom w:w="0" w:type="dxa"/>
            <w:right w:w="108" w:type="dxa"/>
          </w:tblCellMar>
        </w:tblPrEx>
        <w:trPr>
          <w:trHeight w:val="620" w:hRule="atLeast"/>
        </w:trPr>
        <w:tc>
          <w:tcPr>
            <w:tcW w:w="848" w:type="pct"/>
            <w:gridSpan w:val="3"/>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21EF5C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评价人员</w:t>
            </w:r>
          </w:p>
        </w:tc>
        <w:tc>
          <w:tcPr>
            <w:tcW w:w="706" w:type="pct"/>
            <w:gridSpan w:val="3"/>
            <w:tcBorders>
              <w:top w:val="single" w:color="000000" w:sz="4" w:space="0"/>
              <w:left w:val="single" w:color="000000" w:sz="4" w:space="0"/>
              <w:bottom w:val="single" w:color="000000" w:sz="4" w:space="0"/>
              <w:right w:val="single" w:color="000000" w:sz="4" w:space="0"/>
            </w:tcBorders>
            <w:noWrap w:val="0"/>
            <w:textDirection w:val="tbRlV"/>
            <w:vAlign w:val="center"/>
          </w:tcPr>
          <w:p w14:paraId="7454E30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14:paraId="340D33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166" w:type="pct"/>
            <w:gridSpan w:val="2"/>
            <w:tcBorders>
              <w:top w:val="single" w:color="000000" w:sz="4" w:space="0"/>
              <w:left w:val="single" w:color="000000" w:sz="4" w:space="0"/>
              <w:bottom w:val="single" w:color="000000" w:sz="4" w:space="0"/>
              <w:right w:val="single" w:color="000000" w:sz="4" w:space="0"/>
            </w:tcBorders>
            <w:noWrap w:val="0"/>
            <w:vAlign w:val="center"/>
          </w:tcPr>
          <w:p w14:paraId="66684A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职称/职务</w:t>
            </w:r>
          </w:p>
        </w:tc>
        <w:tc>
          <w:tcPr>
            <w:tcW w:w="857" w:type="pct"/>
            <w:gridSpan w:val="4"/>
            <w:tcBorders>
              <w:top w:val="single" w:color="000000" w:sz="4" w:space="0"/>
              <w:left w:val="single" w:color="000000" w:sz="4" w:space="0"/>
              <w:bottom w:val="single" w:color="000000" w:sz="4" w:space="0"/>
              <w:right w:val="single" w:color="000000" w:sz="4" w:space="0"/>
            </w:tcBorders>
            <w:noWrap w:val="0"/>
            <w:vAlign w:val="center"/>
          </w:tcPr>
          <w:p w14:paraId="00170E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工作单位</w:t>
            </w:r>
          </w:p>
        </w:tc>
        <w:tc>
          <w:tcPr>
            <w:tcW w:w="643" w:type="pct"/>
            <w:gridSpan w:val="2"/>
            <w:tcBorders>
              <w:top w:val="single" w:color="000000" w:sz="4" w:space="0"/>
              <w:left w:val="single" w:color="000000" w:sz="4" w:space="0"/>
              <w:bottom w:val="single" w:color="000000" w:sz="4" w:space="0"/>
              <w:right w:val="single" w:color="000000" w:sz="4" w:space="0"/>
            </w:tcBorders>
            <w:noWrap w:val="0"/>
            <w:vAlign w:val="center"/>
          </w:tcPr>
          <w:p w14:paraId="5657A9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签字</w:t>
            </w:r>
          </w:p>
        </w:tc>
      </w:tr>
      <w:tr w14:paraId="45FA81F9">
        <w:tblPrEx>
          <w:tblCellMar>
            <w:top w:w="0" w:type="dxa"/>
            <w:left w:w="108" w:type="dxa"/>
            <w:bottom w:w="0" w:type="dxa"/>
            <w:right w:w="108" w:type="dxa"/>
          </w:tblCellMar>
        </w:tblPrEx>
        <w:trPr>
          <w:trHeight w:val="620" w:hRule="atLeast"/>
        </w:trPr>
        <w:tc>
          <w:tcPr>
            <w:tcW w:w="848" w:type="pct"/>
            <w:gridSpan w:val="3"/>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9B97E2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4"/>
                <w:szCs w:val="24"/>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0"/>
            <w:vAlign w:val="center"/>
          </w:tcPr>
          <w:p w14:paraId="6F46B0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组长</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14:paraId="7AABA0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唐健</w:t>
            </w:r>
          </w:p>
        </w:tc>
        <w:tc>
          <w:tcPr>
            <w:tcW w:w="1166" w:type="pct"/>
            <w:gridSpan w:val="2"/>
            <w:tcBorders>
              <w:top w:val="single" w:color="000000" w:sz="4" w:space="0"/>
              <w:left w:val="single" w:color="000000" w:sz="4" w:space="0"/>
              <w:bottom w:val="single" w:color="000000" w:sz="4" w:space="0"/>
              <w:right w:val="single" w:color="000000" w:sz="4" w:space="0"/>
            </w:tcBorders>
            <w:noWrap w:val="0"/>
            <w:vAlign w:val="center"/>
          </w:tcPr>
          <w:p w14:paraId="36C101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科长</w:t>
            </w:r>
          </w:p>
        </w:tc>
        <w:tc>
          <w:tcPr>
            <w:tcW w:w="857" w:type="pct"/>
            <w:gridSpan w:val="4"/>
            <w:tcBorders>
              <w:top w:val="single" w:color="000000" w:sz="4" w:space="0"/>
              <w:left w:val="single" w:color="000000" w:sz="4" w:space="0"/>
              <w:bottom w:val="single" w:color="000000" w:sz="4" w:space="0"/>
              <w:right w:val="single" w:color="000000" w:sz="4" w:space="0"/>
            </w:tcBorders>
            <w:noWrap w:val="0"/>
            <w:vAlign w:val="center"/>
          </w:tcPr>
          <w:p w14:paraId="124891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城管执法队</w:t>
            </w:r>
          </w:p>
        </w:tc>
        <w:tc>
          <w:tcPr>
            <w:tcW w:w="643" w:type="pct"/>
            <w:gridSpan w:val="2"/>
            <w:tcBorders>
              <w:top w:val="single" w:color="000000" w:sz="4" w:space="0"/>
              <w:left w:val="single" w:color="000000" w:sz="4" w:space="0"/>
              <w:bottom w:val="single" w:color="000000" w:sz="4" w:space="0"/>
              <w:right w:val="single" w:color="000000" w:sz="4" w:space="0"/>
            </w:tcBorders>
            <w:noWrap w:val="0"/>
            <w:vAlign w:val="center"/>
          </w:tcPr>
          <w:p w14:paraId="00E6E60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r>
      <w:tr w14:paraId="3DB92303">
        <w:tblPrEx>
          <w:tblCellMar>
            <w:top w:w="0" w:type="dxa"/>
            <w:left w:w="108" w:type="dxa"/>
            <w:bottom w:w="0" w:type="dxa"/>
            <w:right w:w="108" w:type="dxa"/>
          </w:tblCellMar>
        </w:tblPrEx>
        <w:trPr>
          <w:trHeight w:val="620" w:hRule="atLeast"/>
        </w:trPr>
        <w:tc>
          <w:tcPr>
            <w:tcW w:w="848" w:type="pct"/>
            <w:gridSpan w:val="3"/>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E91B0F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4"/>
                <w:szCs w:val="24"/>
                <w:u w:val="none"/>
              </w:rPr>
            </w:pPr>
          </w:p>
        </w:tc>
        <w:tc>
          <w:tcPr>
            <w:tcW w:w="706"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9E2ED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成员</w:t>
            </w: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14:paraId="5554A3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梁雅玲</w:t>
            </w:r>
          </w:p>
        </w:tc>
        <w:tc>
          <w:tcPr>
            <w:tcW w:w="1166" w:type="pct"/>
            <w:gridSpan w:val="2"/>
            <w:tcBorders>
              <w:top w:val="single" w:color="000000" w:sz="4" w:space="0"/>
              <w:left w:val="single" w:color="000000" w:sz="4" w:space="0"/>
              <w:bottom w:val="single" w:color="000000" w:sz="4" w:space="0"/>
              <w:right w:val="single" w:color="000000" w:sz="4" w:space="0"/>
            </w:tcBorders>
            <w:noWrap w:val="0"/>
            <w:vAlign w:val="center"/>
          </w:tcPr>
          <w:p w14:paraId="03AB65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w:t>
            </w:r>
          </w:p>
        </w:tc>
        <w:tc>
          <w:tcPr>
            <w:tcW w:w="857" w:type="pct"/>
            <w:gridSpan w:val="4"/>
            <w:tcBorders>
              <w:top w:val="single" w:color="000000" w:sz="4" w:space="0"/>
              <w:left w:val="single" w:color="000000" w:sz="4" w:space="0"/>
              <w:bottom w:val="single" w:color="000000" w:sz="4" w:space="0"/>
              <w:right w:val="single" w:color="000000" w:sz="4" w:space="0"/>
            </w:tcBorders>
            <w:noWrap w:val="0"/>
            <w:vAlign w:val="center"/>
          </w:tcPr>
          <w:p w14:paraId="58B483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城管执法队</w:t>
            </w:r>
          </w:p>
        </w:tc>
        <w:tc>
          <w:tcPr>
            <w:tcW w:w="643" w:type="pct"/>
            <w:gridSpan w:val="2"/>
            <w:tcBorders>
              <w:top w:val="single" w:color="000000" w:sz="4" w:space="0"/>
              <w:left w:val="single" w:color="000000" w:sz="4" w:space="0"/>
              <w:bottom w:val="single" w:color="000000" w:sz="4" w:space="0"/>
              <w:right w:val="single" w:color="000000" w:sz="4" w:space="0"/>
            </w:tcBorders>
            <w:noWrap w:val="0"/>
            <w:vAlign w:val="center"/>
          </w:tcPr>
          <w:p w14:paraId="3EB3392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r>
      <w:tr w14:paraId="27A2B0A0">
        <w:tblPrEx>
          <w:tblCellMar>
            <w:top w:w="0" w:type="dxa"/>
            <w:left w:w="108" w:type="dxa"/>
            <w:bottom w:w="0" w:type="dxa"/>
            <w:right w:w="108" w:type="dxa"/>
          </w:tblCellMar>
        </w:tblPrEx>
        <w:trPr>
          <w:trHeight w:val="760" w:hRule="atLeast"/>
        </w:trPr>
        <w:tc>
          <w:tcPr>
            <w:tcW w:w="848" w:type="pct"/>
            <w:gridSpan w:val="3"/>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22470E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4"/>
                <w:szCs w:val="24"/>
                <w:u w:val="none"/>
              </w:rPr>
            </w:pPr>
          </w:p>
        </w:tc>
        <w:tc>
          <w:tcPr>
            <w:tcW w:w="706"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84695D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777" w:type="pct"/>
            <w:gridSpan w:val="3"/>
            <w:tcBorders>
              <w:top w:val="single" w:color="000000" w:sz="4" w:space="0"/>
              <w:left w:val="single" w:color="000000" w:sz="4" w:space="0"/>
              <w:bottom w:val="single" w:color="000000" w:sz="4" w:space="0"/>
              <w:right w:val="single" w:color="000000" w:sz="4" w:space="0"/>
            </w:tcBorders>
            <w:noWrap w:val="0"/>
            <w:vAlign w:val="center"/>
          </w:tcPr>
          <w:p w14:paraId="015AAA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王琪</w:t>
            </w:r>
          </w:p>
        </w:tc>
        <w:tc>
          <w:tcPr>
            <w:tcW w:w="1166" w:type="pct"/>
            <w:gridSpan w:val="2"/>
            <w:tcBorders>
              <w:top w:val="single" w:color="000000" w:sz="4" w:space="0"/>
              <w:left w:val="single" w:color="000000" w:sz="4" w:space="0"/>
              <w:bottom w:val="single" w:color="000000" w:sz="4" w:space="0"/>
              <w:right w:val="single" w:color="000000" w:sz="4" w:space="0"/>
            </w:tcBorders>
            <w:noWrap w:val="0"/>
            <w:vAlign w:val="center"/>
          </w:tcPr>
          <w:p w14:paraId="74AFB5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857" w:type="pct"/>
            <w:gridSpan w:val="4"/>
            <w:tcBorders>
              <w:top w:val="single" w:color="000000" w:sz="4" w:space="0"/>
              <w:left w:val="single" w:color="000000" w:sz="4" w:space="0"/>
              <w:bottom w:val="single" w:color="000000" w:sz="4" w:space="0"/>
              <w:right w:val="single" w:color="000000" w:sz="4" w:space="0"/>
            </w:tcBorders>
            <w:noWrap w:val="0"/>
            <w:vAlign w:val="center"/>
          </w:tcPr>
          <w:p w14:paraId="601B6E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城管执法队</w:t>
            </w:r>
          </w:p>
        </w:tc>
        <w:tc>
          <w:tcPr>
            <w:tcW w:w="643" w:type="pct"/>
            <w:gridSpan w:val="2"/>
            <w:tcBorders>
              <w:top w:val="single" w:color="000000" w:sz="4" w:space="0"/>
              <w:left w:val="single" w:color="000000" w:sz="4" w:space="0"/>
              <w:bottom w:val="single" w:color="000000" w:sz="4" w:space="0"/>
              <w:right w:val="single" w:color="000000" w:sz="4" w:space="0"/>
            </w:tcBorders>
            <w:noWrap w:val="0"/>
            <w:vAlign w:val="center"/>
          </w:tcPr>
          <w:p w14:paraId="5430C24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r>
    </w:tbl>
    <w:p w14:paraId="27198FB4">
      <w:pPr>
        <w:pStyle w:val="2"/>
        <w:rPr>
          <w:rFonts w:hint="eastAsia" w:ascii="仿宋_GB2312" w:hAnsi="仿宋_GB2312" w:eastAsia="仿宋_GB2312" w:cs="仿宋_GB2312"/>
          <w:b/>
          <w:bCs/>
          <w:sz w:val="28"/>
          <w:szCs w:val="28"/>
          <w:lang w:val="en-US" w:eastAsia="zh-CN"/>
        </w:rPr>
      </w:pPr>
    </w:p>
    <w:p w14:paraId="6F4FC228">
      <w:pPr>
        <w:widowControl/>
        <w:numPr>
          <w:ilvl w:val="0"/>
          <w:numId w:val="0"/>
        </w:numPr>
        <w:spacing w:line="560" w:lineRule="exact"/>
        <w:ind w:right="-1056" w:rightChars="-330"/>
        <w:jc w:val="left"/>
        <w:rPr>
          <w:rFonts w:hint="eastAsia"/>
          <w:color w:val="auto"/>
          <w:highlight w:val="none"/>
        </w:rPr>
      </w:pPr>
      <w:r>
        <w:rPr>
          <w:rFonts w:hint="eastAsia" w:ascii="仿宋_GB2312" w:hAnsi="宋体" w:cs="宋体"/>
          <w:color w:val="auto"/>
          <w:kern w:val="0"/>
          <w:sz w:val="32"/>
          <w:szCs w:val="32"/>
          <w:highlight w:val="none"/>
          <w:lang w:eastAsia="zh-CN"/>
        </w:rPr>
        <w:t>（</w:t>
      </w:r>
      <w:r>
        <w:rPr>
          <w:rFonts w:hint="eastAsia" w:ascii="仿宋_GB2312" w:hAnsi="宋体" w:cs="宋体"/>
          <w:color w:val="auto"/>
          <w:kern w:val="0"/>
          <w:sz w:val="32"/>
          <w:szCs w:val="32"/>
          <w:highlight w:val="none"/>
          <w:lang w:val="en-US" w:eastAsia="zh-CN"/>
        </w:rPr>
        <w:t>3</w:t>
      </w:r>
      <w:r>
        <w:rPr>
          <w:rFonts w:hint="eastAsia" w:ascii="仿宋_GB2312" w:hAnsi="宋体"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部门评价项目绩效评价结果</w:t>
      </w:r>
    </w:p>
    <w:p w14:paraId="3CB58CEE">
      <w:pPr>
        <w:bidi w:val="0"/>
        <w:rPr>
          <w:rFonts w:hint="eastAsia"/>
          <w:lang w:val="en-US" w:eastAsia="zh-CN"/>
        </w:rPr>
      </w:pPr>
      <w:r>
        <w:rPr>
          <w:rFonts w:hint="eastAsia"/>
          <w:lang w:val="en-US" w:eastAsia="zh-CN"/>
        </w:rPr>
        <w:t>项目评价指标设置合理，立项程序较为规范，预算执行有效，绩效目标虽得到较好实现，但绩效管理水平仍有待进一步提高。</w:t>
      </w:r>
    </w:p>
    <w:p w14:paraId="1D97C545">
      <w:pPr>
        <w:pStyle w:val="2"/>
        <w:numPr>
          <w:ilvl w:val="0"/>
          <w:numId w:val="0"/>
        </w:numPr>
        <w:rPr>
          <w:rFonts w:hint="eastAsia"/>
        </w:rPr>
      </w:pPr>
    </w:p>
    <w:p w14:paraId="4E707D5E">
      <w:pPr>
        <w:ind w:firstLine="640"/>
        <w:rPr>
          <w:rFonts w:hint="eastAsia" w:ascii="黑体" w:hAnsi="黑体" w:eastAsia="黑体"/>
          <w:szCs w:val="32"/>
        </w:rPr>
      </w:pPr>
      <w:r>
        <w:rPr>
          <w:rFonts w:hint="eastAsia" w:ascii="黑体" w:hAnsi="黑体" w:eastAsia="黑体"/>
          <w:szCs w:val="32"/>
        </w:rPr>
        <w:t>第四部分  名词解释</w:t>
      </w:r>
    </w:p>
    <w:p w14:paraId="3B59E9BC">
      <w:pPr>
        <w:numPr>
          <w:ilvl w:val="0"/>
          <w:numId w:val="0"/>
        </w:numPr>
        <w:bidi w:val="0"/>
        <w:ind w:firstLine="643" w:firstLineChars="200"/>
        <w:rPr>
          <w:rFonts w:hint="eastAsia" w:ascii="仿宋_GB2312"/>
          <w:szCs w:val="32"/>
        </w:rPr>
      </w:pPr>
      <w:r>
        <w:rPr>
          <w:rFonts w:hint="eastAsia" w:ascii="仿宋_GB2312"/>
          <w:b/>
          <w:szCs w:val="32"/>
          <w:lang w:val="en-US" w:eastAsia="zh-CN"/>
        </w:rPr>
        <w:t>一、</w:t>
      </w:r>
      <w:r>
        <w:rPr>
          <w:rFonts w:hint="eastAsia" w:ascii="仿宋_GB2312"/>
          <w:b/>
          <w:szCs w:val="32"/>
        </w:rPr>
        <w:t>财政拨款收入：</w:t>
      </w:r>
      <w:r>
        <w:rPr>
          <w:rFonts w:hint="eastAsia" w:ascii="仿宋_GB2312"/>
          <w:szCs w:val="32"/>
        </w:rPr>
        <w:t>指单位从同级财政部门取得的财政预算资金。</w:t>
      </w:r>
    </w:p>
    <w:p w14:paraId="64E7D1F4">
      <w:pPr>
        <w:bidi w:val="0"/>
        <w:rPr>
          <w:rFonts w:hint="eastAsia" w:ascii="仿宋_GB2312"/>
          <w:szCs w:val="32"/>
        </w:rPr>
      </w:pPr>
      <w:r>
        <w:rPr>
          <w:rFonts w:hint="eastAsia" w:ascii="仿宋_GB2312"/>
          <w:b/>
          <w:szCs w:val="32"/>
          <w:lang w:val="en-US" w:eastAsia="zh-CN"/>
        </w:rPr>
        <w:t>二、</w:t>
      </w:r>
      <w:r>
        <w:rPr>
          <w:rFonts w:hint="eastAsia" w:ascii="仿宋_GB2312"/>
          <w:b/>
          <w:szCs w:val="32"/>
        </w:rPr>
        <w:t>事业收入：</w:t>
      </w:r>
      <w:r>
        <w:rPr>
          <w:rFonts w:hint="eastAsia" w:ascii="仿宋_GB2312"/>
          <w:szCs w:val="32"/>
        </w:rPr>
        <w:t>指事业单位开展专业业务活动及辅助活动取得的收入。</w:t>
      </w:r>
    </w:p>
    <w:p w14:paraId="5F17A953">
      <w:pPr>
        <w:bidi w:val="0"/>
        <w:rPr>
          <w:rFonts w:hint="eastAsia" w:ascii="仿宋_GB2312"/>
          <w:szCs w:val="32"/>
        </w:rPr>
      </w:pPr>
      <w:r>
        <w:rPr>
          <w:rFonts w:hint="eastAsia" w:ascii="仿宋_GB2312"/>
          <w:b/>
          <w:szCs w:val="32"/>
          <w:lang w:val="en-US" w:eastAsia="zh-CN"/>
        </w:rPr>
        <w:t>三、</w:t>
      </w:r>
      <w:r>
        <w:rPr>
          <w:rFonts w:hint="eastAsia" w:ascii="仿宋_GB2312"/>
          <w:b/>
          <w:szCs w:val="32"/>
        </w:rPr>
        <w:t>经营收入：</w:t>
      </w:r>
      <w:r>
        <w:rPr>
          <w:rFonts w:hint="eastAsia" w:ascii="仿宋_GB2312"/>
          <w:szCs w:val="32"/>
        </w:rPr>
        <w:t>指事业单位在专业业务活动及其辅助活动之外开展非独立核算经营活动取得的收入。</w:t>
      </w:r>
    </w:p>
    <w:p w14:paraId="4278B1FD">
      <w:pPr>
        <w:bidi w:val="0"/>
      </w:pPr>
      <w:r>
        <w:rPr>
          <w:rFonts w:hint="eastAsia" w:ascii="仿宋_GB2312"/>
          <w:b/>
          <w:szCs w:val="32"/>
          <w:lang w:val="en-US" w:eastAsia="zh-CN"/>
        </w:rPr>
        <w:t>四、、</w:t>
      </w:r>
      <w:r>
        <w:rPr>
          <w:rFonts w:hint="eastAsia" w:ascii="仿宋_GB2312"/>
          <w:b/>
          <w:szCs w:val="32"/>
        </w:rPr>
        <w:t>其他收入：</w:t>
      </w:r>
      <w:r>
        <w:rPr>
          <w:rFonts w:hint="eastAsia" w:ascii="仿宋_GB2312"/>
          <w:szCs w:val="32"/>
        </w:rPr>
        <w:t>指单位取得的除上述收入以外的各项收</w:t>
      </w:r>
      <w:r>
        <w:rPr>
          <w:rFonts w:hint="eastAsia"/>
        </w:rPr>
        <w:t>入。主要是事业单位固定资产出租收入、存款利息收入等。</w:t>
      </w:r>
    </w:p>
    <w:p w14:paraId="3676F735">
      <w:pPr>
        <w:spacing w:line="580" w:lineRule="exact"/>
        <w:ind w:firstLineChars="0"/>
        <w:rPr>
          <w:rFonts w:hint="eastAsia" w:ascii="仿宋_GB2312"/>
          <w:szCs w:val="32"/>
        </w:rPr>
      </w:pPr>
      <w:r>
        <w:rPr>
          <w:rFonts w:ascii="仿宋_GB2312"/>
          <w:szCs w:val="32"/>
        </w:rPr>
        <w:t xml:space="preserve">   </w:t>
      </w:r>
      <w:r>
        <w:rPr>
          <w:rFonts w:hint="eastAsia" w:ascii="仿宋_GB2312"/>
          <w:b/>
          <w:bCs/>
          <w:szCs w:val="32"/>
        </w:rPr>
        <w:t>五、使用非财政拨款结余：</w:t>
      </w:r>
      <w:r>
        <w:rPr>
          <w:rFonts w:hint="eastAsia" w:ascii="仿宋_GB2312"/>
          <w:szCs w:val="32"/>
        </w:rPr>
        <w:t>指事业单位使用以前年度积累的非财政拨款结余弥补当年收支差额的金额。</w:t>
      </w:r>
    </w:p>
    <w:p w14:paraId="1FB00C40">
      <w:pPr>
        <w:bidi w:val="0"/>
        <w:rPr>
          <w:rFonts w:ascii="仿宋_GB2312"/>
          <w:szCs w:val="32"/>
        </w:rPr>
      </w:pPr>
      <w:r>
        <w:rPr>
          <w:rFonts w:hint="eastAsia" w:ascii="仿宋_GB2312"/>
          <w:b/>
          <w:szCs w:val="32"/>
          <w:lang w:val="en-US" w:eastAsia="zh-CN"/>
        </w:rPr>
        <w:t>六、</w:t>
      </w:r>
      <w:r>
        <w:rPr>
          <w:rFonts w:hint="eastAsia" w:ascii="仿宋_GB2312"/>
          <w:b/>
          <w:szCs w:val="32"/>
        </w:rPr>
        <w:t>年初结转和结余：</w:t>
      </w:r>
      <w:r>
        <w:rPr>
          <w:rFonts w:hint="eastAsia" w:ascii="仿宋_GB2312"/>
          <w:szCs w:val="32"/>
        </w:rPr>
        <w:t>指单位以前年度尚未完成、结转到本年仍按原规定用途继续使用的资金，或项目已完成等产生的结余资金。</w:t>
      </w:r>
    </w:p>
    <w:p w14:paraId="1011F8B0">
      <w:pPr>
        <w:bidi w:val="0"/>
        <w:rPr>
          <w:rFonts w:ascii="仿宋_GB2312"/>
          <w:szCs w:val="32"/>
        </w:rPr>
      </w:pPr>
      <w:r>
        <w:rPr>
          <w:rFonts w:hint="eastAsia" w:ascii="仿宋_GB2312"/>
          <w:b/>
          <w:bCs/>
          <w:szCs w:val="32"/>
          <w:lang w:val="en-US" w:eastAsia="zh-CN"/>
        </w:rPr>
        <w:t>七、</w:t>
      </w:r>
      <w:r>
        <w:rPr>
          <w:rFonts w:hint="eastAsia" w:ascii="仿宋_GB2312"/>
          <w:b/>
          <w:bCs/>
          <w:szCs w:val="32"/>
        </w:rPr>
        <w:t>结余分配：</w:t>
      </w:r>
      <w:r>
        <w:rPr>
          <w:rFonts w:hint="eastAsia" w:ascii="仿宋_GB2312"/>
          <w:szCs w:val="32"/>
        </w:rPr>
        <w:t>指事业单位按照会计制度规定缴纳的所得税、提取的专用结余以及转入非财政拨款结余的金额等。</w:t>
      </w:r>
    </w:p>
    <w:p w14:paraId="0CCA2E26">
      <w:pPr>
        <w:bidi w:val="0"/>
        <w:rPr>
          <w:rFonts w:hint="eastAsia"/>
        </w:rPr>
      </w:pPr>
      <w:r>
        <w:rPr>
          <w:rFonts w:hint="eastAsia"/>
          <w:b/>
          <w:bCs/>
          <w:lang w:val="en-US" w:eastAsia="zh-CN"/>
        </w:rPr>
        <w:t>八、</w:t>
      </w:r>
      <w:r>
        <w:rPr>
          <w:rFonts w:hint="eastAsia"/>
          <w:b/>
          <w:bCs/>
        </w:rPr>
        <w:t>年末结转和结余</w:t>
      </w:r>
      <w:r>
        <w:rPr>
          <w:rFonts w:hint="eastAsia"/>
        </w:rPr>
        <w:t>：指单位按有关规定结转到下年或以后年度继续使用的资金，或项目已完成等产生的结余资金。</w:t>
      </w:r>
    </w:p>
    <w:p w14:paraId="7379DA57">
      <w:pPr>
        <w:numPr>
          <w:ilvl w:val="0"/>
          <w:numId w:val="0"/>
        </w:numPr>
        <w:spacing w:line="580" w:lineRule="exact"/>
        <w:ind w:firstLine="643" w:firstLineChars="200"/>
        <w:rPr>
          <w:rFonts w:ascii="仿宋_GB2312"/>
          <w:b/>
          <w:szCs w:val="32"/>
        </w:rPr>
      </w:pPr>
      <w:r>
        <w:rPr>
          <w:rFonts w:hint="eastAsia" w:ascii="仿宋_GB2312"/>
          <w:b/>
          <w:szCs w:val="32"/>
          <w:lang w:val="en-US" w:eastAsia="zh-CN"/>
        </w:rPr>
        <w:t>九、</w:t>
      </w:r>
      <w:r>
        <w:rPr>
          <w:rFonts w:hint="eastAsia" w:ascii="仿宋_GB2312"/>
          <w:b/>
          <w:szCs w:val="32"/>
        </w:rPr>
        <w:t>基本支出：</w:t>
      </w:r>
      <w:r>
        <w:rPr>
          <w:rFonts w:hint="eastAsia" w:ascii="仿宋_GB2312"/>
          <w:szCs w:val="32"/>
        </w:rPr>
        <w:t>指为保障机构正常运转、完成日常工作任务而发生的人员支出和公用支出。</w:t>
      </w:r>
    </w:p>
    <w:p w14:paraId="40733C03">
      <w:pPr>
        <w:autoSpaceDE w:val="0"/>
        <w:autoSpaceDN w:val="0"/>
        <w:adjustRightInd w:val="0"/>
        <w:ind w:firstLine="630" w:firstLineChars="196"/>
        <w:rPr>
          <w:rFonts w:ascii="仿宋_GB2312"/>
          <w:szCs w:val="32"/>
        </w:rPr>
      </w:pPr>
      <w:r>
        <w:rPr>
          <w:rFonts w:hint="eastAsia" w:ascii="仿宋_GB2312"/>
          <w:b/>
          <w:szCs w:val="32"/>
          <w:lang w:val="en-US" w:eastAsia="zh-CN"/>
        </w:rPr>
        <w:t>十、</w:t>
      </w:r>
      <w:r>
        <w:rPr>
          <w:rFonts w:hint="eastAsia" w:ascii="仿宋_GB2312"/>
          <w:b/>
          <w:szCs w:val="32"/>
        </w:rPr>
        <w:t>项目支出：</w:t>
      </w:r>
      <w:r>
        <w:rPr>
          <w:rFonts w:hint="eastAsia" w:ascii="仿宋_GB2312"/>
          <w:szCs w:val="32"/>
        </w:rPr>
        <w:t>指在基本支出之外为完成特定行政任务和事业发展目标所发生的支出。</w:t>
      </w:r>
    </w:p>
    <w:p w14:paraId="290E33D4">
      <w:pPr>
        <w:autoSpaceDE w:val="0"/>
        <w:autoSpaceDN w:val="0"/>
        <w:adjustRightInd w:val="0"/>
        <w:ind w:firstLine="630" w:firstLineChars="196"/>
        <w:rPr>
          <w:rFonts w:ascii="仿宋_GB2312"/>
          <w:szCs w:val="32"/>
        </w:rPr>
      </w:pPr>
      <w:r>
        <w:rPr>
          <w:rFonts w:hint="eastAsia" w:ascii="仿宋_GB2312"/>
          <w:b/>
          <w:szCs w:val="32"/>
          <w:lang w:val="en-US" w:eastAsia="zh-CN"/>
        </w:rPr>
        <w:t>十一</w:t>
      </w:r>
      <w:r>
        <w:rPr>
          <w:rFonts w:hint="eastAsia" w:ascii="仿宋_GB2312"/>
          <w:b/>
          <w:szCs w:val="32"/>
        </w:rPr>
        <w:t>、“三公”经费：</w:t>
      </w:r>
      <w:r>
        <w:rPr>
          <w:rFonts w:hint="eastAsia" w:ascii="仿宋_GB2312"/>
          <w:szCs w:val="32"/>
        </w:rPr>
        <w:t>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14:paraId="3EA3F591">
      <w:pPr>
        <w:autoSpaceDE w:val="0"/>
        <w:autoSpaceDN w:val="0"/>
        <w:adjustRightInd w:val="0"/>
        <w:ind w:firstLine="643"/>
        <w:rPr>
          <w:rFonts w:ascii="仿宋_GB2312"/>
          <w:szCs w:val="32"/>
        </w:rPr>
      </w:pPr>
      <w:r>
        <w:rPr>
          <w:rFonts w:hint="eastAsia" w:ascii="仿宋_GB2312"/>
          <w:b/>
          <w:szCs w:val="32"/>
          <w:lang w:val="en-US" w:eastAsia="zh-CN"/>
        </w:rPr>
        <w:t>十二</w:t>
      </w:r>
      <w:r>
        <w:rPr>
          <w:rFonts w:hint="eastAsia" w:ascii="仿宋_GB2312"/>
          <w:b/>
          <w:szCs w:val="32"/>
        </w:rPr>
        <w:t>、机关运行经费：</w:t>
      </w:r>
      <w:r>
        <w:rPr>
          <w:rFonts w:hint="eastAsia" w:ascii="仿宋_GB2312"/>
          <w:szCs w:val="32"/>
        </w:rPr>
        <w:t>指行政单位和参照公务员法管理的事业单位使用一般公共预算安排的基本支出中的日常公用经费支出。</w:t>
      </w:r>
    </w:p>
    <w:p w14:paraId="279839EB">
      <w:pPr>
        <w:autoSpaceDE w:val="0"/>
        <w:autoSpaceDN w:val="0"/>
        <w:adjustRightInd w:val="0"/>
        <w:ind w:firstLine="640"/>
        <w:rPr>
          <w:rFonts w:hint="eastAsia" w:ascii="仿宋_GB2312"/>
          <w:szCs w:val="32"/>
        </w:rPr>
      </w:pPr>
    </w:p>
    <w:p w14:paraId="396972A6">
      <w:pPr>
        <w:spacing w:line="580" w:lineRule="exact"/>
        <w:ind w:firstLine="640"/>
        <w:rPr>
          <w:rFonts w:hint="eastAsia" w:ascii="仿宋_GB2312"/>
          <w:szCs w:val="32"/>
        </w:rPr>
      </w:pPr>
    </w:p>
    <w:p w14:paraId="3FC7C74F">
      <w:pPr>
        <w:ind w:firstLine="0" w:firstLineChars="0"/>
      </w:pPr>
    </w:p>
    <w:p w14:paraId="10950539">
      <w:pPr>
        <w:pStyle w:val="2"/>
        <w:rPr>
          <w:rFonts w:hint="eastAsia"/>
        </w:rPr>
      </w:pPr>
    </w:p>
    <w:p w14:paraId="57537E4B">
      <w:pPr>
        <w:pStyle w:val="2"/>
        <w:numPr>
          <w:ilvl w:val="0"/>
          <w:numId w:val="0"/>
        </w:numPr>
        <w:rPr>
          <w:rFonts w:hint="eastAsia"/>
        </w:rPr>
      </w:pPr>
    </w:p>
    <w:p w14:paraId="0AABB69B">
      <w:pPr>
        <w:pStyle w:val="2"/>
        <w:rPr>
          <w:rFonts w:hint="eastAsia" w:ascii="仿宋_GB2312" w:hAnsi="楷体"/>
          <w:szCs w:val="32"/>
        </w:rPr>
      </w:pPr>
    </w:p>
    <w:p w14:paraId="1DC3D4FC">
      <w:pPr>
        <w:pStyle w:val="2"/>
        <w:rPr>
          <w:rFonts w:hint="eastAsia" w:ascii="仿宋_GB2312" w:hAnsi="楷体"/>
          <w:szCs w:val="32"/>
        </w:rPr>
      </w:pPr>
    </w:p>
    <w:p w14:paraId="1B4378DA">
      <w:pPr>
        <w:pStyle w:val="2"/>
        <w:rPr>
          <w:rFonts w:hint="eastAsia" w:ascii="仿宋_GB2312" w:hAnsi="楷体"/>
          <w:szCs w:val="32"/>
        </w:rPr>
      </w:pPr>
    </w:p>
    <w:p w14:paraId="5E4F1E57">
      <w:pPr>
        <w:pStyle w:val="2"/>
        <w:rPr>
          <w:rFonts w:hint="eastAsia" w:ascii="仿宋_GB2312" w:hAnsi="楷体"/>
          <w:szCs w:val="32"/>
        </w:rPr>
      </w:pPr>
    </w:p>
    <w:p w14:paraId="338BC8B9">
      <w:pPr>
        <w:pStyle w:val="2"/>
        <w:rPr>
          <w:rFonts w:hint="eastAsia" w:ascii="仿宋_GB2312" w:hAnsi="楷体"/>
          <w:szCs w:val="32"/>
        </w:rPr>
      </w:pPr>
    </w:p>
    <w:p w14:paraId="309F140B">
      <w:pPr>
        <w:pStyle w:val="2"/>
        <w:rPr>
          <w:rFonts w:hint="eastAsia" w:ascii="仿宋_GB2312" w:hAnsi="楷体"/>
          <w:szCs w:val="32"/>
        </w:rPr>
      </w:pPr>
    </w:p>
    <w:p w14:paraId="14370E3A">
      <w:pPr>
        <w:pStyle w:val="2"/>
        <w:rPr>
          <w:rFonts w:hint="eastAsia" w:ascii="仿宋_GB2312" w:hAnsi="楷体"/>
          <w:szCs w:val="32"/>
        </w:rPr>
      </w:pPr>
    </w:p>
    <w:p w14:paraId="2B2C53A3">
      <w:pPr>
        <w:ind w:firstLine="640"/>
        <w:rPr>
          <w:rFonts w:hint="eastAsia" w:ascii="黑体" w:hAnsi="黑体" w:eastAsia="黑体"/>
          <w:szCs w:val="32"/>
        </w:rPr>
      </w:pPr>
    </w:p>
    <w:p w14:paraId="4BF9CAA5"/>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4274C"/>
    <w:multiLevelType w:val="singleLevel"/>
    <w:tmpl w:val="A954274C"/>
    <w:lvl w:ilvl="0" w:tentative="0">
      <w:start w:val="4"/>
      <w:numFmt w:val="chineseCounting"/>
      <w:suff w:val="nothing"/>
      <w:lvlText w:val="（%1）"/>
      <w:lvlJc w:val="left"/>
      <w:rPr>
        <w:rFonts w:hint="eastAsia"/>
      </w:rPr>
    </w:lvl>
  </w:abstractNum>
  <w:abstractNum w:abstractNumId="1">
    <w:nsid w:val="B5E13792"/>
    <w:multiLevelType w:val="singleLevel"/>
    <w:tmpl w:val="B5E13792"/>
    <w:lvl w:ilvl="0" w:tentative="0">
      <w:start w:val="1"/>
      <w:numFmt w:val="chineseCounting"/>
      <w:suff w:val="nothing"/>
      <w:lvlText w:val="%1、"/>
      <w:lvlJc w:val="left"/>
      <w:rPr>
        <w:rFonts w:hint="eastAsia"/>
      </w:rPr>
    </w:lvl>
  </w:abstractNum>
  <w:abstractNum w:abstractNumId="2">
    <w:nsid w:val="1DE3EC74"/>
    <w:multiLevelType w:val="singleLevel"/>
    <w:tmpl w:val="1DE3EC74"/>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NzZlNmY5NmI4NGU3ZDhkMTZmNDJiYTQ2ZDYwYzQifQ=="/>
  </w:docVars>
  <w:rsids>
    <w:rsidRoot w:val="2974188B"/>
    <w:rsid w:val="013C06BC"/>
    <w:rsid w:val="0240504A"/>
    <w:rsid w:val="03CC1F47"/>
    <w:rsid w:val="041B6CAE"/>
    <w:rsid w:val="04CE51B3"/>
    <w:rsid w:val="073445CA"/>
    <w:rsid w:val="07531976"/>
    <w:rsid w:val="0BC823CD"/>
    <w:rsid w:val="0CDA20F2"/>
    <w:rsid w:val="10F42D61"/>
    <w:rsid w:val="114B06B0"/>
    <w:rsid w:val="11854B30"/>
    <w:rsid w:val="11BC6ADB"/>
    <w:rsid w:val="153E45AB"/>
    <w:rsid w:val="1B445B44"/>
    <w:rsid w:val="211202D6"/>
    <w:rsid w:val="21535882"/>
    <w:rsid w:val="23733FB9"/>
    <w:rsid w:val="2485436C"/>
    <w:rsid w:val="264D6C20"/>
    <w:rsid w:val="2974188B"/>
    <w:rsid w:val="2B9E76FA"/>
    <w:rsid w:val="2C222567"/>
    <w:rsid w:val="2C6E3570"/>
    <w:rsid w:val="2C766D2E"/>
    <w:rsid w:val="2FDB4A38"/>
    <w:rsid w:val="31B263B2"/>
    <w:rsid w:val="31C80828"/>
    <w:rsid w:val="33BE3EC8"/>
    <w:rsid w:val="36CB43A2"/>
    <w:rsid w:val="38091303"/>
    <w:rsid w:val="3894435E"/>
    <w:rsid w:val="3AB8257B"/>
    <w:rsid w:val="3DF17B5D"/>
    <w:rsid w:val="3E491747"/>
    <w:rsid w:val="3EBE3EE3"/>
    <w:rsid w:val="3FEB51AC"/>
    <w:rsid w:val="40AD5D94"/>
    <w:rsid w:val="42D6036C"/>
    <w:rsid w:val="442E1B0B"/>
    <w:rsid w:val="47C87B80"/>
    <w:rsid w:val="4A081370"/>
    <w:rsid w:val="4A5753D1"/>
    <w:rsid w:val="4AA35A82"/>
    <w:rsid w:val="4B1544A3"/>
    <w:rsid w:val="4C3752D5"/>
    <w:rsid w:val="50C05441"/>
    <w:rsid w:val="521204A8"/>
    <w:rsid w:val="560F549D"/>
    <w:rsid w:val="593C5B2C"/>
    <w:rsid w:val="59EB681D"/>
    <w:rsid w:val="5A367EC3"/>
    <w:rsid w:val="5B681C60"/>
    <w:rsid w:val="5BF771C4"/>
    <w:rsid w:val="5EB059D7"/>
    <w:rsid w:val="5F100333"/>
    <w:rsid w:val="5FD924D3"/>
    <w:rsid w:val="61D902BA"/>
    <w:rsid w:val="634454CF"/>
    <w:rsid w:val="63D27965"/>
    <w:rsid w:val="63F51CAB"/>
    <w:rsid w:val="64525246"/>
    <w:rsid w:val="65FB483A"/>
    <w:rsid w:val="6A0B4DA2"/>
    <w:rsid w:val="6BA50055"/>
    <w:rsid w:val="6CD51B75"/>
    <w:rsid w:val="6D3E606B"/>
    <w:rsid w:val="700C2E81"/>
    <w:rsid w:val="72741D46"/>
    <w:rsid w:val="736F3422"/>
    <w:rsid w:val="7A7E3F4B"/>
    <w:rsid w:val="7E6F48FF"/>
    <w:rsid w:val="7EFBE8BF"/>
    <w:rsid w:val="7F450376"/>
    <w:rsid w:val="FCD79449"/>
    <w:rsid w:val="FFF77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spacing w:beforeLines="0" w:afterLines="0"/>
    </w:pPr>
    <w:rPr>
      <w:rFonts w:hint="eastAsia" w:ascii="宋体" w:hAnsi="宋体" w:eastAsia="宋体" w:cs="Times New Roman"/>
      <w:color w:val="000000"/>
      <w:sz w:val="24"/>
      <w:szCs w:val="22"/>
      <w:lang w:val="en-US" w:eastAsia="zh-CN" w:bidi="ar-SA"/>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tabs>
        <w:tab w:val="center" w:pos="4153"/>
        <w:tab w:val="right" w:pos="8306"/>
      </w:tabs>
      <w:snapToGrid w:val="0"/>
      <w:spacing w:line="240" w:lineRule="atLeast"/>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4677</Words>
  <Characters>5235</Characters>
  <Lines>0</Lines>
  <Paragraphs>0</Paragraphs>
  <TotalTime>17</TotalTime>
  <ScaleCrop>false</ScaleCrop>
  <LinksUpToDate>false</LinksUpToDate>
  <CharactersWithSpaces>5331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2022-10-10T08:59:00Z</dcterms:created>
  <dc:creator>优雅smile</dc:creator>
  <cp:lastModifiedBy>user</cp:lastModifiedBy>
  <dcterms:modified xsi:type="dcterms:W3CDTF">2025-10-15T15:27:48Z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D9CF5AC5FA75C17AF44CEF68F7A7921B_43</vt:lpwstr>
  </property>
</Properties>
</file>