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left"/>
        <w:rPr>
          <w:rFonts w:ascii="黑体" w:hAnsi="宋体" w:eastAsia="黑体" w:cs="黑体"/>
          <w:color w:val="auto"/>
          <w:kern w:val="0"/>
          <w:sz w:val="32"/>
          <w:szCs w:val="32"/>
          <w:highlight w:val="none"/>
        </w:rPr>
      </w:pPr>
    </w:p>
    <w:p>
      <w:pPr>
        <w:widowControl/>
        <w:spacing w:line="560" w:lineRule="exact"/>
        <w:jc w:val="left"/>
        <w:rPr>
          <w:rFonts w:ascii="楷体_GB2312" w:hAnsi="楷体_GB2312" w:eastAsia="楷体_GB2312" w:cs="楷体_GB2312"/>
          <w:color w:val="auto"/>
          <w:kern w:val="0"/>
          <w:sz w:val="31"/>
          <w:szCs w:val="31"/>
          <w:highlight w:val="none"/>
        </w:rPr>
      </w:pP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lang w:eastAsia="zh-CN"/>
        </w:rPr>
        <w:t>阳泉市财政局</w:t>
      </w:r>
    </w:p>
    <w:p>
      <w:pPr>
        <w:widowControl/>
        <w:spacing w:line="560" w:lineRule="exact"/>
        <w:jc w:val="center"/>
        <w:rPr>
          <w:rFonts w:hint="eastAsia" w:ascii="方正小标宋简体" w:hAnsi="方正小标宋简体" w:eastAsia="方正小标宋简体" w:cs="方正小标宋简体"/>
          <w:color w:val="auto"/>
          <w:kern w:val="0"/>
          <w:sz w:val="44"/>
          <w:szCs w:val="44"/>
          <w:highlight w:val="none"/>
          <w:lang w:eastAsia="zh-CN"/>
        </w:rPr>
      </w:pPr>
      <w:r>
        <w:rPr>
          <w:rFonts w:hint="eastAsia" w:ascii="方正小标宋简体" w:hAnsi="方正小标宋简体" w:eastAsia="方正小标宋简体" w:cs="方正小标宋简体"/>
          <w:color w:val="auto"/>
          <w:kern w:val="0"/>
          <w:sz w:val="44"/>
          <w:szCs w:val="44"/>
          <w:highlight w:val="none"/>
        </w:rPr>
        <w:t>2020年度</w:t>
      </w:r>
      <w:r>
        <w:rPr>
          <w:rFonts w:hint="eastAsia" w:ascii="方正小标宋简体" w:hAnsi="方正小标宋简体" w:eastAsia="方正小标宋简体" w:cs="方正小标宋简体"/>
          <w:color w:val="auto"/>
          <w:kern w:val="0"/>
          <w:sz w:val="44"/>
          <w:szCs w:val="44"/>
          <w:highlight w:val="none"/>
          <w:lang w:eastAsia="zh-CN"/>
        </w:rPr>
        <w:t>地方政府专项债券服务费</w:t>
      </w:r>
    </w:p>
    <w:p>
      <w:pPr>
        <w:widowControl/>
        <w:spacing w:line="560" w:lineRule="exact"/>
        <w:jc w:val="center"/>
        <w:rPr>
          <w:rFonts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widowControl/>
        <w:spacing w:line="560" w:lineRule="exact"/>
        <w:jc w:val="center"/>
        <w:rPr>
          <w:color w:val="auto"/>
          <w:sz w:val="44"/>
          <w:szCs w:val="44"/>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jc w:val="left"/>
        <w:rPr>
          <w:rFonts w:ascii="方正小标宋简体" w:hAnsi="方正小标宋简体" w:eastAsia="方正小标宋简体" w:cs="方正小标宋简体"/>
          <w:color w:val="auto"/>
          <w:kern w:val="0"/>
          <w:sz w:val="31"/>
          <w:szCs w:val="31"/>
          <w:highlight w:val="none"/>
        </w:rPr>
      </w:pPr>
    </w:p>
    <w:p>
      <w:pPr>
        <w:widowControl/>
        <w:spacing w:line="560" w:lineRule="exact"/>
        <w:ind w:firstLine="1600" w:firstLineChars="500"/>
        <w:jc w:val="left"/>
        <w:rPr>
          <w:rFonts w:hint="eastAsia" w:eastAsia="方正小标宋简体"/>
          <w:color w:val="auto"/>
          <w:sz w:val="32"/>
          <w:szCs w:val="32"/>
          <w:highlight w:val="none"/>
          <w:lang w:eastAsia="zh-CN"/>
        </w:rPr>
      </w:pPr>
      <w:r>
        <w:rPr>
          <w:rFonts w:hint="eastAsia" w:ascii="方正小标宋简体" w:hAnsi="方正小标宋简体" w:eastAsia="方正小标宋简体" w:cs="方正小标宋简体"/>
          <w:color w:val="auto"/>
          <w:kern w:val="0"/>
          <w:sz w:val="32"/>
          <w:szCs w:val="32"/>
          <w:highlight w:val="none"/>
        </w:rPr>
        <w:t>实施单位：阳泉市</w:t>
      </w:r>
      <w:r>
        <w:rPr>
          <w:rFonts w:hint="eastAsia" w:ascii="方正小标宋简体" w:hAnsi="方正小标宋简体" w:eastAsia="方正小标宋简体" w:cs="方正小标宋简体"/>
          <w:color w:val="auto"/>
          <w:kern w:val="0"/>
          <w:sz w:val="32"/>
          <w:szCs w:val="32"/>
          <w:highlight w:val="none"/>
          <w:lang w:val="en-US" w:eastAsia="zh-CN"/>
        </w:rPr>
        <w:t>财政局</w:t>
      </w:r>
    </w:p>
    <w:p>
      <w:pPr>
        <w:widowControl/>
        <w:spacing w:line="560" w:lineRule="exact"/>
        <w:ind w:firstLine="1600" w:firstLineChars="500"/>
        <w:jc w:val="left"/>
        <w:rPr>
          <w:color w:val="auto"/>
          <w:sz w:val="32"/>
          <w:szCs w:val="32"/>
          <w:highlight w:val="none"/>
        </w:rPr>
      </w:pPr>
      <w:r>
        <w:rPr>
          <w:rFonts w:hint="eastAsia" w:ascii="方正小标宋简体" w:hAnsi="方正小标宋简体" w:eastAsia="方正小标宋简体" w:cs="方正小标宋简体"/>
          <w:color w:val="auto"/>
          <w:kern w:val="0"/>
          <w:sz w:val="32"/>
          <w:szCs w:val="32"/>
          <w:highlight w:val="none"/>
        </w:rPr>
        <w:t>委托单位：阳泉市财政局</w:t>
      </w:r>
    </w:p>
    <w:p>
      <w:pPr>
        <w:keepNext w:val="0"/>
        <w:keepLines w:val="0"/>
        <w:pageBreakBefore w:val="0"/>
        <w:widowControl/>
        <w:kinsoku/>
        <w:wordWrap/>
        <w:overflowPunct/>
        <w:topLinePunct w:val="0"/>
        <w:autoSpaceDE/>
        <w:autoSpaceDN/>
        <w:bidi w:val="0"/>
        <w:adjustRightInd w:val="0"/>
        <w:snapToGrid w:val="0"/>
        <w:spacing w:line="560" w:lineRule="exact"/>
        <w:ind w:firstLine="1600" w:firstLineChars="500"/>
        <w:jc w:val="left"/>
        <w:textAlignment w:val="auto"/>
        <w:rPr>
          <w:rFonts w:ascii="黑体" w:hAnsi="宋体" w:eastAsia="黑体" w:cs="黑体"/>
          <w:color w:val="auto"/>
          <w:kern w:val="0"/>
          <w:sz w:val="32"/>
          <w:szCs w:val="32"/>
          <w:highlight w:val="none"/>
        </w:rPr>
      </w:pPr>
      <w:r>
        <w:rPr>
          <w:rFonts w:hint="eastAsia" w:ascii="方正小标宋简体" w:hAnsi="方正小标宋简体" w:eastAsia="方正小标宋简体" w:cs="方正小标宋简体"/>
          <w:color w:val="auto"/>
          <w:kern w:val="0"/>
          <w:sz w:val="32"/>
          <w:szCs w:val="32"/>
          <w:highlight w:val="none"/>
        </w:rPr>
        <w:t>评价机构：山西汇</w:t>
      </w:r>
      <w:r>
        <w:rPr>
          <w:rFonts w:hint="eastAsia" w:ascii="方正小标宋简体" w:hAnsi="方正小标宋简体" w:eastAsia="方正小标宋简体" w:cs="方正小标宋简体"/>
          <w:color w:val="auto"/>
          <w:kern w:val="0"/>
          <w:sz w:val="32"/>
          <w:szCs w:val="32"/>
          <w:highlight w:val="none"/>
          <w:lang w:val="en-US" w:eastAsia="zh-CN"/>
        </w:rPr>
        <w:t>华</w:t>
      </w:r>
      <w:r>
        <w:rPr>
          <w:rFonts w:hint="eastAsia" w:ascii="方正小标宋简体" w:hAnsi="方正小标宋简体" w:eastAsia="方正小标宋简体" w:cs="方正小标宋简体"/>
          <w:color w:val="auto"/>
          <w:kern w:val="0"/>
          <w:sz w:val="32"/>
          <w:szCs w:val="32"/>
          <w:highlight w:val="none"/>
        </w:rPr>
        <w:t>资产评估有限公司</w:t>
      </w:r>
      <w:r>
        <w:rPr>
          <w:rFonts w:hint="eastAsia" w:ascii="仿宋_GB2312" w:hAnsi="宋体" w:eastAsia="仿宋_GB2312" w:cs="仿宋_GB2312"/>
          <w:color w:val="auto"/>
          <w:kern w:val="0"/>
          <w:sz w:val="32"/>
          <w:szCs w:val="32"/>
          <w:highlight w:val="none"/>
        </w:rPr>
        <w:t xml:space="preserve"> </w:t>
      </w:r>
    </w:p>
    <w:p>
      <w:pPr>
        <w:widowControl/>
        <w:spacing w:line="560" w:lineRule="exact"/>
        <w:jc w:val="center"/>
        <w:rPr>
          <w:rFonts w:ascii="黑体" w:hAnsi="宋体" w:eastAsia="黑体" w:cs="黑体"/>
          <w:color w:val="auto"/>
          <w:kern w:val="0"/>
          <w:sz w:val="32"/>
          <w:szCs w:val="32"/>
          <w:highlight w:val="none"/>
        </w:rPr>
      </w:pPr>
    </w:p>
    <w:p>
      <w:pPr>
        <w:widowControl/>
        <w:spacing w:line="560" w:lineRule="exact"/>
        <w:jc w:val="center"/>
        <w:rPr>
          <w:color w:val="auto"/>
          <w:sz w:val="32"/>
          <w:szCs w:val="32"/>
          <w:highlight w:val="none"/>
        </w:rPr>
      </w:pPr>
      <w:r>
        <w:rPr>
          <w:rFonts w:hint="eastAsia" w:ascii="黑体" w:hAnsi="宋体" w:eastAsia="黑体" w:cs="黑体"/>
          <w:color w:val="auto"/>
          <w:kern w:val="0"/>
          <w:sz w:val="32"/>
          <w:szCs w:val="32"/>
          <w:highlight w:val="none"/>
          <w:lang w:val="en-US" w:eastAsia="zh-CN"/>
        </w:rPr>
        <w:t>2021年9月10日</w:t>
      </w:r>
    </w:p>
    <w:p>
      <w:pPr>
        <w:widowControl/>
        <w:spacing w:line="560" w:lineRule="exact"/>
        <w:jc w:val="center"/>
        <w:rPr>
          <w:rFonts w:ascii="仿宋_GB2312" w:hAnsi="宋体" w:eastAsia="仿宋_GB2312" w:cs="仿宋_GB2312"/>
          <w:color w:val="auto"/>
          <w:kern w:val="0"/>
          <w:sz w:val="31"/>
          <w:szCs w:val="31"/>
          <w:highlight w:val="none"/>
        </w:rPr>
        <w:sectPr>
          <w:headerReference r:id="rId3" w:type="default"/>
          <w:footerReference r:id="rId4" w:type="default"/>
          <w:pgSz w:w="11906" w:h="16838"/>
          <w:pgMar w:top="2098" w:right="1531" w:bottom="1984" w:left="1531" w:header="851" w:footer="992" w:gutter="0"/>
          <w:pgNumType w:fmt="numberInDash" w:start="1"/>
          <w:cols w:space="0" w:num="1"/>
          <w:rtlGutter w:val="0"/>
          <w:docGrid w:type="lines" w:linePitch="312" w:charSpace="0"/>
        </w:sect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rPr>
      </w:pP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auto"/>
          <w:kern w:val="0"/>
          <w:sz w:val="44"/>
          <w:szCs w:val="44"/>
          <w:highlight w:val="none"/>
          <w:lang w:val="en-US" w:eastAsia="zh-CN"/>
        </w:rPr>
      </w:pPr>
      <w:r>
        <w:rPr>
          <w:rFonts w:hint="eastAsia" w:ascii="方正小标宋简体" w:hAnsi="方正小标宋简体" w:eastAsia="方正小标宋简体" w:cs="方正小标宋简体"/>
          <w:color w:val="auto"/>
          <w:kern w:val="0"/>
          <w:sz w:val="44"/>
          <w:szCs w:val="44"/>
          <w:highlight w:val="none"/>
        </w:rPr>
        <w:t>阳泉市</w:t>
      </w:r>
      <w:r>
        <w:rPr>
          <w:rFonts w:hint="eastAsia" w:ascii="方正小标宋简体" w:hAnsi="方正小标宋简体" w:eastAsia="方正小标宋简体" w:cs="方正小标宋简体"/>
          <w:color w:val="auto"/>
          <w:kern w:val="0"/>
          <w:sz w:val="44"/>
          <w:szCs w:val="44"/>
          <w:highlight w:val="none"/>
          <w:lang w:val="en-US" w:eastAsia="zh-CN"/>
        </w:rPr>
        <w:t>财政局</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color w:val="auto"/>
          <w:kern w:val="0"/>
          <w:sz w:val="44"/>
          <w:szCs w:val="44"/>
          <w:highlight w:val="none"/>
          <w:lang w:val="en-US" w:eastAsia="zh-CN"/>
        </w:rPr>
      </w:pPr>
      <w:r>
        <w:rPr>
          <w:rFonts w:hint="eastAsia" w:ascii="方正小标宋简体" w:hAnsi="方正小标宋简体" w:eastAsia="方正小标宋简体" w:cs="方正小标宋简体"/>
          <w:color w:val="auto"/>
          <w:kern w:val="0"/>
          <w:sz w:val="44"/>
          <w:szCs w:val="44"/>
          <w:highlight w:val="none"/>
        </w:rPr>
        <w:t>2020年度</w:t>
      </w:r>
      <w:r>
        <w:rPr>
          <w:rFonts w:hint="eastAsia" w:ascii="方正小标宋简体" w:hAnsi="方正小标宋简体" w:eastAsia="方正小标宋简体" w:cs="方正小标宋简体"/>
          <w:color w:val="auto"/>
          <w:kern w:val="0"/>
          <w:sz w:val="44"/>
          <w:szCs w:val="44"/>
          <w:highlight w:val="none"/>
          <w:lang w:val="en-US" w:eastAsia="zh-CN"/>
        </w:rPr>
        <w:t>地方政府专项债券服务费</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绩效评价报告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bidi="ar-SA"/>
        </w:rPr>
        <w:t>根据《中华人民共和国预算法》规定，按照《中共中央 国务院关于全面实施预算绩效管理的意见》（中发〔2018〕34号）、《财政部关于印发〈项目支出绩效评价管理办法〉的通知》（财预〔2020〕10号）的要求，受阳泉市财政局委托，山西汇华资产评估有限公司对阳泉市财政局2020年度地方政府专项债券服务费开展了绩效评价，现将有关情况报告如下</w:t>
      </w:r>
      <w:r>
        <w:rPr>
          <w:rFonts w:hint="eastAsia" w:ascii="仿宋_GB2312" w:hAnsi="仿宋_GB2312" w:eastAsia="仿宋_GB2312" w:cs="仿宋_GB2312"/>
          <w:color w:val="auto"/>
          <w:kern w:val="0"/>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一、项目基本情况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rPr>
      </w:pPr>
      <w:r>
        <w:rPr>
          <w:rFonts w:hint="eastAsia" w:ascii="楷体" w:hAnsi="楷体" w:eastAsia="楷体"/>
          <w:color w:val="auto"/>
          <w:sz w:val="32"/>
          <w:szCs w:val="32"/>
          <w:highlight w:val="none"/>
        </w:rPr>
        <w:t>(一)项目背景</w:t>
      </w:r>
    </w:p>
    <w:p>
      <w:pPr>
        <w:pStyle w:val="16"/>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为更好发挥政府专项债券在扩大有效投资、推动经济转型发展中的重要作用,防范化解政府债务风险,实现政府专项债券“借、用、管、还”全生命周期管理,根据《中华人民共和国预算法》、《政府投资条例》(国务院令第712号)、《国务院关于加强地方政府性债务管理的意见》(国发〔2014〕43号)等有关规定，由省政府发行用于有一定收益的公益性项目建设、约定一定期限内以项目对应的政府性基金收入或其他经营性专项收入偿还的地方政府债券。</w:t>
      </w:r>
    </w:p>
    <w:p>
      <w:pPr>
        <w:pStyle w:val="16"/>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山西省人民政府《关于印发山西省政府专项债券管理暂行办法的通知》（晋政发〔2020〕23号）规定，项目单位或项目部门应委托具备从业资质且合法存续的专业服务机构对项目平衡方案进行财务评估和法律论证。专业服务机构在地方政府专项债券申请过程中涉及到的法律问题及财务测算更具有专业性，可以充分发挥各方专业特长，使地方政府专项债券发行等各项工作有序、顺利进行。</w:t>
      </w:r>
    </w:p>
    <w:p>
      <w:pPr>
        <w:pStyle w:val="16"/>
        <w:keepNext w:val="0"/>
        <w:keepLines w:val="0"/>
        <w:pageBreakBefore w:val="0"/>
        <w:kinsoku/>
        <w:wordWrap/>
        <w:overflowPunct/>
        <w:topLinePunct w:val="0"/>
        <w:autoSpaceDE/>
        <w:autoSpaceDN/>
        <w:bidi w:val="0"/>
        <w:adjustRightInd/>
        <w:snapToGrid/>
        <w:spacing w:line="560" w:lineRule="exact"/>
        <w:textAlignment w:val="auto"/>
        <w:rPr>
          <w:rFonts w:ascii="楷体" w:hAnsi="楷体" w:eastAsia="楷体"/>
          <w:color w:val="auto"/>
          <w:sz w:val="32"/>
          <w:szCs w:val="32"/>
          <w:highlight w:val="none"/>
        </w:rPr>
      </w:pPr>
      <w:r>
        <w:rPr>
          <w:rFonts w:hint="eastAsia" w:ascii="楷体" w:hAnsi="楷体" w:eastAsia="楷体"/>
          <w:color w:val="auto"/>
          <w:sz w:val="32"/>
          <w:szCs w:val="32"/>
          <w:highlight w:val="none"/>
        </w:rPr>
        <w:t>(二)项目执行情况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1.预算执行情况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阳泉市财政局2020年度地方政府专项债券服务费年度总预算376.3万元。截至2020年12月31日，年度执行总数376.3万元，执行率100%。</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2.效益实现情况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通过阳泉市财政局2020年度地方政府专项债券服务费的实施，有效保障、支撑专项债券发行工作的开展，防范化解政府债务、法律等风险，实现专项债券在推动经济转型发展中的重要作用。</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是做好专项债券项目储备工作，向专项债项目实施单位介绍专项债券政策规定及发行工作流程，审核单位资料，依法依据及时分配债务额度，做好项目实施单位与专业服务机构的沟通协调工作，确保各项目按时成功发行。</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二是做好2020年度地方政府专项债券发行工作，本年度市本级共发行地方政府专项债104300万元，聘请山西天正会计师事务所（有限公司）等专业服务机构出具评价报告及法律意见书，具体如下：</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default" w:ascii="仿宋_GB2312" w:eastAsia="仿宋_GB2312"/>
          <w:color w:val="auto"/>
          <w:sz w:val="32"/>
          <w:szCs w:val="32"/>
          <w:highlight w:val="none"/>
          <w:lang w:val="en-US" w:eastAsia="zh-CN"/>
        </w:rPr>
      </w:pPr>
    </w:p>
    <w:tbl>
      <w:tblPr>
        <w:tblStyle w:val="9"/>
        <w:tblW w:w="8886" w:type="dxa"/>
        <w:jc w:val="center"/>
        <w:shd w:val="clear" w:color="auto" w:fill="auto"/>
        <w:tblLayout w:type="fixed"/>
        <w:tblCellMar>
          <w:top w:w="0" w:type="dxa"/>
          <w:left w:w="0" w:type="dxa"/>
          <w:bottom w:w="0" w:type="dxa"/>
          <w:right w:w="0" w:type="dxa"/>
        </w:tblCellMar>
      </w:tblPr>
      <w:tblGrid>
        <w:gridCol w:w="645"/>
        <w:gridCol w:w="4875"/>
        <w:gridCol w:w="3366"/>
      </w:tblGrid>
      <w:tr>
        <w:tblPrEx>
          <w:shd w:val="clear" w:color="auto" w:fill="auto"/>
          <w:tblCellMar>
            <w:top w:w="0" w:type="dxa"/>
            <w:left w:w="0" w:type="dxa"/>
            <w:bottom w:w="0" w:type="dxa"/>
            <w:right w:w="0" w:type="dxa"/>
          </w:tblCellMar>
        </w:tblPrEx>
        <w:trPr>
          <w:trHeight w:val="44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方正仿宋_GB2312" w:hAnsi="方正仿宋_GB2312" w:eastAsia="方正仿宋_GB2312" w:cs="方正仿宋_GB2312"/>
                <w:i w:val="0"/>
                <w:color w:val="auto"/>
                <w:sz w:val="22"/>
                <w:szCs w:val="22"/>
                <w:u w:val="none"/>
              </w:rPr>
            </w:pPr>
            <w:r>
              <w:rPr>
                <w:rFonts w:hint="eastAsia" w:ascii="方正仿宋_GB2312" w:hAnsi="方正仿宋_GB2312" w:eastAsia="方正仿宋_GB2312" w:cs="方正仿宋_GB2312"/>
                <w:i w:val="0"/>
                <w:color w:val="auto"/>
                <w:kern w:val="0"/>
                <w:sz w:val="22"/>
                <w:szCs w:val="22"/>
                <w:u w:val="none"/>
                <w:lang w:val="en-US" w:eastAsia="zh-CN" w:bidi="ar"/>
              </w:rPr>
              <w:t>序</w:t>
            </w:r>
            <w:r>
              <w:rPr>
                <w:rFonts w:hint="default" w:ascii="方正仿宋_GB2312" w:hAnsi="方正仿宋_GB2312" w:eastAsia="方正仿宋_GB2312" w:cs="方正仿宋_GB2312"/>
                <w:i w:val="0"/>
                <w:color w:val="auto"/>
                <w:kern w:val="0"/>
                <w:sz w:val="22"/>
                <w:szCs w:val="22"/>
                <w:u w:val="none"/>
                <w:lang w:val="en-US" w:eastAsia="zh-CN" w:bidi="ar"/>
              </w:rPr>
              <w:t>号</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2"/>
                <w:szCs w:val="22"/>
                <w:u w:val="none"/>
              </w:rPr>
            </w:pPr>
            <w:r>
              <w:rPr>
                <w:rFonts w:hint="default" w:ascii="方正仿宋_GB2312" w:hAnsi="方正仿宋_GB2312" w:eastAsia="方正仿宋_GB2312" w:cs="方正仿宋_GB2312"/>
                <w:i w:val="0"/>
                <w:color w:val="auto"/>
                <w:kern w:val="0"/>
                <w:sz w:val="22"/>
                <w:szCs w:val="22"/>
                <w:u w:val="none"/>
                <w:lang w:val="en-US" w:eastAsia="zh-CN" w:bidi="ar"/>
              </w:rPr>
              <w:t>项目名称</w:t>
            </w:r>
          </w:p>
        </w:tc>
        <w:tc>
          <w:tcPr>
            <w:tcW w:w="33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2"/>
                <w:szCs w:val="22"/>
                <w:u w:val="none"/>
              </w:rPr>
            </w:pPr>
            <w:r>
              <w:rPr>
                <w:rFonts w:hint="default" w:ascii="方正仿宋_GB2312" w:hAnsi="方正仿宋_GB2312" w:eastAsia="方正仿宋_GB2312" w:cs="方正仿宋_GB2312"/>
                <w:i w:val="0"/>
                <w:color w:val="auto"/>
                <w:kern w:val="0"/>
                <w:sz w:val="22"/>
                <w:szCs w:val="22"/>
                <w:u w:val="none"/>
                <w:lang w:val="en-US" w:eastAsia="zh-CN" w:bidi="ar"/>
              </w:rPr>
              <w:t>服务机构</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1</w:t>
            </w:r>
          </w:p>
        </w:tc>
        <w:tc>
          <w:tcPr>
            <w:tcW w:w="4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阳泉职业技术学院建设项目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2</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阳泉市公安局公共停车场建设项目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3</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阳泉市新建阳泉北至大寨铁路建设项目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4</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阳泉市（本级）综合交通客运枢纽工程建设项目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5</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阳泉市生态新城余积粮沟村棚户区（城中村）改造项目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6</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阳泉市生态新城桃坡村棚户区（城中村）改造项目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7</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阳泉市生态新城魏家峪片区棚户区改造安置住房项目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8</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阳泉市三泉棚户区改造安置住房项目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9</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阳泉市广播电视台全台高清化、数字化改造项目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大华会计师事务所（特殊普通合伙）山西分所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10</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阳泉市供热工程建设项目</w:t>
            </w:r>
          </w:p>
        </w:tc>
        <w:tc>
          <w:tcPr>
            <w:tcW w:w="3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r>
              <w:rPr>
                <w:rFonts w:hint="default" w:ascii="方正仿宋_GB2312" w:hAnsi="方正仿宋_GB2312" w:eastAsia="方正仿宋_GB2312" w:cs="方正仿宋_GB2312"/>
                <w:i w:val="0"/>
                <w:color w:val="auto"/>
                <w:kern w:val="0"/>
                <w:sz w:val="20"/>
                <w:szCs w:val="20"/>
                <w:u w:val="none"/>
                <w:lang w:val="en-US" w:eastAsia="zh-CN" w:bidi="ar"/>
              </w:rPr>
              <w:br w:type="textWrapping"/>
            </w:r>
            <w:r>
              <w:rPr>
                <w:rFonts w:hint="default" w:ascii="方正仿宋_GB2312" w:hAnsi="方正仿宋_GB2312" w:eastAsia="方正仿宋_GB2312" w:cs="方正仿宋_GB2312"/>
                <w:i w:val="0"/>
                <w:color w:val="auto"/>
                <w:kern w:val="0"/>
                <w:sz w:val="20"/>
                <w:szCs w:val="20"/>
                <w:u w:val="none"/>
                <w:lang w:val="en-US" w:eastAsia="zh-CN" w:bidi="ar"/>
              </w:rPr>
              <w:t>山西华炬律师事务所</w:t>
            </w:r>
          </w:p>
        </w:tc>
      </w:tr>
      <w:tr>
        <w:tblPrEx>
          <w:shd w:val="clear" w:color="auto" w:fill="auto"/>
          <w:tblCellMar>
            <w:top w:w="0" w:type="dxa"/>
            <w:left w:w="0" w:type="dxa"/>
            <w:bottom w:w="0" w:type="dxa"/>
            <w:right w:w="0" w:type="dxa"/>
          </w:tblCellMar>
        </w:tblPrEx>
        <w:trPr>
          <w:trHeight w:val="65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11</w:t>
            </w:r>
          </w:p>
        </w:tc>
        <w:tc>
          <w:tcPr>
            <w:tcW w:w="48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lang w:val="en-US"/>
              </w:rPr>
            </w:pPr>
            <w:r>
              <w:rPr>
                <w:rFonts w:hint="eastAsia" w:ascii="方正仿宋_GB2312" w:hAnsi="方正仿宋_GB2312" w:eastAsia="方正仿宋_GB2312" w:cs="方正仿宋_GB2312"/>
                <w:i w:val="0"/>
                <w:color w:val="auto"/>
                <w:kern w:val="0"/>
                <w:sz w:val="20"/>
                <w:szCs w:val="20"/>
                <w:u w:val="none"/>
                <w:lang w:val="en-US" w:eastAsia="zh-CN" w:bidi="ar"/>
              </w:rPr>
              <w:t>地方政府债券相关财务咨询服务（编制信息披露文件等）</w:t>
            </w:r>
          </w:p>
        </w:tc>
        <w:tc>
          <w:tcPr>
            <w:tcW w:w="33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方正仿宋_GB2312" w:hAnsi="方正仿宋_GB2312" w:eastAsia="方正仿宋_GB2312" w:cs="方正仿宋_GB2312"/>
                <w:i w:val="0"/>
                <w:color w:val="auto"/>
                <w:sz w:val="20"/>
                <w:szCs w:val="20"/>
                <w:u w:val="none"/>
              </w:rPr>
            </w:pPr>
            <w:r>
              <w:rPr>
                <w:rFonts w:hint="default" w:ascii="方正仿宋_GB2312" w:hAnsi="方正仿宋_GB2312" w:eastAsia="方正仿宋_GB2312" w:cs="方正仿宋_GB2312"/>
                <w:i w:val="0"/>
                <w:color w:val="auto"/>
                <w:kern w:val="0"/>
                <w:sz w:val="20"/>
                <w:szCs w:val="20"/>
                <w:u w:val="none"/>
                <w:lang w:val="en-US" w:eastAsia="zh-CN" w:bidi="ar"/>
              </w:rPr>
              <w:t>山西天正会计师事务所（有限公司）</w:t>
            </w:r>
          </w:p>
        </w:tc>
      </w:tr>
    </w:tbl>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三是助推地方政府专项债发行程序更加规范。</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通过委托具备从业资质且合法存续的专业服务机构对项目平衡方案进行财务评估和法律论证工作的实施，就拟建项目的必要性、可行性、合理性、经济性及合法性进行综合分析，以公正、独立、客观的态度作出相应评价，助推地方政府专项债发行程序更加规范，从而为政府投资决策部门做好“参谋”，为审批部门的决策提供参考意见及投资分析，减少和避免债券发行风险，提高债券发行质量和效益。</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二、绩效评价工作情况及评价结论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(一)评价范围及目的</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default" w:ascii="仿宋_GB2312" w:eastAsia="仿宋_GB2312" w:hAnsiTheme="minorHAnsi" w:cstheme="minorBidi"/>
          <w:color w:val="auto"/>
          <w:kern w:val="2"/>
          <w:sz w:val="32"/>
          <w:szCs w:val="32"/>
          <w:highlight w:val="none"/>
          <w:lang w:val="en-US" w:eastAsia="zh-CN" w:bidi="ar-SA"/>
        </w:rPr>
      </w:pPr>
      <w:r>
        <w:rPr>
          <w:rFonts w:hint="eastAsia" w:ascii="仿宋_GB2312" w:eastAsia="仿宋_GB2312" w:hAnsiTheme="minorHAnsi" w:cstheme="minorBidi"/>
          <w:color w:val="auto"/>
          <w:kern w:val="2"/>
          <w:sz w:val="32"/>
          <w:szCs w:val="32"/>
          <w:highlight w:val="none"/>
          <w:lang w:val="en-US" w:eastAsia="zh-CN" w:bidi="ar-SA"/>
        </w:rPr>
        <w:t>此次评价工作对</w:t>
      </w:r>
      <w:r>
        <w:rPr>
          <w:rFonts w:hint="eastAsia" w:ascii="仿宋_GB2312" w:eastAsia="仿宋_GB2312" w:cstheme="minorBidi"/>
          <w:color w:val="auto"/>
          <w:kern w:val="2"/>
          <w:sz w:val="32"/>
          <w:szCs w:val="32"/>
          <w:highlight w:val="none"/>
          <w:lang w:val="en-US" w:eastAsia="zh-CN" w:bidi="ar-SA"/>
        </w:rPr>
        <w:t>阳泉市财政局</w:t>
      </w:r>
      <w:r>
        <w:rPr>
          <w:rFonts w:hint="eastAsia" w:ascii="仿宋_GB2312" w:eastAsia="仿宋_GB2312" w:hAnsiTheme="minorHAnsi" w:cstheme="minorBidi"/>
          <w:color w:val="auto"/>
          <w:kern w:val="2"/>
          <w:sz w:val="32"/>
          <w:szCs w:val="32"/>
          <w:highlight w:val="none"/>
          <w:lang w:val="en-US" w:eastAsia="zh-CN" w:bidi="ar-SA"/>
        </w:rPr>
        <w:t>2020年度</w:t>
      </w:r>
      <w:r>
        <w:rPr>
          <w:rFonts w:hint="eastAsia" w:ascii="仿宋_GB2312" w:eastAsia="仿宋_GB2312" w:cstheme="minorBidi"/>
          <w:color w:val="auto"/>
          <w:kern w:val="2"/>
          <w:sz w:val="32"/>
          <w:szCs w:val="32"/>
          <w:highlight w:val="none"/>
          <w:lang w:val="en-US" w:eastAsia="zh-CN" w:bidi="ar-SA"/>
        </w:rPr>
        <w:t>地方政府专项债券服务费</w:t>
      </w:r>
      <w:r>
        <w:rPr>
          <w:rFonts w:hint="eastAsia" w:ascii="仿宋_GB2312" w:eastAsia="仿宋_GB2312" w:hAnsiTheme="minorHAnsi" w:cstheme="minorBidi"/>
          <w:color w:val="auto"/>
          <w:kern w:val="2"/>
          <w:sz w:val="32"/>
          <w:szCs w:val="32"/>
          <w:highlight w:val="none"/>
          <w:lang w:val="en-US" w:eastAsia="zh-CN" w:bidi="ar-SA"/>
        </w:rPr>
        <w:t>的执行情况和资金使用情况进行全面绩效评价。通过对项目进行全面系统梳理和分析，全面总结经验、发现问题，形成项目总体认识和评价结论，为部门科学决策、规范管理提供参考，强化预算管理，促进项目具体实施单位改进工作，提高资源配置效率和资金使用效益。</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(二)绩效评价指标体系</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根据《财政部关于印发&lt;项目支出绩效评价管理办法&gt;的通知》（财预〔2020〕10号）文件规定，本次评价指标体系包括项目决策、项目过程、项目产出、项目效益4个一级指标，满分为100分。其中，项目决策（15分）主要评价项目立项、绩效目标、资金投入情况，重点关注项目绩效目标设定情况、预算编制情况。项目过程（25分）主要评价资金和业务管理情况，其中资金方面重点关注预算编制情况和资金支出的合法合规性，业务方面重点关注管理制度的健全性和制度执行的有效性的情况。项目产出（30分）主要评价项目在本年度的实际产出数量、产出质量等产出完成情况，根据项目申报内容，重点核实产出数量是否达到设定目标、产出质量是否符合设定标准。项目效益（30分）主要评价效益及服务对象满意度情况，重点关注项目在经济社会方面发挥的实际作用情况和服务对象的满意度情况。</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三</w:t>
      </w:r>
      <w:r>
        <w:rPr>
          <w:rFonts w:hint="eastAsia" w:ascii="楷体" w:hAnsi="楷体" w:eastAsia="楷体"/>
          <w:color w:val="auto"/>
          <w:sz w:val="32"/>
          <w:szCs w:val="32"/>
          <w:highlight w:val="none"/>
        </w:rPr>
        <w:t>)评价方法与实施</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both"/>
        <w:textAlignment w:val="auto"/>
        <w:outlineLvl w:val="9"/>
        <w:rPr>
          <w:rFonts w:hint="eastAsia" w:ascii="仿宋_GB2312" w:hAnsi="Calibri"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lang w:eastAsia="zh-CN"/>
        </w:rPr>
        <w:t>本次评价采用现场调研与非现场评价相结合的形式开展。评价综合运用比较法（对项目绩效目标与实施效果、预算与实际支出对比）、专家评价法（就财务管理、发挥实效等方面咨询有关专家给出评价意见）、文献研究法（查找项目相关背景资料）等分析方法，对项目决策、过程、产出、效益四个方面进行综合评价。</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四</w:t>
      </w:r>
      <w:r>
        <w:rPr>
          <w:rFonts w:hint="eastAsia" w:ascii="楷体" w:hAnsi="楷体" w:eastAsia="楷体"/>
          <w:color w:val="auto"/>
          <w:sz w:val="32"/>
          <w:szCs w:val="32"/>
          <w:highlight w:val="none"/>
        </w:rPr>
        <w:t>）</w:t>
      </w:r>
      <w:r>
        <w:rPr>
          <w:rFonts w:hint="eastAsia" w:ascii="楷体" w:hAnsi="楷体" w:eastAsia="楷体"/>
          <w:color w:val="auto"/>
          <w:sz w:val="32"/>
          <w:szCs w:val="32"/>
          <w:highlight w:val="none"/>
          <w:lang w:eastAsia="zh-CN"/>
        </w:rPr>
        <w:t>评价结论</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阳泉市财政局</w:t>
      </w:r>
      <w:r>
        <w:rPr>
          <w:rFonts w:hint="eastAsia" w:ascii="仿宋_GB2312" w:eastAsia="仿宋_GB2312"/>
          <w:color w:val="auto"/>
          <w:sz w:val="32"/>
          <w:szCs w:val="32"/>
          <w:highlight w:val="none"/>
        </w:rPr>
        <w:t>2020年度</w:t>
      </w:r>
      <w:r>
        <w:rPr>
          <w:rFonts w:hint="eastAsia" w:ascii="仿宋_GB2312" w:eastAsia="仿宋_GB2312"/>
          <w:color w:val="auto"/>
          <w:sz w:val="32"/>
          <w:szCs w:val="32"/>
          <w:highlight w:val="none"/>
          <w:lang w:eastAsia="zh-CN"/>
        </w:rPr>
        <w:t>地方政府专项债券服务费</w:t>
      </w:r>
      <w:r>
        <w:rPr>
          <w:rFonts w:hint="eastAsia" w:ascii="仿宋_GB2312" w:eastAsia="仿宋_GB2312"/>
          <w:color w:val="auto"/>
          <w:sz w:val="32"/>
          <w:szCs w:val="32"/>
          <w:highlight w:val="none"/>
        </w:rPr>
        <w:t>项目综合评价得分</w:t>
      </w:r>
      <w:r>
        <w:rPr>
          <w:rFonts w:hint="eastAsia" w:ascii="仿宋_GB2312" w:eastAsia="仿宋_GB2312"/>
          <w:color w:val="auto"/>
          <w:sz w:val="32"/>
          <w:szCs w:val="32"/>
          <w:highlight w:val="none"/>
          <w:lang w:val="en-US" w:eastAsia="zh-CN"/>
        </w:rPr>
        <w:t>91</w:t>
      </w:r>
      <w:r>
        <w:rPr>
          <w:rFonts w:hint="eastAsia" w:ascii="仿宋_GB2312" w:eastAsia="仿宋_GB2312"/>
          <w:color w:val="auto"/>
          <w:sz w:val="32"/>
          <w:szCs w:val="32"/>
          <w:highlight w:val="none"/>
        </w:rPr>
        <w:t>分，评价等级为“</w:t>
      </w:r>
      <w:r>
        <w:rPr>
          <w:rFonts w:hint="eastAsia" w:ascii="仿宋_GB2312" w:eastAsia="仿宋_GB2312"/>
          <w:color w:val="auto"/>
          <w:sz w:val="32"/>
          <w:szCs w:val="32"/>
          <w:highlight w:val="none"/>
          <w:lang w:eastAsia="zh-CN"/>
        </w:rPr>
        <w:t>优</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阳泉市财政局</w:t>
      </w:r>
      <w:r>
        <w:rPr>
          <w:rFonts w:hint="eastAsia" w:ascii="仿宋_GB2312" w:eastAsia="仿宋_GB2312"/>
          <w:color w:val="auto"/>
          <w:sz w:val="32"/>
          <w:szCs w:val="32"/>
          <w:highlight w:val="none"/>
        </w:rPr>
        <w:t>2020年度</w:t>
      </w:r>
      <w:r>
        <w:rPr>
          <w:rFonts w:hint="eastAsia" w:ascii="仿宋_GB2312" w:eastAsia="仿宋_GB2312"/>
          <w:color w:val="auto"/>
          <w:sz w:val="32"/>
          <w:szCs w:val="32"/>
          <w:highlight w:val="none"/>
          <w:lang w:eastAsia="zh-CN"/>
        </w:rPr>
        <w:t>地方政府专项债券服务费</w:t>
      </w:r>
      <w:r>
        <w:rPr>
          <w:rFonts w:hint="eastAsia" w:ascii="仿宋_GB2312" w:eastAsia="仿宋_GB2312"/>
          <w:color w:val="auto"/>
          <w:sz w:val="32"/>
          <w:szCs w:val="32"/>
          <w:highlight w:val="none"/>
        </w:rPr>
        <w:t>项目基本按照计划完成年度工作任务，实现了年度绩效目标</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bidi="ar-SA"/>
        </w:rPr>
        <w:t>专业服务机构</w:t>
      </w:r>
      <w:r>
        <w:rPr>
          <w:rFonts w:hint="eastAsia" w:ascii="仿宋_GB2312" w:eastAsia="仿宋_GB2312"/>
          <w:color w:val="auto"/>
          <w:sz w:val="32"/>
          <w:szCs w:val="32"/>
          <w:highlight w:val="none"/>
          <w:lang w:val="en-US" w:eastAsia="zh-CN"/>
        </w:rPr>
        <w:t>出具的专项债券项目情况、资金平衡方案财务评估及法律论证报告，为审批部门的决策提供参考意见及投资分析，减少和避免地方政府专项债券项目风险，提高债券使用项目的质量和效益</w:t>
      </w:r>
      <w:r>
        <w:rPr>
          <w:rFonts w:hint="eastAsia" w:ascii="仿宋_GB2312" w:eastAsia="仿宋_GB2312"/>
          <w:color w:val="auto"/>
          <w:sz w:val="32"/>
          <w:szCs w:val="32"/>
          <w:highlight w:val="none"/>
        </w:rPr>
        <w:t>。但是也存在绩效目标及指标设置不够合理</w:t>
      </w:r>
      <w:r>
        <w:rPr>
          <w:rFonts w:hint="eastAsia" w:ascii="仿宋_GB2312" w:eastAsia="仿宋_GB2312"/>
          <w:color w:val="auto"/>
          <w:sz w:val="32"/>
          <w:szCs w:val="32"/>
          <w:highlight w:val="none"/>
          <w:lang w:eastAsia="zh-CN"/>
        </w:rPr>
        <w:t>、管理制度不够健全</w:t>
      </w:r>
      <w:r>
        <w:rPr>
          <w:rFonts w:hint="eastAsia" w:ascii="仿宋_GB2312" w:eastAsia="仿宋_GB2312"/>
          <w:color w:val="auto"/>
          <w:sz w:val="32"/>
          <w:szCs w:val="32"/>
          <w:highlight w:val="none"/>
        </w:rPr>
        <w:t>等问题</w:t>
      </w:r>
      <w:r>
        <w:rPr>
          <w:rFonts w:hint="eastAsia" w:ascii="仿宋_GB2312" w:eastAsia="仿宋_GB2312"/>
          <w:color w:val="auto"/>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四、绩效评价指标完成情况</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(一)决策指标分析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w:t>
      </w: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lang w:eastAsia="zh-CN"/>
        </w:rPr>
        <w:t>分，得分1</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分。项目立项依据较充分，程序较规范。项目绩效目标细化分解为具体的绩效指标，但部分绩效指标设置不够全面，预算编制不够科学等。</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（二）过程指标分析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该指标分值2</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分，得分</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lang w:eastAsia="zh-CN"/>
        </w:rPr>
        <w:t>分。项目预算资金</w:t>
      </w:r>
      <w:r>
        <w:rPr>
          <w:rFonts w:hint="eastAsia" w:ascii="仿宋_GB2312" w:eastAsia="仿宋_GB2312"/>
          <w:color w:val="auto"/>
          <w:sz w:val="32"/>
          <w:szCs w:val="32"/>
          <w:highlight w:val="none"/>
          <w:lang w:val="en-US" w:eastAsia="zh-CN"/>
        </w:rPr>
        <w:t>全部到位并</w:t>
      </w:r>
      <w:r>
        <w:rPr>
          <w:rFonts w:hint="eastAsia" w:ascii="仿宋_GB2312" w:eastAsia="仿宋_GB2312"/>
          <w:color w:val="auto"/>
          <w:sz w:val="32"/>
          <w:szCs w:val="32"/>
          <w:highlight w:val="none"/>
          <w:lang w:eastAsia="zh-CN"/>
        </w:rPr>
        <w:t>按照计划执行，资金支付具有审批程序和手续，资金使用较规范，对该项目实施的总体保障程度较好。但</w:t>
      </w:r>
      <w:r>
        <w:rPr>
          <w:rFonts w:hint="eastAsia" w:ascii="仿宋_GB2312" w:eastAsia="仿宋_GB2312"/>
          <w:color w:val="auto"/>
          <w:sz w:val="32"/>
          <w:szCs w:val="32"/>
          <w:highlight w:val="none"/>
          <w:lang w:val="en-US" w:eastAsia="zh-CN"/>
        </w:rPr>
        <w:t>存在未制定针对</w:t>
      </w:r>
      <w:r>
        <w:rPr>
          <w:rFonts w:hint="eastAsia" w:ascii="仿宋_GB2312" w:hAnsi="仿宋_GB2312" w:eastAsia="仿宋_GB2312" w:cs="仿宋_GB2312"/>
          <w:color w:val="auto"/>
          <w:kern w:val="0"/>
          <w:sz w:val="32"/>
          <w:szCs w:val="32"/>
          <w:highlight w:val="none"/>
          <w:lang w:val="en-US" w:eastAsia="zh-CN" w:bidi="ar-SA"/>
        </w:rPr>
        <w:t>专业服务机构</w:t>
      </w:r>
      <w:r>
        <w:rPr>
          <w:rFonts w:hint="eastAsia" w:ascii="仿宋_GB2312" w:eastAsia="仿宋_GB2312"/>
          <w:color w:val="auto"/>
          <w:sz w:val="32"/>
          <w:szCs w:val="32"/>
          <w:highlight w:val="none"/>
          <w:lang w:val="en-US" w:eastAsia="zh-CN"/>
        </w:rPr>
        <w:t>的考核管理制度以及合同签订未明确工作时间、工作范围等问题。</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（三）产出指标分析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该指标分值30分，得分2</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分。项目整体产出较好，</w:t>
      </w:r>
      <w:r>
        <w:rPr>
          <w:rFonts w:hint="eastAsia" w:ascii="仿宋_GB2312" w:eastAsia="仿宋_GB2312"/>
          <w:color w:val="auto"/>
          <w:sz w:val="32"/>
          <w:szCs w:val="32"/>
          <w:highlight w:val="none"/>
          <w:lang w:val="en-US" w:eastAsia="zh-CN"/>
        </w:rPr>
        <w:t>第三方机构出具的</w:t>
      </w:r>
      <w:r>
        <w:rPr>
          <w:rFonts w:hint="eastAsia" w:ascii="仿宋_GB2312" w:eastAsia="仿宋_GB2312"/>
          <w:color w:val="auto"/>
          <w:sz w:val="32"/>
          <w:szCs w:val="32"/>
          <w:highlight w:val="none"/>
          <w:lang w:eastAsia="zh-CN"/>
        </w:rPr>
        <w:t>资金平衡方案</w:t>
      </w:r>
      <w:r>
        <w:rPr>
          <w:rFonts w:hint="eastAsia" w:ascii="仿宋_GB2312" w:eastAsia="仿宋_GB2312"/>
          <w:color w:val="auto"/>
          <w:sz w:val="32"/>
          <w:szCs w:val="32"/>
          <w:highlight w:val="none"/>
          <w:lang w:val="en-US" w:eastAsia="zh-CN"/>
        </w:rPr>
        <w:t>等各类评价报告及</w:t>
      </w:r>
      <w:r>
        <w:rPr>
          <w:rFonts w:hint="eastAsia" w:ascii="仿宋_GB2312" w:eastAsia="仿宋_GB2312"/>
          <w:color w:val="auto"/>
          <w:sz w:val="32"/>
          <w:szCs w:val="32"/>
          <w:highlight w:val="none"/>
          <w:lang w:eastAsia="zh-CN"/>
        </w:rPr>
        <w:t>法律意见书基本按计划完成，但</w:t>
      </w:r>
      <w:r>
        <w:rPr>
          <w:rFonts w:hint="eastAsia" w:ascii="仿宋_GB2312" w:eastAsia="仿宋_GB2312"/>
          <w:color w:val="auto"/>
          <w:sz w:val="32"/>
          <w:szCs w:val="32"/>
          <w:highlight w:val="none"/>
          <w:lang w:val="en-US" w:eastAsia="zh-CN"/>
        </w:rPr>
        <w:t>未对出具的报告质量进行考核验收</w:t>
      </w:r>
      <w:r>
        <w:rPr>
          <w:rFonts w:hint="eastAsia" w:ascii="仿宋_GB2312" w:eastAsia="仿宋_GB2312"/>
          <w:color w:val="auto"/>
          <w:sz w:val="32"/>
          <w:szCs w:val="32"/>
          <w:highlight w:val="none"/>
          <w:lang w:eastAsia="zh-CN"/>
        </w:rPr>
        <w:t>。</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楷体" w:hAnsi="楷体" w:eastAsia="楷体"/>
          <w:color w:val="auto"/>
          <w:sz w:val="32"/>
          <w:szCs w:val="32"/>
          <w:highlight w:val="none"/>
          <w:lang w:eastAsia="zh-CN"/>
        </w:rPr>
      </w:pPr>
      <w:r>
        <w:rPr>
          <w:rFonts w:hint="eastAsia" w:ascii="楷体" w:hAnsi="楷体" w:eastAsia="楷体"/>
          <w:color w:val="auto"/>
          <w:sz w:val="32"/>
          <w:szCs w:val="32"/>
          <w:highlight w:val="none"/>
          <w:lang w:eastAsia="zh-CN"/>
        </w:rPr>
        <w:t>（四）效益指标分析</w:t>
      </w:r>
    </w:p>
    <w:p>
      <w:pPr>
        <w:pStyle w:val="16"/>
        <w:keepNext w:val="0"/>
        <w:keepLines w:val="0"/>
        <w:pageBreakBefore w:val="0"/>
        <w:kinsoku/>
        <w:wordWrap/>
        <w:overflowPunct/>
        <w:topLinePunct w:val="0"/>
        <w:autoSpaceDE/>
        <w:autoSpaceDN/>
        <w:bidi w:val="0"/>
        <w:adjustRightInd/>
        <w:snapToGrid/>
        <w:spacing w:line="560" w:lineRule="exact"/>
        <w:ind w:firstLine="643"/>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该指标分值30分，得分2</w:t>
      </w:r>
      <w:r>
        <w:rPr>
          <w:rFonts w:hint="eastAsia" w:ascii="仿宋_GB2312" w:eastAsia="仿宋_GB2312"/>
          <w:color w:val="auto"/>
          <w:sz w:val="32"/>
          <w:szCs w:val="32"/>
          <w:highlight w:val="none"/>
          <w:lang w:val="en-US" w:eastAsia="zh-CN"/>
        </w:rPr>
        <w:t>9</w:t>
      </w:r>
      <w:r>
        <w:rPr>
          <w:rFonts w:hint="eastAsia" w:ascii="仿宋_GB2312" w:eastAsia="仿宋_GB2312"/>
          <w:color w:val="auto"/>
          <w:sz w:val="32"/>
          <w:szCs w:val="32"/>
          <w:highlight w:val="none"/>
          <w:lang w:eastAsia="zh-CN"/>
        </w:rPr>
        <w:t>分。项目实施为</w:t>
      </w:r>
      <w:r>
        <w:rPr>
          <w:rFonts w:hint="eastAsia" w:ascii="仿宋_GB2312" w:eastAsia="仿宋_GB2312"/>
          <w:color w:val="auto"/>
          <w:sz w:val="32"/>
          <w:szCs w:val="32"/>
          <w:highlight w:val="none"/>
          <w:lang w:val="en-US" w:eastAsia="zh-CN"/>
        </w:rPr>
        <w:t>阳泉市地方政府专项债券发行提供了涉法事务及财务评估方面的保障</w:t>
      </w:r>
      <w:r>
        <w:rPr>
          <w:rFonts w:hint="eastAsia" w:ascii="仿宋_GB2312" w:eastAsia="仿宋_GB2312"/>
          <w:color w:val="auto"/>
          <w:sz w:val="32"/>
          <w:szCs w:val="32"/>
          <w:highlight w:val="none"/>
          <w:lang w:eastAsia="zh-CN"/>
        </w:rPr>
        <w:t>。但部分效益实现情况支撑材料略显不足，后续跟踪有待加强。</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四</w:t>
      </w:r>
      <w:r>
        <w:rPr>
          <w:rFonts w:hint="eastAsia" w:ascii="黑体" w:hAnsi="黑体" w:eastAsia="黑体"/>
          <w:color w:val="auto"/>
          <w:sz w:val="32"/>
          <w:szCs w:val="32"/>
          <w:highlight w:val="none"/>
        </w:rPr>
        <w:t>、存在的问题</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（一）项目预算调整幅度较大，绩效目标和指标设置不够完善。</w:t>
      </w:r>
    </w:p>
    <w:p>
      <w:pPr>
        <w:pStyle w:val="16"/>
        <w:spacing w:line="540" w:lineRule="exact"/>
        <w:ind w:firstLine="64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该项目年初预算金额200万元，追加预算176.3万元，预算调整幅度较大，主要原因为预算无具体计划工作内容。</w:t>
      </w:r>
    </w:p>
    <w:p>
      <w:pPr>
        <w:pStyle w:val="16"/>
        <w:spacing w:line="540" w:lineRule="exact"/>
        <w:ind w:left="0" w:leftChars="0" w:firstLine="0" w:firstLineChars="0"/>
        <w:rPr>
          <w:rFonts w:hint="eastAsia" w:ascii="楷体" w:hAnsi="楷体" w:eastAsia="楷体"/>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bidi="ar-SA"/>
        </w:rPr>
        <w:t>项目申报的绩效目标比较笼统，部分未设定具体绩效指标，未通过清晰、重要、可衡量的指标值予以体现。</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（二）项目管理制度和措施不够完备，质量验收考核工作有待加强。</w:t>
      </w:r>
    </w:p>
    <w:p>
      <w:pPr>
        <w:pStyle w:val="16"/>
        <w:spacing w:line="540" w:lineRule="exact"/>
        <w:ind w:firstLine="640"/>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未制定与专业服务相关办法制度，如：招投标制度、服务成果评价考核制度、合同管理制度等；未制定专项资金使用管理制度，制度建立的完备性不足。未对服务机构进行过程质量控制和评价报告考核验收。</w:t>
      </w:r>
    </w:p>
    <w:p>
      <w:pPr>
        <w:pStyle w:val="16"/>
        <w:numPr>
          <w:ilvl w:val="0"/>
          <w:numId w:val="0"/>
        </w:numPr>
        <w:spacing w:line="540" w:lineRule="exact"/>
        <w:ind w:left="630" w:leftChars="0"/>
        <w:rPr>
          <w:rFonts w:hint="default"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（三）项目服务费收费确定依据不充分。</w:t>
      </w:r>
    </w:p>
    <w:p>
      <w:pPr>
        <w:pStyle w:val="16"/>
        <w:spacing w:line="540" w:lineRule="exact"/>
        <w:ind w:firstLine="640"/>
        <w:rPr>
          <w:rFonts w:hint="default"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项目服务费收费确定依据不充分，如：项目聘请的山西天正会计师事务所（有限公司）收费标准为发行金额的0.15%，大华会计师事务所收费标准为每个项目5万元，收费标准不统一</w:t>
      </w:r>
      <w:bookmarkStart w:id="0" w:name="_GoBack"/>
      <w:bookmarkEnd w:id="0"/>
      <w:r>
        <w:rPr>
          <w:rFonts w:hint="eastAsia" w:ascii="仿宋_GB2312" w:hAnsi="仿宋_GB2312" w:eastAsia="仿宋_GB2312" w:cs="仿宋_GB2312"/>
          <w:color w:val="auto"/>
          <w:kern w:val="0"/>
          <w:sz w:val="32"/>
          <w:szCs w:val="32"/>
          <w:highlight w:val="none"/>
          <w:lang w:val="en-US" w:eastAsia="zh-CN" w:bidi="ar-SA"/>
        </w:rPr>
        <w:t>。</w:t>
      </w:r>
    </w:p>
    <w:p>
      <w:pPr>
        <w:pStyle w:val="16"/>
        <w:spacing w:line="540" w:lineRule="exact"/>
        <w:ind w:firstLine="64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五</w:t>
      </w:r>
      <w:r>
        <w:rPr>
          <w:rFonts w:hint="eastAsia" w:ascii="黑体" w:hAnsi="黑体" w:eastAsia="黑体"/>
          <w:color w:val="auto"/>
          <w:sz w:val="32"/>
          <w:szCs w:val="32"/>
          <w:highlight w:val="none"/>
        </w:rPr>
        <w:t>、相关建议</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（一）规范项目支出预算编制工作，科学设置项目绩效目标和指标。</w:t>
      </w:r>
    </w:p>
    <w:p>
      <w:pPr>
        <w:pStyle w:val="16"/>
        <w:spacing w:line="540" w:lineRule="exact"/>
        <w:ind w:firstLine="64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按照标准的预算框架体系，科学、合理确定项目支出预算数，做到预算编制精细化、科学化，同时加强监管，确保质量。项目实施单位应从管理、产出和效益等方面进行明确和具体量化项目绩效目标。应紧扣项目实施内容设定相应的数量指标、质量指标和效果指标，细化量化绩效指标，以全面反映项目实施绩效。</w:t>
      </w:r>
    </w:p>
    <w:p>
      <w:pPr>
        <w:pStyle w:val="16"/>
        <w:spacing w:line="540" w:lineRule="exact"/>
        <w:ind w:firstLine="640"/>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（二）完善项目管理制度和程序，强化项目质量考核验收工作。</w:t>
      </w:r>
    </w:p>
    <w:p>
      <w:pPr>
        <w:pStyle w:val="16"/>
        <w:keepNext w:val="0"/>
        <w:keepLines w:val="0"/>
        <w:pageBreakBefore w:val="0"/>
        <w:kinsoku/>
        <w:overflowPunct/>
        <w:topLinePunct w:val="0"/>
        <w:autoSpaceDE/>
        <w:autoSpaceDN/>
        <w:bidi w:val="0"/>
        <w:adjustRightInd/>
        <w:snapToGrid/>
        <w:spacing w:line="540" w:lineRule="exact"/>
        <w:ind w:firstLine="640"/>
        <w:textAlignment w:val="auto"/>
        <w:rPr>
          <w:rFonts w:hint="eastAsia" w:ascii="楷体" w:hAnsi="楷体" w:eastAsia="楷体"/>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bidi="ar-SA"/>
        </w:rPr>
        <w:t>项目实施单位要制定与专业服务相关的招投标、服务成果评价考核、合同管理等各项规章制度，规范资金使用管理。根据履行职责需要,依法依规加强全过程管理。应建立有效的管理和考核机制，细化具体管理要求和操作流程，提高财务评价报告等服务成果质量。</w:t>
      </w:r>
    </w:p>
    <w:p>
      <w:pPr>
        <w:pStyle w:val="16"/>
        <w:keepNext w:val="0"/>
        <w:keepLines w:val="0"/>
        <w:pageBreakBefore w:val="0"/>
        <w:kinsoku/>
        <w:overflowPunct/>
        <w:topLinePunct w:val="0"/>
        <w:autoSpaceDE/>
        <w:autoSpaceDN/>
        <w:bidi w:val="0"/>
        <w:adjustRightInd/>
        <w:snapToGrid/>
        <w:spacing w:line="540" w:lineRule="exact"/>
        <w:ind w:firstLine="640"/>
        <w:textAlignment w:val="auto"/>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（三）有效监控专业服务机构，合理确定项目服务费。</w:t>
      </w:r>
    </w:p>
    <w:p>
      <w:pPr>
        <w:pStyle w:val="16"/>
        <w:keepNext w:val="0"/>
        <w:keepLines w:val="0"/>
        <w:pageBreakBefore w:val="0"/>
        <w:widowControl w:val="0"/>
        <w:kinsoku/>
        <w:wordWrap/>
        <w:overflowPunct/>
        <w:topLinePunct w:val="0"/>
        <w:autoSpaceDE/>
        <w:autoSpaceDN/>
        <w:bidi w:val="0"/>
        <w:adjustRightInd/>
        <w:snapToGrid/>
        <w:spacing w:line="540" w:lineRule="exact"/>
        <w:ind w:firstLine="640"/>
        <w:textAlignment w:val="auto"/>
        <w:rPr>
          <w:rFonts w:hint="eastAsia" w:ascii="仿宋_GB2312" w:hAnsi="Calibri"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0"/>
          <w:sz w:val="32"/>
          <w:szCs w:val="32"/>
          <w:highlight w:val="none"/>
          <w:lang w:val="en-US" w:eastAsia="zh-CN" w:bidi="ar-SA"/>
        </w:rPr>
        <w:t>项目实施单位应对专业服务机构进行有效监控，严格要求财务评估</w:t>
      </w:r>
      <w:r>
        <w:rPr>
          <w:rFonts w:hint="default" w:ascii="仿宋_GB2312" w:hAnsi="仿宋_GB2312" w:eastAsia="仿宋_GB2312" w:cs="仿宋_GB2312"/>
          <w:color w:val="auto"/>
          <w:kern w:val="0"/>
          <w:sz w:val="32"/>
          <w:szCs w:val="32"/>
          <w:highlight w:val="none"/>
          <w:lang w:val="en-US" w:eastAsia="zh-CN" w:bidi="ar-SA"/>
        </w:rPr>
        <w:t>坚持客观公正、实事求是</w:t>
      </w:r>
      <w:r>
        <w:rPr>
          <w:rFonts w:hint="eastAsia" w:ascii="仿宋_GB2312" w:hAnsi="仿宋_GB2312" w:eastAsia="仿宋_GB2312" w:cs="仿宋_GB2312"/>
          <w:color w:val="auto"/>
          <w:kern w:val="0"/>
          <w:sz w:val="32"/>
          <w:szCs w:val="32"/>
          <w:highlight w:val="none"/>
          <w:lang w:val="en-US" w:eastAsia="zh-CN" w:bidi="ar-SA"/>
        </w:rPr>
        <w:t>的</w:t>
      </w:r>
      <w:r>
        <w:rPr>
          <w:rFonts w:hint="default" w:ascii="仿宋_GB2312" w:hAnsi="仿宋_GB2312" w:eastAsia="仿宋_GB2312" w:cs="仿宋_GB2312"/>
          <w:color w:val="auto"/>
          <w:kern w:val="0"/>
          <w:sz w:val="32"/>
          <w:szCs w:val="32"/>
          <w:highlight w:val="none"/>
          <w:lang w:val="en-US" w:eastAsia="zh-CN" w:bidi="ar-SA"/>
        </w:rPr>
        <w:t>原则，对项目的真实性、效益性、合法性进行评估，对项目收益预测及其依据的各项假设进行审核。</w:t>
      </w:r>
      <w:r>
        <w:rPr>
          <w:rFonts w:hint="eastAsia" w:ascii="仿宋_GB2312" w:hAnsi="仿宋_GB2312" w:eastAsia="仿宋_GB2312" w:cs="仿宋_GB2312"/>
          <w:color w:val="auto"/>
          <w:kern w:val="0"/>
          <w:sz w:val="32"/>
          <w:szCs w:val="32"/>
          <w:highlight w:val="none"/>
          <w:lang w:val="en-US" w:eastAsia="zh-CN" w:bidi="ar-SA"/>
        </w:rPr>
        <w:t>法律论证</w:t>
      </w:r>
      <w:r>
        <w:rPr>
          <w:rFonts w:hint="default" w:ascii="仿宋_GB2312" w:hAnsi="仿宋_GB2312" w:eastAsia="仿宋_GB2312" w:cs="仿宋_GB2312"/>
          <w:color w:val="auto"/>
          <w:kern w:val="0"/>
          <w:sz w:val="32"/>
          <w:szCs w:val="32"/>
          <w:highlight w:val="none"/>
          <w:lang w:val="en-US" w:eastAsia="zh-CN" w:bidi="ar-SA"/>
        </w:rPr>
        <w:t>根据项目收益专项债的特点，从主体合法性、项目合法性、募集资金用途合理性进行法律审核和风险控制。</w:t>
      </w:r>
      <w:r>
        <w:rPr>
          <w:rFonts w:hint="eastAsia" w:ascii="仿宋_GB2312" w:hAnsi="Calibri" w:eastAsia="仿宋_GB2312" w:cs="Times New Roman"/>
          <w:color w:val="auto"/>
          <w:kern w:val="2"/>
          <w:sz w:val="32"/>
          <w:szCs w:val="32"/>
          <w:lang w:val="en-US" w:eastAsia="zh-CN" w:bidi="ar-SA"/>
        </w:rPr>
        <w:t>项目实施单位应制定各专业服务管理办法，合理确定项目服务费收费依据。</w:t>
      </w:r>
    </w:p>
    <w:p>
      <w:pPr>
        <w:pStyle w:val="16"/>
        <w:keepNext w:val="0"/>
        <w:keepLines w:val="0"/>
        <w:pageBreakBefore w:val="0"/>
        <w:kinsoku/>
        <w:wordWrap/>
        <w:overflowPunct/>
        <w:topLinePunct w:val="0"/>
        <w:autoSpaceDE/>
        <w:autoSpaceDN/>
        <w:bidi w:val="0"/>
        <w:adjustRightInd/>
        <w:snapToGrid/>
        <w:spacing w:line="540" w:lineRule="exact"/>
        <w:ind w:left="0" w:leftChars="0" w:firstLine="640" w:firstLineChars="0"/>
        <w:jc w:val="left"/>
        <w:textAlignment w:val="auto"/>
        <w:rPr>
          <w:rFonts w:hint="eastAsia" w:ascii="楷体" w:hAnsi="楷体" w:eastAsia="楷体"/>
          <w:color w:val="auto"/>
          <w:sz w:val="32"/>
          <w:szCs w:val="32"/>
          <w:highlight w:val="none"/>
          <w:lang w:val="en-US" w:eastAsia="zh-CN"/>
        </w:rPr>
      </w:pPr>
      <w:r>
        <w:rPr>
          <w:rFonts w:hint="eastAsia" w:ascii="楷体" w:hAnsi="楷体" w:eastAsia="楷体"/>
          <w:color w:val="auto"/>
          <w:sz w:val="32"/>
          <w:szCs w:val="32"/>
          <w:highlight w:val="none"/>
          <w:lang w:val="en-US" w:eastAsia="zh-CN"/>
        </w:rPr>
        <w:t>（四）有效利用专业服务，提供增值服务。</w:t>
      </w:r>
    </w:p>
    <w:p>
      <w:pPr>
        <w:pStyle w:val="16"/>
        <w:keepNext w:val="0"/>
        <w:keepLines w:val="0"/>
        <w:pageBreakBefore w:val="0"/>
        <w:kinsoku/>
        <w:wordWrap/>
        <w:overflowPunct/>
        <w:topLinePunct w:val="0"/>
        <w:autoSpaceDE/>
        <w:autoSpaceDN/>
        <w:bidi w:val="0"/>
        <w:adjustRightInd/>
        <w:snapToGrid/>
        <w:spacing w:line="540" w:lineRule="exact"/>
        <w:ind w:left="0" w:leftChars="0" w:firstLine="640" w:firstLineChars="0"/>
        <w:jc w:val="left"/>
        <w:textAlignment w:val="auto"/>
        <w:rPr>
          <w:rFonts w:hint="default"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在提供财务评估报告的同时，依托自身的专业优势，为项目实施单位提供更多的增值服务，例如可基于资金平衡方案完善债券说明，针对项目的合并和分立情况提出合理建议，针对债券资金的使用提出科学的意见。</w:t>
      </w: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p>
    <w:p>
      <w:pPr>
        <w:pStyle w:val="16"/>
        <w:keepNext w:val="0"/>
        <w:keepLines w:val="0"/>
        <w:pageBreakBefore w:val="0"/>
        <w:kinsoku/>
        <w:wordWrap/>
        <w:overflowPunct/>
        <w:topLinePunct w:val="0"/>
        <w:autoSpaceDE/>
        <w:autoSpaceDN/>
        <w:bidi w:val="0"/>
        <w:adjustRightInd/>
        <w:snapToGrid/>
        <w:spacing w:line="540" w:lineRule="exact"/>
        <w:ind w:firstLine="4160" w:firstLineChars="1300"/>
        <w:textAlignment w:val="auto"/>
        <w:rPr>
          <w:rFonts w:hint="eastAsia"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山西汇华资产评估有限公司</w:t>
      </w:r>
    </w:p>
    <w:p>
      <w:pPr>
        <w:pStyle w:val="16"/>
        <w:keepNext w:val="0"/>
        <w:keepLines w:val="0"/>
        <w:pageBreakBefore w:val="0"/>
        <w:kinsoku/>
        <w:wordWrap/>
        <w:overflowPunct/>
        <w:topLinePunct w:val="0"/>
        <w:autoSpaceDE/>
        <w:autoSpaceDN/>
        <w:bidi w:val="0"/>
        <w:adjustRightInd/>
        <w:snapToGrid/>
        <w:spacing w:line="540" w:lineRule="exact"/>
        <w:ind w:firstLine="4800" w:firstLineChars="1500"/>
        <w:textAlignment w:val="auto"/>
        <w:rPr>
          <w:rFonts w:hint="default" w:ascii="仿宋_GB2312" w:hAnsi="Calibri" w:eastAsia="仿宋_GB2312" w:cs="Times New Roman"/>
          <w:color w:val="auto"/>
          <w:kern w:val="2"/>
          <w:sz w:val="32"/>
          <w:szCs w:val="32"/>
          <w:lang w:val="en-US" w:eastAsia="zh-CN" w:bidi="ar-SA"/>
        </w:rPr>
      </w:pPr>
      <w:r>
        <w:rPr>
          <w:rFonts w:hint="eastAsia" w:ascii="仿宋_GB2312" w:hAnsi="Calibri" w:eastAsia="仿宋_GB2312" w:cs="Times New Roman"/>
          <w:color w:val="auto"/>
          <w:kern w:val="2"/>
          <w:sz w:val="32"/>
          <w:szCs w:val="32"/>
          <w:lang w:val="en-US" w:eastAsia="zh-CN" w:bidi="ar-SA"/>
        </w:rPr>
        <w:t>2021年9月10日</w:t>
      </w:r>
    </w:p>
    <w:sectPr>
      <w:headerReference r:id="rId5" w:type="default"/>
      <w:footerReference r:id="rId6"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784FED-914B-4AED-A8ED-B2E9C61500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2" w:fontKey="{B5839D2A-FBBD-4FED-8A72-9403C84A4701}"/>
  </w:font>
  <w:font w:name="PMingLiU">
    <w:altName w:val="PMingLiU-ExtB"/>
    <w:panose1 w:val="02020500000000000000"/>
    <w:charset w:val="88"/>
    <w:family w:val="roman"/>
    <w:pitch w:val="default"/>
    <w:sig w:usb0="00000000" w:usb1="00000000" w:usb2="00000016" w:usb3="00000000" w:csb0="00100001" w:csb1="00000000"/>
  </w:font>
  <w:font w:name="楷体_GB2312">
    <w:altName w:val="楷体"/>
    <w:panose1 w:val="00000000000000000000"/>
    <w:charset w:val="00"/>
    <w:family w:val="auto"/>
    <w:pitch w:val="default"/>
    <w:sig w:usb0="00000000" w:usb1="00000000" w:usb2="00000000" w:usb3="00000000" w:csb0="00000000" w:csb1="00000000"/>
    <w:embedRegular r:id="rId3" w:fontKey="{10D5FAB6-E82F-49CA-8477-6D08D406D668}"/>
  </w:font>
  <w:font w:name="方正小标宋简体">
    <w:panose1 w:val="02010601030101010101"/>
    <w:charset w:val="86"/>
    <w:family w:val="auto"/>
    <w:pitch w:val="default"/>
    <w:sig w:usb0="00000000" w:usb1="00000000" w:usb2="00000000" w:usb3="00000000" w:csb0="00000000" w:csb1="00000000"/>
    <w:embedRegular r:id="rId4" w:fontKey="{6516B905-EA28-4FD3-90CF-FA0F495F3B54}"/>
  </w:font>
  <w:font w:name="仿宋_GB2312">
    <w:altName w:val="仿宋"/>
    <w:panose1 w:val="02010609030101010101"/>
    <w:charset w:val="86"/>
    <w:family w:val="modern"/>
    <w:pitch w:val="default"/>
    <w:sig w:usb0="00000000" w:usb1="00000000" w:usb2="00000000" w:usb3="00000000" w:csb0="00040000" w:csb1="00000000"/>
    <w:embedRegular r:id="rId5" w:fontKey="{3340EB24-7A4F-4F1A-B227-2FC17D1AFCA3}"/>
  </w:font>
  <w:font w:name="楷体">
    <w:panose1 w:val="02010609060101010101"/>
    <w:charset w:val="86"/>
    <w:family w:val="auto"/>
    <w:pitch w:val="default"/>
    <w:sig w:usb0="800002BF" w:usb1="38CF7CFA" w:usb2="00000016" w:usb3="00000000" w:csb0="00040001" w:csb1="00000000"/>
    <w:embedRegular r:id="rId6" w:fontKey="{0A598F00-E201-48F1-A0A3-89694173AF56}"/>
  </w:font>
  <w:font w:name="方正仿宋_GB2312">
    <w:panose1 w:val="02000000000000000000"/>
    <w:charset w:val="86"/>
    <w:family w:val="auto"/>
    <w:pitch w:val="default"/>
    <w:sig w:usb0="A00002BF" w:usb1="184F6CFA" w:usb2="00000012" w:usb3="00000000" w:csb0="00040001" w:csb1="00000000"/>
    <w:embedRegular r:id="rId7" w:fontKey="{5289C436-D364-485B-BDB9-8E93671937D2}"/>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6"/>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- 58 -</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- 58 -</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rPr>
        <w:rFonts w:hint="default" w:eastAsiaTheme="minorEastAsia"/>
        <w:lang w:val="en-US" w:eastAsia="zh-CN"/>
      </w:rPr>
    </w:pPr>
    <w:r>
      <w:rPr>
        <w:rFonts w:hint="eastAsia" w:ascii="仿宋_GB2312" w:hAnsi="仿宋_GB2312" w:eastAsia="仿宋_GB2312" w:cs="仿宋_GB2312"/>
        <w:lang w:val="en-US" w:eastAsia="zh-CN"/>
      </w:rPr>
      <w:t>阳泉市财政局2020年度地方政府专项债券服务费绩效评价报告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B32"/>
    <w:rsid w:val="00020CD2"/>
    <w:rsid w:val="00033F58"/>
    <w:rsid w:val="000469DE"/>
    <w:rsid w:val="00065B80"/>
    <w:rsid w:val="000E0AD0"/>
    <w:rsid w:val="00122101"/>
    <w:rsid w:val="00133FE2"/>
    <w:rsid w:val="001A468E"/>
    <w:rsid w:val="001B273C"/>
    <w:rsid w:val="001D7338"/>
    <w:rsid w:val="00241534"/>
    <w:rsid w:val="002A5243"/>
    <w:rsid w:val="002F2B60"/>
    <w:rsid w:val="003109D2"/>
    <w:rsid w:val="0035193F"/>
    <w:rsid w:val="00360956"/>
    <w:rsid w:val="00361F81"/>
    <w:rsid w:val="00362972"/>
    <w:rsid w:val="00365A74"/>
    <w:rsid w:val="003A0E95"/>
    <w:rsid w:val="003C27CD"/>
    <w:rsid w:val="003E6C53"/>
    <w:rsid w:val="004C4D8E"/>
    <w:rsid w:val="004E7E0C"/>
    <w:rsid w:val="005209C2"/>
    <w:rsid w:val="00543D73"/>
    <w:rsid w:val="00577A81"/>
    <w:rsid w:val="005D4614"/>
    <w:rsid w:val="006600E1"/>
    <w:rsid w:val="0067020D"/>
    <w:rsid w:val="006B069D"/>
    <w:rsid w:val="00771184"/>
    <w:rsid w:val="0079437C"/>
    <w:rsid w:val="007B1AF5"/>
    <w:rsid w:val="00810599"/>
    <w:rsid w:val="00816A53"/>
    <w:rsid w:val="00882D3F"/>
    <w:rsid w:val="00921996"/>
    <w:rsid w:val="00952133"/>
    <w:rsid w:val="00952FCB"/>
    <w:rsid w:val="009D7CA6"/>
    <w:rsid w:val="009E2D20"/>
    <w:rsid w:val="00A10B32"/>
    <w:rsid w:val="00A24671"/>
    <w:rsid w:val="00B00418"/>
    <w:rsid w:val="00BD5867"/>
    <w:rsid w:val="00C57B50"/>
    <w:rsid w:val="00CC20B4"/>
    <w:rsid w:val="00D077A7"/>
    <w:rsid w:val="00D36199"/>
    <w:rsid w:val="00D70EDB"/>
    <w:rsid w:val="00D7268F"/>
    <w:rsid w:val="00EF2CE1"/>
    <w:rsid w:val="01051DBA"/>
    <w:rsid w:val="01057B22"/>
    <w:rsid w:val="01156313"/>
    <w:rsid w:val="011F68BE"/>
    <w:rsid w:val="012303D8"/>
    <w:rsid w:val="01483F89"/>
    <w:rsid w:val="01973F25"/>
    <w:rsid w:val="01AA390F"/>
    <w:rsid w:val="01BC32E4"/>
    <w:rsid w:val="01C206A3"/>
    <w:rsid w:val="01CA4203"/>
    <w:rsid w:val="01CB5554"/>
    <w:rsid w:val="01DF77FB"/>
    <w:rsid w:val="01FA38FD"/>
    <w:rsid w:val="0221221E"/>
    <w:rsid w:val="023C4809"/>
    <w:rsid w:val="025D11D3"/>
    <w:rsid w:val="027253CF"/>
    <w:rsid w:val="02900A02"/>
    <w:rsid w:val="029A782D"/>
    <w:rsid w:val="02AB01D7"/>
    <w:rsid w:val="02B96174"/>
    <w:rsid w:val="02C145F5"/>
    <w:rsid w:val="02D36E3A"/>
    <w:rsid w:val="02DC3AB2"/>
    <w:rsid w:val="02F0181D"/>
    <w:rsid w:val="030B32F1"/>
    <w:rsid w:val="037C4607"/>
    <w:rsid w:val="037E509F"/>
    <w:rsid w:val="039C5248"/>
    <w:rsid w:val="03A05D18"/>
    <w:rsid w:val="03A14AA7"/>
    <w:rsid w:val="03B3570B"/>
    <w:rsid w:val="03BF7D1D"/>
    <w:rsid w:val="03C27065"/>
    <w:rsid w:val="040155A5"/>
    <w:rsid w:val="04043B3D"/>
    <w:rsid w:val="040A656E"/>
    <w:rsid w:val="040B202F"/>
    <w:rsid w:val="043C0DFB"/>
    <w:rsid w:val="043F7C34"/>
    <w:rsid w:val="04403168"/>
    <w:rsid w:val="044570EE"/>
    <w:rsid w:val="044D6566"/>
    <w:rsid w:val="045757B4"/>
    <w:rsid w:val="046252C7"/>
    <w:rsid w:val="047B6C8A"/>
    <w:rsid w:val="049D3BC3"/>
    <w:rsid w:val="04AA7316"/>
    <w:rsid w:val="04B9208A"/>
    <w:rsid w:val="04BE40C7"/>
    <w:rsid w:val="04E7634D"/>
    <w:rsid w:val="0506186F"/>
    <w:rsid w:val="05073B7A"/>
    <w:rsid w:val="0507650D"/>
    <w:rsid w:val="05176238"/>
    <w:rsid w:val="05466346"/>
    <w:rsid w:val="054E7DE2"/>
    <w:rsid w:val="05687ACB"/>
    <w:rsid w:val="056F7374"/>
    <w:rsid w:val="0587439D"/>
    <w:rsid w:val="058E3FAA"/>
    <w:rsid w:val="05A75796"/>
    <w:rsid w:val="06066023"/>
    <w:rsid w:val="06157E27"/>
    <w:rsid w:val="061A6465"/>
    <w:rsid w:val="062E3AAE"/>
    <w:rsid w:val="063B67A7"/>
    <w:rsid w:val="06C4602D"/>
    <w:rsid w:val="06C85A58"/>
    <w:rsid w:val="06DC3F02"/>
    <w:rsid w:val="06DE5381"/>
    <w:rsid w:val="06E8102C"/>
    <w:rsid w:val="07016A8B"/>
    <w:rsid w:val="070E6745"/>
    <w:rsid w:val="07125269"/>
    <w:rsid w:val="07197E1F"/>
    <w:rsid w:val="07271E6C"/>
    <w:rsid w:val="07324814"/>
    <w:rsid w:val="073B71ED"/>
    <w:rsid w:val="07491B86"/>
    <w:rsid w:val="07594E0F"/>
    <w:rsid w:val="0789382F"/>
    <w:rsid w:val="07925D68"/>
    <w:rsid w:val="07AE2647"/>
    <w:rsid w:val="07EA5F2C"/>
    <w:rsid w:val="07F7323F"/>
    <w:rsid w:val="08005A82"/>
    <w:rsid w:val="08454C09"/>
    <w:rsid w:val="085401B8"/>
    <w:rsid w:val="086134E3"/>
    <w:rsid w:val="08623FBC"/>
    <w:rsid w:val="086B7810"/>
    <w:rsid w:val="087216DF"/>
    <w:rsid w:val="08820ED1"/>
    <w:rsid w:val="08824252"/>
    <w:rsid w:val="08883CB2"/>
    <w:rsid w:val="089869BF"/>
    <w:rsid w:val="08AA72A6"/>
    <w:rsid w:val="08D018C3"/>
    <w:rsid w:val="08D471DE"/>
    <w:rsid w:val="08DE156F"/>
    <w:rsid w:val="08E607AA"/>
    <w:rsid w:val="091F28A2"/>
    <w:rsid w:val="092672E8"/>
    <w:rsid w:val="092B3069"/>
    <w:rsid w:val="09452B8B"/>
    <w:rsid w:val="094D455C"/>
    <w:rsid w:val="096F37D0"/>
    <w:rsid w:val="0975077C"/>
    <w:rsid w:val="09783684"/>
    <w:rsid w:val="09895A1C"/>
    <w:rsid w:val="09A323EF"/>
    <w:rsid w:val="09AA7A9F"/>
    <w:rsid w:val="09AE6C59"/>
    <w:rsid w:val="09B14A48"/>
    <w:rsid w:val="09C24DCD"/>
    <w:rsid w:val="09C533A0"/>
    <w:rsid w:val="09C71C2A"/>
    <w:rsid w:val="09CA7F2B"/>
    <w:rsid w:val="0A030329"/>
    <w:rsid w:val="0A2F7D07"/>
    <w:rsid w:val="0A3569E0"/>
    <w:rsid w:val="0A3C22BA"/>
    <w:rsid w:val="0A446B1E"/>
    <w:rsid w:val="0AA43A2F"/>
    <w:rsid w:val="0AAC0017"/>
    <w:rsid w:val="0AAE0D9B"/>
    <w:rsid w:val="0AEB68FC"/>
    <w:rsid w:val="0AED6DD5"/>
    <w:rsid w:val="0AF604B3"/>
    <w:rsid w:val="0B0117EF"/>
    <w:rsid w:val="0B082D48"/>
    <w:rsid w:val="0B2F71E3"/>
    <w:rsid w:val="0B39199F"/>
    <w:rsid w:val="0B462C6F"/>
    <w:rsid w:val="0B52114F"/>
    <w:rsid w:val="0B6F7E46"/>
    <w:rsid w:val="0B75075F"/>
    <w:rsid w:val="0B8C0962"/>
    <w:rsid w:val="0B92261A"/>
    <w:rsid w:val="0B9D075A"/>
    <w:rsid w:val="0BA7023E"/>
    <w:rsid w:val="0BAF072A"/>
    <w:rsid w:val="0BB63AB3"/>
    <w:rsid w:val="0BBC74A0"/>
    <w:rsid w:val="0BDF2702"/>
    <w:rsid w:val="0BE977F9"/>
    <w:rsid w:val="0C190AE5"/>
    <w:rsid w:val="0C192508"/>
    <w:rsid w:val="0C42104E"/>
    <w:rsid w:val="0C46226A"/>
    <w:rsid w:val="0C495B54"/>
    <w:rsid w:val="0C4F653E"/>
    <w:rsid w:val="0C557722"/>
    <w:rsid w:val="0C577624"/>
    <w:rsid w:val="0C5F2CDD"/>
    <w:rsid w:val="0C616F1A"/>
    <w:rsid w:val="0C726307"/>
    <w:rsid w:val="0C784DC6"/>
    <w:rsid w:val="0C8A0B78"/>
    <w:rsid w:val="0CA33185"/>
    <w:rsid w:val="0CA964EA"/>
    <w:rsid w:val="0CB27902"/>
    <w:rsid w:val="0CB619B6"/>
    <w:rsid w:val="0CBC1CAB"/>
    <w:rsid w:val="0CF101EE"/>
    <w:rsid w:val="0CF47C33"/>
    <w:rsid w:val="0D006CAC"/>
    <w:rsid w:val="0D0F6715"/>
    <w:rsid w:val="0D247DE5"/>
    <w:rsid w:val="0D2C1FF0"/>
    <w:rsid w:val="0D362DAD"/>
    <w:rsid w:val="0D37782F"/>
    <w:rsid w:val="0D3869CC"/>
    <w:rsid w:val="0D3E5DBB"/>
    <w:rsid w:val="0D5254FB"/>
    <w:rsid w:val="0D636C16"/>
    <w:rsid w:val="0D68589E"/>
    <w:rsid w:val="0D6A43E5"/>
    <w:rsid w:val="0D860EBD"/>
    <w:rsid w:val="0DA37489"/>
    <w:rsid w:val="0DAD3BC8"/>
    <w:rsid w:val="0DC8598F"/>
    <w:rsid w:val="0DCE3DCC"/>
    <w:rsid w:val="0DD737F0"/>
    <w:rsid w:val="0DD96752"/>
    <w:rsid w:val="0DDF2A99"/>
    <w:rsid w:val="0DE5364F"/>
    <w:rsid w:val="0DE60D3F"/>
    <w:rsid w:val="0DEF0CB7"/>
    <w:rsid w:val="0E0307FE"/>
    <w:rsid w:val="0E0D4479"/>
    <w:rsid w:val="0E2E1DC9"/>
    <w:rsid w:val="0E30111D"/>
    <w:rsid w:val="0E490680"/>
    <w:rsid w:val="0E64525B"/>
    <w:rsid w:val="0E6A5BB3"/>
    <w:rsid w:val="0E89651A"/>
    <w:rsid w:val="0E9C3417"/>
    <w:rsid w:val="0EA84CBF"/>
    <w:rsid w:val="0EAB496B"/>
    <w:rsid w:val="0EAD03A2"/>
    <w:rsid w:val="0EAD7F98"/>
    <w:rsid w:val="0EEE545C"/>
    <w:rsid w:val="0F1B4DE6"/>
    <w:rsid w:val="0F5B0BB1"/>
    <w:rsid w:val="0F6527BB"/>
    <w:rsid w:val="0F6936BA"/>
    <w:rsid w:val="0F8617EE"/>
    <w:rsid w:val="0F894898"/>
    <w:rsid w:val="0F9F2BD4"/>
    <w:rsid w:val="0F9F3A15"/>
    <w:rsid w:val="0FA65B14"/>
    <w:rsid w:val="0FD60B3E"/>
    <w:rsid w:val="0FDA7406"/>
    <w:rsid w:val="0FE0439E"/>
    <w:rsid w:val="0FE34CA7"/>
    <w:rsid w:val="0FE756B2"/>
    <w:rsid w:val="0FF628AD"/>
    <w:rsid w:val="10090FAE"/>
    <w:rsid w:val="100B7E8F"/>
    <w:rsid w:val="101346F8"/>
    <w:rsid w:val="10250ED4"/>
    <w:rsid w:val="1036607C"/>
    <w:rsid w:val="10414CA4"/>
    <w:rsid w:val="104B0301"/>
    <w:rsid w:val="104E461A"/>
    <w:rsid w:val="10742458"/>
    <w:rsid w:val="107D2FFE"/>
    <w:rsid w:val="1092764F"/>
    <w:rsid w:val="109A56E2"/>
    <w:rsid w:val="10B36596"/>
    <w:rsid w:val="10C835A3"/>
    <w:rsid w:val="10D066FB"/>
    <w:rsid w:val="10FA0EBC"/>
    <w:rsid w:val="11161BA7"/>
    <w:rsid w:val="111E5283"/>
    <w:rsid w:val="113D1F5E"/>
    <w:rsid w:val="114D4516"/>
    <w:rsid w:val="1179588F"/>
    <w:rsid w:val="118D7AEF"/>
    <w:rsid w:val="119771EE"/>
    <w:rsid w:val="119B23A3"/>
    <w:rsid w:val="11D1757A"/>
    <w:rsid w:val="11D65DEF"/>
    <w:rsid w:val="11F8059C"/>
    <w:rsid w:val="120D1158"/>
    <w:rsid w:val="121D135D"/>
    <w:rsid w:val="12336A50"/>
    <w:rsid w:val="123C69DB"/>
    <w:rsid w:val="124469D0"/>
    <w:rsid w:val="12760A64"/>
    <w:rsid w:val="12782D7D"/>
    <w:rsid w:val="128969C9"/>
    <w:rsid w:val="129508E2"/>
    <w:rsid w:val="129666E8"/>
    <w:rsid w:val="129C1535"/>
    <w:rsid w:val="12A20CB7"/>
    <w:rsid w:val="12A2393B"/>
    <w:rsid w:val="12DD5D96"/>
    <w:rsid w:val="13047B02"/>
    <w:rsid w:val="1316438E"/>
    <w:rsid w:val="132629DB"/>
    <w:rsid w:val="132B618A"/>
    <w:rsid w:val="132F05DE"/>
    <w:rsid w:val="133C386F"/>
    <w:rsid w:val="133E6582"/>
    <w:rsid w:val="13463915"/>
    <w:rsid w:val="135A4E7B"/>
    <w:rsid w:val="135C52A0"/>
    <w:rsid w:val="13697D30"/>
    <w:rsid w:val="1395013A"/>
    <w:rsid w:val="13A62AA3"/>
    <w:rsid w:val="13C677A8"/>
    <w:rsid w:val="13D261E2"/>
    <w:rsid w:val="13D70373"/>
    <w:rsid w:val="13DE3360"/>
    <w:rsid w:val="13E1160B"/>
    <w:rsid w:val="13F10DA9"/>
    <w:rsid w:val="13F12100"/>
    <w:rsid w:val="13F67AD4"/>
    <w:rsid w:val="14090D5A"/>
    <w:rsid w:val="140D74FC"/>
    <w:rsid w:val="140F29E5"/>
    <w:rsid w:val="14115159"/>
    <w:rsid w:val="142D573B"/>
    <w:rsid w:val="14556553"/>
    <w:rsid w:val="14630282"/>
    <w:rsid w:val="146C19EF"/>
    <w:rsid w:val="1489475A"/>
    <w:rsid w:val="148A1C56"/>
    <w:rsid w:val="14AB05DA"/>
    <w:rsid w:val="14B64CEA"/>
    <w:rsid w:val="14B97106"/>
    <w:rsid w:val="14DA73A4"/>
    <w:rsid w:val="14F63B93"/>
    <w:rsid w:val="1502223B"/>
    <w:rsid w:val="15040BCB"/>
    <w:rsid w:val="1508609F"/>
    <w:rsid w:val="15211678"/>
    <w:rsid w:val="152C19D7"/>
    <w:rsid w:val="152F41C9"/>
    <w:rsid w:val="15753EFF"/>
    <w:rsid w:val="158B5C87"/>
    <w:rsid w:val="159D125F"/>
    <w:rsid w:val="15B05AF2"/>
    <w:rsid w:val="15B24A7C"/>
    <w:rsid w:val="15BF4FE5"/>
    <w:rsid w:val="15EA2520"/>
    <w:rsid w:val="15EF72BE"/>
    <w:rsid w:val="16026914"/>
    <w:rsid w:val="16390508"/>
    <w:rsid w:val="163F32F9"/>
    <w:rsid w:val="16771886"/>
    <w:rsid w:val="167A0D9B"/>
    <w:rsid w:val="16872AB0"/>
    <w:rsid w:val="16A40C21"/>
    <w:rsid w:val="16B745EE"/>
    <w:rsid w:val="16BC356B"/>
    <w:rsid w:val="16C17134"/>
    <w:rsid w:val="16C207D0"/>
    <w:rsid w:val="16DC57D5"/>
    <w:rsid w:val="16E320F4"/>
    <w:rsid w:val="16EE2BD0"/>
    <w:rsid w:val="16F129C2"/>
    <w:rsid w:val="16FD4F56"/>
    <w:rsid w:val="17034C61"/>
    <w:rsid w:val="17082A43"/>
    <w:rsid w:val="171078A5"/>
    <w:rsid w:val="17192273"/>
    <w:rsid w:val="173066F3"/>
    <w:rsid w:val="17355F7A"/>
    <w:rsid w:val="173D16C7"/>
    <w:rsid w:val="174552BC"/>
    <w:rsid w:val="17521F3F"/>
    <w:rsid w:val="175421C5"/>
    <w:rsid w:val="17665C82"/>
    <w:rsid w:val="177377BF"/>
    <w:rsid w:val="1794089D"/>
    <w:rsid w:val="17A25827"/>
    <w:rsid w:val="17A64FFD"/>
    <w:rsid w:val="17AC6BE2"/>
    <w:rsid w:val="17AD0654"/>
    <w:rsid w:val="17BA7ADD"/>
    <w:rsid w:val="17C05342"/>
    <w:rsid w:val="17FF06F0"/>
    <w:rsid w:val="180322D6"/>
    <w:rsid w:val="18070BA6"/>
    <w:rsid w:val="180C33CE"/>
    <w:rsid w:val="18226B0C"/>
    <w:rsid w:val="182B16CE"/>
    <w:rsid w:val="18345439"/>
    <w:rsid w:val="184A6218"/>
    <w:rsid w:val="184D2C56"/>
    <w:rsid w:val="18601267"/>
    <w:rsid w:val="1860169D"/>
    <w:rsid w:val="186B5864"/>
    <w:rsid w:val="187653D4"/>
    <w:rsid w:val="187A6C88"/>
    <w:rsid w:val="18982A82"/>
    <w:rsid w:val="18E1583E"/>
    <w:rsid w:val="18EB15DA"/>
    <w:rsid w:val="18F7515A"/>
    <w:rsid w:val="192F7EC1"/>
    <w:rsid w:val="19336E44"/>
    <w:rsid w:val="19433038"/>
    <w:rsid w:val="195A12E4"/>
    <w:rsid w:val="197E3E69"/>
    <w:rsid w:val="198C794C"/>
    <w:rsid w:val="199269DA"/>
    <w:rsid w:val="199D32D1"/>
    <w:rsid w:val="19A005D9"/>
    <w:rsid w:val="19BB694B"/>
    <w:rsid w:val="19BF0422"/>
    <w:rsid w:val="19CB1402"/>
    <w:rsid w:val="19E66A2C"/>
    <w:rsid w:val="19EE746F"/>
    <w:rsid w:val="1A0206F9"/>
    <w:rsid w:val="1A025B5A"/>
    <w:rsid w:val="1A3B4E2D"/>
    <w:rsid w:val="1A472550"/>
    <w:rsid w:val="1A4C647B"/>
    <w:rsid w:val="1A5106A6"/>
    <w:rsid w:val="1A543E92"/>
    <w:rsid w:val="1A5D4116"/>
    <w:rsid w:val="1A662A99"/>
    <w:rsid w:val="1A702194"/>
    <w:rsid w:val="1A721A46"/>
    <w:rsid w:val="1A874C7B"/>
    <w:rsid w:val="1AA012D0"/>
    <w:rsid w:val="1AA37124"/>
    <w:rsid w:val="1AB0523D"/>
    <w:rsid w:val="1AB243DA"/>
    <w:rsid w:val="1AC83F09"/>
    <w:rsid w:val="1AE97CFF"/>
    <w:rsid w:val="1AF00428"/>
    <w:rsid w:val="1AF94D5F"/>
    <w:rsid w:val="1B111C71"/>
    <w:rsid w:val="1B120E18"/>
    <w:rsid w:val="1B2B647B"/>
    <w:rsid w:val="1B347D8E"/>
    <w:rsid w:val="1B3B318F"/>
    <w:rsid w:val="1B4E6396"/>
    <w:rsid w:val="1B527EB2"/>
    <w:rsid w:val="1B530DE1"/>
    <w:rsid w:val="1B6805EF"/>
    <w:rsid w:val="1B790852"/>
    <w:rsid w:val="1B79510F"/>
    <w:rsid w:val="1BA33814"/>
    <w:rsid w:val="1BD05BB8"/>
    <w:rsid w:val="1BD84568"/>
    <w:rsid w:val="1BE6203C"/>
    <w:rsid w:val="1BE65EC5"/>
    <w:rsid w:val="1BE80482"/>
    <w:rsid w:val="1BFC760E"/>
    <w:rsid w:val="1C0A0E67"/>
    <w:rsid w:val="1C106F4D"/>
    <w:rsid w:val="1C184DAE"/>
    <w:rsid w:val="1C187829"/>
    <w:rsid w:val="1C29690E"/>
    <w:rsid w:val="1C4C69B0"/>
    <w:rsid w:val="1C622186"/>
    <w:rsid w:val="1C686817"/>
    <w:rsid w:val="1C6A2CC6"/>
    <w:rsid w:val="1C804405"/>
    <w:rsid w:val="1C860BFF"/>
    <w:rsid w:val="1C88437A"/>
    <w:rsid w:val="1CA03411"/>
    <w:rsid w:val="1CC17AE6"/>
    <w:rsid w:val="1CCA0D7D"/>
    <w:rsid w:val="1CDF1F6D"/>
    <w:rsid w:val="1CE7228A"/>
    <w:rsid w:val="1CF941D7"/>
    <w:rsid w:val="1CFB17F4"/>
    <w:rsid w:val="1D046A05"/>
    <w:rsid w:val="1D073A2E"/>
    <w:rsid w:val="1D093944"/>
    <w:rsid w:val="1D134460"/>
    <w:rsid w:val="1D173C6B"/>
    <w:rsid w:val="1D3B1B83"/>
    <w:rsid w:val="1D3E487E"/>
    <w:rsid w:val="1D491214"/>
    <w:rsid w:val="1D4E434B"/>
    <w:rsid w:val="1D707416"/>
    <w:rsid w:val="1D9353E8"/>
    <w:rsid w:val="1DB11346"/>
    <w:rsid w:val="1DB56D54"/>
    <w:rsid w:val="1DBD248E"/>
    <w:rsid w:val="1DCF5C48"/>
    <w:rsid w:val="1DD70F9A"/>
    <w:rsid w:val="1DDD4663"/>
    <w:rsid w:val="1DE83E56"/>
    <w:rsid w:val="1DEE05B5"/>
    <w:rsid w:val="1DFA7821"/>
    <w:rsid w:val="1DFB3AD0"/>
    <w:rsid w:val="1E032760"/>
    <w:rsid w:val="1E0702E1"/>
    <w:rsid w:val="1E1626AB"/>
    <w:rsid w:val="1E2403E7"/>
    <w:rsid w:val="1E3315BD"/>
    <w:rsid w:val="1E3F59BA"/>
    <w:rsid w:val="1E5A7B27"/>
    <w:rsid w:val="1E7B69FF"/>
    <w:rsid w:val="1E7E1F44"/>
    <w:rsid w:val="1E83636A"/>
    <w:rsid w:val="1E902B8B"/>
    <w:rsid w:val="1E954601"/>
    <w:rsid w:val="1E9D7C86"/>
    <w:rsid w:val="1EA12C7F"/>
    <w:rsid w:val="1EA81FEE"/>
    <w:rsid w:val="1EB4375B"/>
    <w:rsid w:val="1EB92EE3"/>
    <w:rsid w:val="1EBC0245"/>
    <w:rsid w:val="1EBC0AB5"/>
    <w:rsid w:val="1EDE35DD"/>
    <w:rsid w:val="1EE96D87"/>
    <w:rsid w:val="1EEB0725"/>
    <w:rsid w:val="1EEF236B"/>
    <w:rsid w:val="1F03452E"/>
    <w:rsid w:val="1F0D13B0"/>
    <w:rsid w:val="1F905A18"/>
    <w:rsid w:val="1F91290E"/>
    <w:rsid w:val="1FAF3E43"/>
    <w:rsid w:val="1FB07CC8"/>
    <w:rsid w:val="20207EBC"/>
    <w:rsid w:val="204902EA"/>
    <w:rsid w:val="20542634"/>
    <w:rsid w:val="205A2A87"/>
    <w:rsid w:val="206F6369"/>
    <w:rsid w:val="20811EE6"/>
    <w:rsid w:val="20B5350D"/>
    <w:rsid w:val="20B940F0"/>
    <w:rsid w:val="20CA0BCB"/>
    <w:rsid w:val="20F01BD5"/>
    <w:rsid w:val="20F26409"/>
    <w:rsid w:val="2104121B"/>
    <w:rsid w:val="21174D25"/>
    <w:rsid w:val="211A30CD"/>
    <w:rsid w:val="211D5D8A"/>
    <w:rsid w:val="212D4869"/>
    <w:rsid w:val="212F3D75"/>
    <w:rsid w:val="2131589F"/>
    <w:rsid w:val="213A5886"/>
    <w:rsid w:val="21405188"/>
    <w:rsid w:val="21584721"/>
    <w:rsid w:val="21B02B63"/>
    <w:rsid w:val="21C20FC6"/>
    <w:rsid w:val="21D742C1"/>
    <w:rsid w:val="21E05DC8"/>
    <w:rsid w:val="21E9116C"/>
    <w:rsid w:val="21EE095A"/>
    <w:rsid w:val="21FE0753"/>
    <w:rsid w:val="220327DC"/>
    <w:rsid w:val="22070692"/>
    <w:rsid w:val="220759BA"/>
    <w:rsid w:val="22096781"/>
    <w:rsid w:val="220E6DF5"/>
    <w:rsid w:val="223163D1"/>
    <w:rsid w:val="224414AD"/>
    <w:rsid w:val="22444C75"/>
    <w:rsid w:val="22462D45"/>
    <w:rsid w:val="225027C4"/>
    <w:rsid w:val="225E6A8A"/>
    <w:rsid w:val="2281469C"/>
    <w:rsid w:val="22814820"/>
    <w:rsid w:val="22852811"/>
    <w:rsid w:val="229727A1"/>
    <w:rsid w:val="22A81BDD"/>
    <w:rsid w:val="22C059EF"/>
    <w:rsid w:val="22CA512B"/>
    <w:rsid w:val="23163EED"/>
    <w:rsid w:val="2318405F"/>
    <w:rsid w:val="23207922"/>
    <w:rsid w:val="233119CD"/>
    <w:rsid w:val="233F7AD2"/>
    <w:rsid w:val="23456572"/>
    <w:rsid w:val="235B4C59"/>
    <w:rsid w:val="236A50C4"/>
    <w:rsid w:val="23850E4A"/>
    <w:rsid w:val="239C0D6C"/>
    <w:rsid w:val="239C2AE2"/>
    <w:rsid w:val="239D41A3"/>
    <w:rsid w:val="23B522BA"/>
    <w:rsid w:val="23B64F7C"/>
    <w:rsid w:val="23E731CB"/>
    <w:rsid w:val="23F2053E"/>
    <w:rsid w:val="24052D4D"/>
    <w:rsid w:val="2423018B"/>
    <w:rsid w:val="242C60FD"/>
    <w:rsid w:val="245C5AE5"/>
    <w:rsid w:val="245E1FD7"/>
    <w:rsid w:val="246B1006"/>
    <w:rsid w:val="247B6F04"/>
    <w:rsid w:val="247C1EA6"/>
    <w:rsid w:val="248A2139"/>
    <w:rsid w:val="24937403"/>
    <w:rsid w:val="24A449BE"/>
    <w:rsid w:val="24C002C3"/>
    <w:rsid w:val="24D2550D"/>
    <w:rsid w:val="24D454FE"/>
    <w:rsid w:val="24E26B9D"/>
    <w:rsid w:val="24F51656"/>
    <w:rsid w:val="24F53CA7"/>
    <w:rsid w:val="24FF7A45"/>
    <w:rsid w:val="25152217"/>
    <w:rsid w:val="2530794B"/>
    <w:rsid w:val="253121F9"/>
    <w:rsid w:val="254559BE"/>
    <w:rsid w:val="25556B53"/>
    <w:rsid w:val="256475B1"/>
    <w:rsid w:val="256D6F7A"/>
    <w:rsid w:val="2578035E"/>
    <w:rsid w:val="258329CF"/>
    <w:rsid w:val="25857F8E"/>
    <w:rsid w:val="25AF6907"/>
    <w:rsid w:val="25B605DC"/>
    <w:rsid w:val="25BF692E"/>
    <w:rsid w:val="25D84510"/>
    <w:rsid w:val="25DA475C"/>
    <w:rsid w:val="25DC33B5"/>
    <w:rsid w:val="25E35391"/>
    <w:rsid w:val="2616693C"/>
    <w:rsid w:val="261F7B71"/>
    <w:rsid w:val="26283EB6"/>
    <w:rsid w:val="263E7063"/>
    <w:rsid w:val="263F0E04"/>
    <w:rsid w:val="264B4F8F"/>
    <w:rsid w:val="264B6742"/>
    <w:rsid w:val="26556D32"/>
    <w:rsid w:val="265F21DD"/>
    <w:rsid w:val="26740B7A"/>
    <w:rsid w:val="267460F7"/>
    <w:rsid w:val="26887F14"/>
    <w:rsid w:val="269C51AE"/>
    <w:rsid w:val="26BD1081"/>
    <w:rsid w:val="26C975B6"/>
    <w:rsid w:val="26E54B55"/>
    <w:rsid w:val="26E55E37"/>
    <w:rsid w:val="26E71741"/>
    <w:rsid w:val="26EE0042"/>
    <w:rsid w:val="26FC0AC7"/>
    <w:rsid w:val="26FC0E77"/>
    <w:rsid w:val="270235E0"/>
    <w:rsid w:val="270C06FB"/>
    <w:rsid w:val="2737044C"/>
    <w:rsid w:val="27484776"/>
    <w:rsid w:val="276C435C"/>
    <w:rsid w:val="27811C04"/>
    <w:rsid w:val="27816243"/>
    <w:rsid w:val="27827F03"/>
    <w:rsid w:val="27A6491A"/>
    <w:rsid w:val="27C71400"/>
    <w:rsid w:val="27CB1CF0"/>
    <w:rsid w:val="27E875C5"/>
    <w:rsid w:val="27EA47F3"/>
    <w:rsid w:val="27EC1FC0"/>
    <w:rsid w:val="27EC25CE"/>
    <w:rsid w:val="27F37319"/>
    <w:rsid w:val="280950F7"/>
    <w:rsid w:val="28231AC3"/>
    <w:rsid w:val="282C32DC"/>
    <w:rsid w:val="282D0EC7"/>
    <w:rsid w:val="282D1DCB"/>
    <w:rsid w:val="282D6045"/>
    <w:rsid w:val="28344606"/>
    <w:rsid w:val="28344F98"/>
    <w:rsid w:val="28530E58"/>
    <w:rsid w:val="288D41B3"/>
    <w:rsid w:val="28C72D72"/>
    <w:rsid w:val="28D96B87"/>
    <w:rsid w:val="28E91140"/>
    <w:rsid w:val="28EB1125"/>
    <w:rsid w:val="28F93264"/>
    <w:rsid w:val="29021571"/>
    <w:rsid w:val="290A50B2"/>
    <w:rsid w:val="291E7E3C"/>
    <w:rsid w:val="292252F9"/>
    <w:rsid w:val="292459E9"/>
    <w:rsid w:val="292F63C9"/>
    <w:rsid w:val="297D7678"/>
    <w:rsid w:val="29860CD3"/>
    <w:rsid w:val="29C62779"/>
    <w:rsid w:val="29C95B98"/>
    <w:rsid w:val="29D200BB"/>
    <w:rsid w:val="29DF0B0C"/>
    <w:rsid w:val="2A111337"/>
    <w:rsid w:val="2A1439E1"/>
    <w:rsid w:val="2A167DB7"/>
    <w:rsid w:val="2A185414"/>
    <w:rsid w:val="2A1E79B5"/>
    <w:rsid w:val="2A3E48CD"/>
    <w:rsid w:val="2A487E55"/>
    <w:rsid w:val="2A4D2B7B"/>
    <w:rsid w:val="2A585A74"/>
    <w:rsid w:val="2A7C2F28"/>
    <w:rsid w:val="2A7E3590"/>
    <w:rsid w:val="2A8D7D8D"/>
    <w:rsid w:val="2A9157C4"/>
    <w:rsid w:val="2AAA694E"/>
    <w:rsid w:val="2AB563FB"/>
    <w:rsid w:val="2AB902A3"/>
    <w:rsid w:val="2AC44D2B"/>
    <w:rsid w:val="2AC81ED8"/>
    <w:rsid w:val="2ACC7419"/>
    <w:rsid w:val="2B022910"/>
    <w:rsid w:val="2B04604D"/>
    <w:rsid w:val="2B091D64"/>
    <w:rsid w:val="2B160170"/>
    <w:rsid w:val="2B1E6CAE"/>
    <w:rsid w:val="2B3B59C8"/>
    <w:rsid w:val="2B4800CE"/>
    <w:rsid w:val="2B483616"/>
    <w:rsid w:val="2B5A6F44"/>
    <w:rsid w:val="2B5E0D5F"/>
    <w:rsid w:val="2B783737"/>
    <w:rsid w:val="2B7E766B"/>
    <w:rsid w:val="2B896B70"/>
    <w:rsid w:val="2B8E0E56"/>
    <w:rsid w:val="2B985AB4"/>
    <w:rsid w:val="2BA27082"/>
    <w:rsid w:val="2BD41214"/>
    <w:rsid w:val="2BE36723"/>
    <w:rsid w:val="2C045D98"/>
    <w:rsid w:val="2C1504C6"/>
    <w:rsid w:val="2C275CFA"/>
    <w:rsid w:val="2C5F5B07"/>
    <w:rsid w:val="2C681CD2"/>
    <w:rsid w:val="2C7F60F9"/>
    <w:rsid w:val="2CA11BE0"/>
    <w:rsid w:val="2CBA3E37"/>
    <w:rsid w:val="2CC21105"/>
    <w:rsid w:val="2CE474D7"/>
    <w:rsid w:val="2CE94FBC"/>
    <w:rsid w:val="2D025803"/>
    <w:rsid w:val="2D284BEB"/>
    <w:rsid w:val="2D2B442F"/>
    <w:rsid w:val="2D2D022B"/>
    <w:rsid w:val="2D2F6CCF"/>
    <w:rsid w:val="2D4E0040"/>
    <w:rsid w:val="2D6525D5"/>
    <w:rsid w:val="2D66081A"/>
    <w:rsid w:val="2D7F3726"/>
    <w:rsid w:val="2DA66200"/>
    <w:rsid w:val="2DDD0DB9"/>
    <w:rsid w:val="2E125916"/>
    <w:rsid w:val="2E1D4C63"/>
    <w:rsid w:val="2E27720A"/>
    <w:rsid w:val="2E2F031B"/>
    <w:rsid w:val="2E4B68C0"/>
    <w:rsid w:val="2E6C2BC2"/>
    <w:rsid w:val="2EBE520A"/>
    <w:rsid w:val="2ED94334"/>
    <w:rsid w:val="2EDA089A"/>
    <w:rsid w:val="2EDC5E28"/>
    <w:rsid w:val="2EE618E9"/>
    <w:rsid w:val="2EEA3D6C"/>
    <w:rsid w:val="2EF66382"/>
    <w:rsid w:val="2EFA57DB"/>
    <w:rsid w:val="2F2740C2"/>
    <w:rsid w:val="2F672F55"/>
    <w:rsid w:val="2F6F6328"/>
    <w:rsid w:val="2F7877B0"/>
    <w:rsid w:val="2F870AFE"/>
    <w:rsid w:val="2F9860F8"/>
    <w:rsid w:val="2FAF120F"/>
    <w:rsid w:val="2FE04D6C"/>
    <w:rsid w:val="2FF5080B"/>
    <w:rsid w:val="2FFA1A9C"/>
    <w:rsid w:val="2FFE2F47"/>
    <w:rsid w:val="30171B4A"/>
    <w:rsid w:val="301904AF"/>
    <w:rsid w:val="301A44F2"/>
    <w:rsid w:val="30433968"/>
    <w:rsid w:val="30630629"/>
    <w:rsid w:val="306460D1"/>
    <w:rsid w:val="306D1EA0"/>
    <w:rsid w:val="308B5453"/>
    <w:rsid w:val="30B34BC2"/>
    <w:rsid w:val="30CF77F8"/>
    <w:rsid w:val="30D17A0B"/>
    <w:rsid w:val="30DA6A91"/>
    <w:rsid w:val="30E97B93"/>
    <w:rsid w:val="310B645F"/>
    <w:rsid w:val="31227F8D"/>
    <w:rsid w:val="31241059"/>
    <w:rsid w:val="31362856"/>
    <w:rsid w:val="31374329"/>
    <w:rsid w:val="313C0400"/>
    <w:rsid w:val="3173535F"/>
    <w:rsid w:val="31916E7C"/>
    <w:rsid w:val="31947882"/>
    <w:rsid w:val="31A520BA"/>
    <w:rsid w:val="31A81F22"/>
    <w:rsid w:val="31B10CDE"/>
    <w:rsid w:val="31B51170"/>
    <w:rsid w:val="31C23A0E"/>
    <w:rsid w:val="31DA235D"/>
    <w:rsid w:val="31E55F25"/>
    <w:rsid w:val="32166D04"/>
    <w:rsid w:val="322314DE"/>
    <w:rsid w:val="32395584"/>
    <w:rsid w:val="32544E88"/>
    <w:rsid w:val="32713541"/>
    <w:rsid w:val="32753604"/>
    <w:rsid w:val="32776575"/>
    <w:rsid w:val="3279219A"/>
    <w:rsid w:val="327B1783"/>
    <w:rsid w:val="329034F9"/>
    <w:rsid w:val="32951A3A"/>
    <w:rsid w:val="329F0A5E"/>
    <w:rsid w:val="32E43EA4"/>
    <w:rsid w:val="32EC42E2"/>
    <w:rsid w:val="32ED3C6F"/>
    <w:rsid w:val="33133E38"/>
    <w:rsid w:val="332778D5"/>
    <w:rsid w:val="3332208E"/>
    <w:rsid w:val="333645BA"/>
    <w:rsid w:val="334075CC"/>
    <w:rsid w:val="334C615A"/>
    <w:rsid w:val="33525B89"/>
    <w:rsid w:val="335C13AA"/>
    <w:rsid w:val="33671533"/>
    <w:rsid w:val="336D3B03"/>
    <w:rsid w:val="33760C6B"/>
    <w:rsid w:val="33824BEF"/>
    <w:rsid w:val="338F6500"/>
    <w:rsid w:val="33AA4FAD"/>
    <w:rsid w:val="33B135C7"/>
    <w:rsid w:val="33B25797"/>
    <w:rsid w:val="33E23776"/>
    <w:rsid w:val="340243C2"/>
    <w:rsid w:val="3405313B"/>
    <w:rsid w:val="34174A9D"/>
    <w:rsid w:val="341A4823"/>
    <w:rsid w:val="344021A0"/>
    <w:rsid w:val="344225D4"/>
    <w:rsid w:val="344C4087"/>
    <w:rsid w:val="34562BB1"/>
    <w:rsid w:val="345C7F17"/>
    <w:rsid w:val="34711027"/>
    <w:rsid w:val="347443F4"/>
    <w:rsid w:val="34793BBF"/>
    <w:rsid w:val="3486231F"/>
    <w:rsid w:val="34A97B14"/>
    <w:rsid w:val="34C06DAC"/>
    <w:rsid w:val="34C31F1A"/>
    <w:rsid w:val="350E0B2C"/>
    <w:rsid w:val="350E4000"/>
    <w:rsid w:val="35346908"/>
    <w:rsid w:val="353A55F5"/>
    <w:rsid w:val="3548006D"/>
    <w:rsid w:val="35810F8A"/>
    <w:rsid w:val="3584365A"/>
    <w:rsid w:val="359A70ED"/>
    <w:rsid w:val="35AA5B78"/>
    <w:rsid w:val="35B50719"/>
    <w:rsid w:val="35B903FC"/>
    <w:rsid w:val="35D45BB2"/>
    <w:rsid w:val="35D91DC3"/>
    <w:rsid w:val="35E52937"/>
    <w:rsid w:val="35ED31AA"/>
    <w:rsid w:val="360B5821"/>
    <w:rsid w:val="360C20C4"/>
    <w:rsid w:val="361139DE"/>
    <w:rsid w:val="361B76F5"/>
    <w:rsid w:val="36410FD5"/>
    <w:rsid w:val="36434E3D"/>
    <w:rsid w:val="36485F9E"/>
    <w:rsid w:val="364E2784"/>
    <w:rsid w:val="36571A53"/>
    <w:rsid w:val="367A5DE5"/>
    <w:rsid w:val="36BD7AE2"/>
    <w:rsid w:val="36CA390F"/>
    <w:rsid w:val="370375EB"/>
    <w:rsid w:val="370C71A5"/>
    <w:rsid w:val="371A5FCE"/>
    <w:rsid w:val="372713D2"/>
    <w:rsid w:val="373C356C"/>
    <w:rsid w:val="374347FB"/>
    <w:rsid w:val="3744536E"/>
    <w:rsid w:val="37467A8A"/>
    <w:rsid w:val="377F52B4"/>
    <w:rsid w:val="378A2B6A"/>
    <w:rsid w:val="37990C3A"/>
    <w:rsid w:val="37A642E4"/>
    <w:rsid w:val="37A9540A"/>
    <w:rsid w:val="37AF01DE"/>
    <w:rsid w:val="37BF68B6"/>
    <w:rsid w:val="37D054DF"/>
    <w:rsid w:val="37D269C9"/>
    <w:rsid w:val="37F07F3E"/>
    <w:rsid w:val="38004DEC"/>
    <w:rsid w:val="380F3AB0"/>
    <w:rsid w:val="3823335C"/>
    <w:rsid w:val="38243BFB"/>
    <w:rsid w:val="382824DB"/>
    <w:rsid w:val="38335CDA"/>
    <w:rsid w:val="383926BA"/>
    <w:rsid w:val="38434153"/>
    <w:rsid w:val="38552B1B"/>
    <w:rsid w:val="3860631A"/>
    <w:rsid w:val="386B5FFA"/>
    <w:rsid w:val="38781992"/>
    <w:rsid w:val="387D2F96"/>
    <w:rsid w:val="38B17ADD"/>
    <w:rsid w:val="38B45B69"/>
    <w:rsid w:val="38BB4A23"/>
    <w:rsid w:val="38C864A6"/>
    <w:rsid w:val="38D35990"/>
    <w:rsid w:val="38F35FC6"/>
    <w:rsid w:val="39217256"/>
    <w:rsid w:val="3927404D"/>
    <w:rsid w:val="392E5C0C"/>
    <w:rsid w:val="39333388"/>
    <w:rsid w:val="396676D8"/>
    <w:rsid w:val="398247DF"/>
    <w:rsid w:val="399400A0"/>
    <w:rsid w:val="3996419D"/>
    <w:rsid w:val="39A13E29"/>
    <w:rsid w:val="39B1462A"/>
    <w:rsid w:val="3A1964CC"/>
    <w:rsid w:val="3A1B3E87"/>
    <w:rsid w:val="3A225AD0"/>
    <w:rsid w:val="3A504F85"/>
    <w:rsid w:val="3A515754"/>
    <w:rsid w:val="3A546F2C"/>
    <w:rsid w:val="3A55203C"/>
    <w:rsid w:val="3A5538D0"/>
    <w:rsid w:val="3A5721EA"/>
    <w:rsid w:val="3A61297C"/>
    <w:rsid w:val="3A6171B9"/>
    <w:rsid w:val="3A671B78"/>
    <w:rsid w:val="3A7A4B6D"/>
    <w:rsid w:val="3A7C286C"/>
    <w:rsid w:val="3A8D5359"/>
    <w:rsid w:val="3A905CF5"/>
    <w:rsid w:val="3A926EC2"/>
    <w:rsid w:val="3AA04C6E"/>
    <w:rsid w:val="3AA12B8A"/>
    <w:rsid w:val="3ACD10F3"/>
    <w:rsid w:val="3ADB2B9E"/>
    <w:rsid w:val="3AE41725"/>
    <w:rsid w:val="3AE5583A"/>
    <w:rsid w:val="3AE77F8A"/>
    <w:rsid w:val="3AEB7F9D"/>
    <w:rsid w:val="3B0A3633"/>
    <w:rsid w:val="3B0D3AB9"/>
    <w:rsid w:val="3B106DFF"/>
    <w:rsid w:val="3B143F8E"/>
    <w:rsid w:val="3B1F19A6"/>
    <w:rsid w:val="3B242112"/>
    <w:rsid w:val="3B405935"/>
    <w:rsid w:val="3B545BBC"/>
    <w:rsid w:val="3B547DE1"/>
    <w:rsid w:val="3B6339F3"/>
    <w:rsid w:val="3B6D7C94"/>
    <w:rsid w:val="3B6E0F2A"/>
    <w:rsid w:val="3B715AA2"/>
    <w:rsid w:val="3BA760A1"/>
    <w:rsid w:val="3BAD28E0"/>
    <w:rsid w:val="3BB131CC"/>
    <w:rsid w:val="3BBF10DA"/>
    <w:rsid w:val="3BCC6C66"/>
    <w:rsid w:val="3BED310C"/>
    <w:rsid w:val="3BEE1117"/>
    <w:rsid w:val="3BF0550A"/>
    <w:rsid w:val="3BF61E2C"/>
    <w:rsid w:val="3BFB0EBA"/>
    <w:rsid w:val="3BFF5F22"/>
    <w:rsid w:val="3C1B40EA"/>
    <w:rsid w:val="3C1D4AA3"/>
    <w:rsid w:val="3C29473A"/>
    <w:rsid w:val="3C366491"/>
    <w:rsid w:val="3C3B1F96"/>
    <w:rsid w:val="3C3F3EB6"/>
    <w:rsid w:val="3C4730EA"/>
    <w:rsid w:val="3C5D53C5"/>
    <w:rsid w:val="3C5D73B0"/>
    <w:rsid w:val="3C686451"/>
    <w:rsid w:val="3C6C19B7"/>
    <w:rsid w:val="3C727B65"/>
    <w:rsid w:val="3C7A7EBF"/>
    <w:rsid w:val="3C830F5F"/>
    <w:rsid w:val="3C842674"/>
    <w:rsid w:val="3CA279AD"/>
    <w:rsid w:val="3CBE4A62"/>
    <w:rsid w:val="3CBF70AE"/>
    <w:rsid w:val="3CD37E58"/>
    <w:rsid w:val="3CE41714"/>
    <w:rsid w:val="3CEF274B"/>
    <w:rsid w:val="3CF34F81"/>
    <w:rsid w:val="3D0062B3"/>
    <w:rsid w:val="3D053049"/>
    <w:rsid w:val="3D1B7951"/>
    <w:rsid w:val="3D3A1C76"/>
    <w:rsid w:val="3D3E5961"/>
    <w:rsid w:val="3D620593"/>
    <w:rsid w:val="3D6B3DF2"/>
    <w:rsid w:val="3DA536FC"/>
    <w:rsid w:val="3DAC6029"/>
    <w:rsid w:val="3DC06A27"/>
    <w:rsid w:val="3DD3173D"/>
    <w:rsid w:val="3DD87125"/>
    <w:rsid w:val="3DE637A5"/>
    <w:rsid w:val="3DEE5FD2"/>
    <w:rsid w:val="3E0B5C27"/>
    <w:rsid w:val="3E230EDF"/>
    <w:rsid w:val="3E237E29"/>
    <w:rsid w:val="3E2B7310"/>
    <w:rsid w:val="3E543155"/>
    <w:rsid w:val="3E762231"/>
    <w:rsid w:val="3E7B3814"/>
    <w:rsid w:val="3E7E33BE"/>
    <w:rsid w:val="3E82055A"/>
    <w:rsid w:val="3E822801"/>
    <w:rsid w:val="3EAF5A2A"/>
    <w:rsid w:val="3ECB0596"/>
    <w:rsid w:val="3EF25787"/>
    <w:rsid w:val="3EF6743F"/>
    <w:rsid w:val="3F09710D"/>
    <w:rsid w:val="3F31534B"/>
    <w:rsid w:val="3F4C45C8"/>
    <w:rsid w:val="3F740E79"/>
    <w:rsid w:val="3F8B0C58"/>
    <w:rsid w:val="3F9259B8"/>
    <w:rsid w:val="3F9B05F4"/>
    <w:rsid w:val="3FA84FE9"/>
    <w:rsid w:val="3FC662A9"/>
    <w:rsid w:val="3FE91532"/>
    <w:rsid w:val="3FFF7789"/>
    <w:rsid w:val="401C5D95"/>
    <w:rsid w:val="402D535D"/>
    <w:rsid w:val="403B6810"/>
    <w:rsid w:val="40826E80"/>
    <w:rsid w:val="40857B49"/>
    <w:rsid w:val="40927DF1"/>
    <w:rsid w:val="40973943"/>
    <w:rsid w:val="40980293"/>
    <w:rsid w:val="40B52D14"/>
    <w:rsid w:val="40B74E6D"/>
    <w:rsid w:val="40DC1C8A"/>
    <w:rsid w:val="40EC2610"/>
    <w:rsid w:val="40F17C93"/>
    <w:rsid w:val="41033A89"/>
    <w:rsid w:val="4132562D"/>
    <w:rsid w:val="41540612"/>
    <w:rsid w:val="416943C6"/>
    <w:rsid w:val="416F32A5"/>
    <w:rsid w:val="4173597E"/>
    <w:rsid w:val="417722A8"/>
    <w:rsid w:val="4178247F"/>
    <w:rsid w:val="4187269D"/>
    <w:rsid w:val="41881A6C"/>
    <w:rsid w:val="418C5876"/>
    <w:rsid w:val="419042B3"/>
    <w:rsid w:val="419442A9"/>
    <w:rsid w:val="41A05788"/>
    <w:rsid w:val="41C27883"/>
    <w:rsid w:val="41CA04B1"/>
    <w:rsid w:val="41D07C93"/>
    <w:rsid w:val="42077489"/>
    <w:rsid w:val="420A1038"/>
    <w:rsid w:val="421E4099"/>
    <w:rsid w:val="42342C9A"/>
    <w:rsid w:val="424368BE"/>
    <w:rsid w:val="424F52B1"/>
    <w:rsid w:val="4259556F"/>
    <w:rsid w:val="427F3E55"/>
    <w:rsid w:val="42894700"/>
    <w:rsid w:val="42932FCC"/>
    <w:rsid w:val="429359B9"/>
    <w:rsid w:val="429E549D"/>
    <w:rsid w:val="429E77D0"/>
    <w:rsid w:val="42A755F5"/>
    <w:rsid w:val="42AC2A71"/>
    <w:rsid w:val="42C359E6"/>
    <w:rsid w:val="42C967EA"/>
    <w:rsid w:val="42D64DDF"/>
    <w:rsid w:val="42D770FF"/>
    <w:rsid w:val="42E12110"/>
    <w:rsid w:val="42E87F43"/>
    <w:rsid w:val="42F67A3C"/>
    <w:rsid w:val="43157B6C"/>
    <w:rsid w:val="431E0301"/>
    <w:rsid w:val="4333300F"/>
    <w:rsid w:val="4348362A"/>
    <w:rsid w:val="434C587B"/>
    <w:rsid w:val="434E1CDA"/>
    <w:rsid w:val="437B4483"/>
    <w:rsid w:val="43B223F1"/>
    <w:rsid w:val="43BA6362"/>
    <w:rsid w:val="43BD2C13"/>
    <w:rsid w:val="43CB7817"/>
    <w:rsid w:val="43CF53D1"/>
    <w:rsid w:val="43D771DE"/>
    <w:rsid w:val="43D83B57"/>
    <w:rsid w:val="43E10DB4"/>
    <w:rsid w:val="43F303D8"/>
    <w:rsid w:val="440D57BA"/>
    <w:rsid w:val="440E7D2A"/>
    <w:rsid w:val="441014A6"/>
    <w:rsid w:val="44191A36"/>
    <w:rsid w:val="443F42FD"/>
    <w:rsid w:val="444B47B6"/>
    <w:rsid w:val="44661356"/>
    <w:rsid w:val="44856DC0"/>
    <w:rsid w:val="4488003E"/>
    <w:rsid w:val="44943223"/>
    <w:rsid w:val="44A32E0C"/>
    <w:rsid w:val="44AE1557"/>
    <w:rsid w:val="44D444DF"/>
    <w:rsid w:val="44D4770A"/>
    <w:rsid w:val="44E35A6D"/>
    <w:rsid w:val="44E97062"/>
    <w:rsid w:val="44F5536C"/>
    <w:rsid w:val="45025856"/>
    <w:rsid w:val="45266F61"/>
    <w:rsid w:val="453F70EB"/>
    <w:rsid w:val="45572F79"/>
    <w:rsid w:val="456F0BF8"/>
    <w:rsid w:val="4585058D"/>
    <w:rsid w:val="45A62570"/>
    <w:rsid w:val="45B10A7B"/>
    <w:rsid w:val="45B441BD"/>
    <w:rsid w:val="45B82786"/>
    <w:rsid w:val="45C0732B"/>
    <w:rsid w:val="45C1059F"/>
    <w:rsid w:val="45C54C6F"/>
    <w:rsid w:val="45FA18F8"/>
    <w:rsid w:val="45FB6EA2"/>
    <w:rsid w:val="46066EDC"/>
    <w:rsid w:val="460B5564"/>
    <w:rsid w:val="460F519B"/>
    <w:rsid w:val="4612075B"/>
    <w:rsid w:val="46225EF9"/>
    <w:rsid w:val="463D3F11"/>
    <w:rsid w:val="466071A4"/>
    <w:rsid w:val="466831AF"/>
    <w:rsid w:val="467106FE"/>
    <w:rsid w:val="4681396E"/>
    <w:rsid w:val="46A078E8"/>
    <w:rsid w:val="46B142F7"/>
    <w:rsid w:val="46B24292"/>
    <w:rsid w:val="46B62EFE"/>
    <w:rsid w:val="46BB6CFE"/>
    <w:rsid w:val="46C01D9A"/>
    <w:rsid w:val="46C419D9"/>
    <w:rsid w:val="46DD6D7F"/>
    <w:rsid w:val="46F076E9"/>
    <w:rsid w:val="47030A7F"/>
    <w:rsid w:val="47072B2B"/>
    <w:rsid w:val="47073B7D"/>
    <w:rsid w:val="470A429A"/>
    <w:rsid w:val="471724E4"/>
    <w:rsid w:val="47257EE9"/>
    <w:rsid w:val="472F6FF6"/>
    <w:rsid w:val="474113A6"/>
    <w:rsid w:val="4742743A"/>
    <w:rsid w:val="475127E3"/>
    <w:rsid w:val="475E0189"/>
    <w:rsid w:val="47A6020E"/>
    <w:rsid w:val="47AA1EBF"/>
    <w:rsid w:val="47EB3B80"/>
    <w:rsid w:val="47FD116C"/>
    <w:rsid w:val="47FE09FF"/>
    <w:rsid w:val="480316AF"/>
    <w:rsid w:val="48303B58"/>
    <w:rsid w:val="483C0914"/>
    <w:rsid w:val="48485178"/>
    <w:rsid w:val="48555AC3"/>
    <w:rsid w:val="48797476"/>
    <w:rsid w:val="48AE7065"/>
    <w:rsid w:val="48B10527"/>
    <w:rsid w:val="48B848DD"/>
    <w:rsid w:val="48CD008E"/>
    <w:rsid w:val="48E44649"/>
    <w:rsid w:val="48EE55E1"/>
    <w:rsid w:val="48F065E6"/>
    <w:rsid w:val="48F62EBF"/>
    <w:rsid w:val="48F91484"/>
    <w:rsid w:val="49057D87"/>
    <w:rsid w:val="491932D7"/>
    <w:rsid w:val="49204F6B"/>
    <w:rsid w:val="4927756B"/>
    <w:rsid w:val="492F2A2A"/>
    <w:rsid w:val="493A4D60"/>
    <w:rsid w:val="4960169A"/>
    <w:rsid w:val="497141B3"/>
    <w:rsid w:val="497556F9"/>
    <w:rsid w:val="498E04D9"/>
    <w:rsid w:val="49A24313"/>
    <w:rsid w:val="49DC64C3"/>
    <w:rsid w:val="4A031BFB"/>
    <w:rsid w:val="4A0C6134"/>
    <w:rsid w:val="4A0D60FE"/>
    <w:rsid w:val="4A5377E8"/>
    <w:rsid w:val="4A5961C7"/>
    <w:rsid w:val="4A5A05D2"/>
    <w:rsid w:val="4A8B7EE0"/>
    <w:rsid w:val="4A8C0C3E"/>
    <w:rsid w:val="4A8F0950"/>
    <w:rsid w:val="4A9333DC"/>
    <w:rsid w:val="4A983DA2"/>
    <w:rsid w:val="4A9B1D14"/>
    <w:rsid w:val="4AC82CAB"/>
    <w:rsid w:val="4B2E4407"/>
    <w:rsid w:val="4B38638C"/>
    <w:rsid w:val="4B924FAE"/>
    <w:rsid w:val="4B9E13B5"/>
    <w:rsid w:val="4B9F065E"/>
    <w:rsid w:val="4BA606EA"/>
    <w:rsid w:val="4BA845D9"/>
    <w:rsid w:val="4BAE6D73"/>
    <w:rsid w:val="4BB97BF3"/>
    <w:rsid w:val="4BD70F09"/>
    <w:rsid w:val="4BDB2BFE"/>
    <w:rsid w:val="4BDF0602"/>
    <w:rsid w:val="4BF950AC"/>
    <w:rsid w:val="4C0F116E"/>
    <w:rsid w:val="4C11238F"/>
    <w:rsid w:val="4C180ACF"/>
    <w:rsid w:val="4C1A6290"/>
    <w:rsid w:val="4C1C62E7"/>
    <w:rsid w:val="4C1C797A"/>
    <w:rsid w:val="4C3C13F2"/>
    <w:rsid w:val="4C5016E2"/>
    <w:rsid w:val="4C5B1AD1"/>
    <w:rsid w:val="4C670556"/>
    <w:rsid w:val="4C8076B5"/>
    <w:rsid w:val="4C81142C"/>
    <w:rsid w:val="4C8542C8"/>
    <w:rsid w:val="4C9C7050"/>
    <w:rsid w:val="4CA15E9C"/>
    <w:rsid w:val="4CC567ED"/>
    <w:rsid w:val="4CCD1AAD"/>
    <w:rsid w:val="4CE7334A"/>
    <w:rsid w:val="4CF44DD2"/>
    <w:rsid w:val="4D1376F8"/>
    <w:rsid w:val="4D45025F"/>
    <w:rsid w:val="4D481FB2"/>
    <w:rsid w:val="4D6A7973"/>
    <w:rsid w:val="4D6C6728"/>
    <w:rsid w:val="4D711A80"/>
    <w:rsid w:val="4D7A34B1"/>
    <w:rsid w:val="4D824599"/>
    <w:rsid w:val="4D825DA7"/>
    <w:rsid w:val="4D9B38AA"/>
    <w:rsid w:val="4DC13A2A"/>
    <w:rsid w:val="4DD7085A"/>
    <w:rsid w:val="4DE56F3A"/>
    <w:rsid w:val="4DE61120"/>
    <w:rsid w:val="4DF94B99"/>
    <w:rsid w:val="4E26226F"/>
    <w:rsid w:val="4E4120C0"/>
    <w:rsid w:val="4E535CF9"/>
    <w:rsid w:val="4E5A7854"/>
    <w:rsid w:val="4E6E07C6"/>
    <w:rsid w:val="4E827416"/>
    <w:rsid w:val="4EA12264"/>
    <w:rsid w:val="4EA93632"/>
    <w:rsid w:val="4EB80EA0"/>
    <w:rsid w:val="4EC35C53"/>
    <w:rsid w:val="4EC55F33"/>
    <w:rsid w:val="4EC870CF"/>
    <w:rsid w:val="4EF674F2"/>
    <w:rsid w:val="4F054DE3"/>
    <w:rsid w:val="4F112892"/>
    <w:rsid w:val="4F4C7CAD"/>
    <w:rsid w:val="4F5036E1"/>
    <w:rsid w:val="4F5F5261"/>
    <w:rsid w:val="4F6703E7"/>
    <w:rsid w:val="4F670990"/>
    <w:rsid w:val="4F830B88"/>
    <w:rsid w:val="4F922114"/>
    <w:rsid w:val="4FA33161"/>
    <w:rsid w:val="4FAE7E8B"/>
    <w:rsid w:val="4FCD1B57"/>
    <w:rsid w:val="4FE616D1"/>
    <w:rsid w:val="4FF96516"/>
    <w:rsid w:val="500B5CCA"/>
    <w:rsid w:val="50515AB9"/>
    <w:rsid w:val="50520773"/>
    <w:rsid w:val="505D1779"/>
    <w:rsid w:val="50600295"/>
    <w:rsid w:val="507569CE"/>
    <w:rsid w:val="508579F7"/>
    <w:rsid w:val="50873518"/>
    <w:rsid w:val="508A3855"/>
    <w:rsid w:val="50AE30CE"/>
    <w:rsid w:val="50E53AC8"/>
    <w:rsid w:val="51114783"/>
    <w:rsid w:val="513437B8"/>
    <w:rsid w:val="513C6B47"/>
    <w:rsid w:val="51591E69"/>
    <w:rsid w:val="51860F1D"/>
    <w:rsid w:val="51B337F8"/>
    <w:rsid w:val="51B34D68"/>
    <w:rsid w:val="51B565E7"/>
    <w:rsid w:val="51B907BD"/>
    <w:rsid w:val="51CE7444"/>
    <w:rsid w:val="51EC369A"/>
    <w:rsid w:val="51EF0FB9"/>
    <w:rsid w:val="51F7558E"/>
    <w:rsid w:val="520C2B61"/>
    <w:rsid w:val="522279AC"/>
    <w:rsid w:val="524E3201"/>
    <w:rsid w:val="52507C9D"/>
    <w:rsid w:val="52611718"/>
    <w:rsid w:val="526E7DE0"/>
    <w:rsid w:val="527816A3"/>
    <w:rsid w:val="528D09FD"/>
    <w:rsid w:val="528D547B"/>
    <w:rsid w:val="52984B24"/>
    <w:rsid w:val="52AA5073"/>
    <w:rsid w:val="52D24243"/>
    <w:rsid w:val="52D9650A"/>
    <w:rsid w:val="52E07CE2"/>
    <w:rsid w:val="530C4BC3"/>
    <w:rsid w:val="531A3118"/>
    <w:rsid w:val="53320E4A"/>
    <w:rsid w:val="53322A88"/>
    <w:rsid w:val="53466135"/>
    <w:rsid w:val="534A018A"/>
    <w:rsid w:val="53633CD0"/>
    <w:rsid w:val="5369058C"/>
    <w:rsid w:val="5376484B"/>
    <w:rsid w:val="53823A36"/>
    <w:rsid w:val="53A571D0"/>
    <w:rsid w:val="53A87550"/>
    <w:rsid w:val="53BE221B"/>
    <w:rsid w:val="53C63875"/>
    <w:rsid w:val="53D112FF"/>
    <w:rsid w:val="53FE220C"/>
    <w:rsid w:val="54074BBF"/>
    <w:rsid w:val="541D104C"/>
    <w:rsid w:val="54684ABA"/>
    <w:rsid w:val="549D0966"/>
    <w:rsid w:val="54A665D2"/>
    <w:rsid w:val="54B50693"/>
    <w:rsid w:val="54BD64CA"/>
    <w:rsid w:val="54E33646"/>
    <w:rsid w:val="54FC26FB"/>
    <w:rsid w:val="55075A49"/>
    <w:rsid w:val="55177042"/>
    <w:rsid w:val="55325D52"/>
    <w:rsid w:val="55384DE0"/>
    <w:rsid w:val="55466D69"/>
    <w:rsid w:val="555950C3"/>
    <w:rsid w:val="555B6A21"/>
    <w:rsid w:val="556C7A1F"/>
    <w:rsid w:val="55742344"/>
    <w:rsid w:val="558B5C92"/>
    <w:rsid w:val="5595476E"/>
    <w:rsid w:val="559E470F"/>
    <w:rsid w:val="55B70401"/>
    <w:rsid w:val="55BA72C6"/>
    <w:rsid w:val="55D802B2"/>
    <w:rsid w:val="55DA7A8D"/>
    <w:rsid w:val="55E248C7"/>
    <w:rsid w:val="55E2759A"/>
    <w:rsid w:val="55F1684A"/>
    <w:rsid w:val="55F710CB"/>
    <w:rsid w:val="561E7B3D"/>
    <w:rsid w:val="56434A8D"/>
    <w:rsid w:val="56671DE7"/>
    <w:rsid w:val="56683DBC"/>
    <w:rsid w:val="566A34F5"/>
    <w:rsid w:val="566A69E3"/>
    <w:rsid w:val="5678339F"/>
    <w:rsid w:val="568461F0"/>
    <w:rsid w:val="569308E3"/>
    <w:rsid w:val="56967A54"/>
    <w:rsid w:val="569F196C"/>
    <w:rsid w:val="56A6621D"/>
    <w:rsid w:val="56BF2AD9"/>
    <w:rsid w:val="56BF57E9"/>
    <w:rsid w:val="56C41488"/>
    <w:rsid w:val="56CF6280"/>
    <w:rsid w:val="57010071"/>
    <w:rsid w:val="57075998"/>
    <w:rsid w:val="570D5A54"/>
    <w:rsid w:val="573075C6"/>
    <w:rsid w:val="57462856"/>
    <w:rsid w:val="574D2B38"/>
    <w:rsid w:val="57571571"/>
    <w:rsid w:val="5759104D"/>
    <w:rsid w:val="57664827"/>
    <w:rsid w:val="5769486A"/>
    <w:rsid w:val="57755AD3"/>
    <w:rsid w:val="577A68D2"/>
    <w:rsid w:val="57813968"/>
    <w:rsid w:val="57902D78"/>
    <w:rsid w:val="57B32A43"/>
    <w:rsid w:val="57BD4EBC"/>
    <w:rsid w:val="57C46A1F"/>
    <w:rsid w:val="57E825E5"/>
    <w:rsid w:val="57ED2609"/>
    <w:rsid w:val="580D48C9"/>
    <w:rsid w:val="580F45B9"/>
    <w:rsid w:val="580F690D"/>
    <w:rsid w:val="5830716B"/>
    <w:rsid w:val="585E2312"/>
    <w:rsid w:val="58744597"/>
    <w:rsid w:val="587A6470"/>
    <w:rsid w:val="5881466C"/>
    <w:rsid w:val="588C3D16"/>
    <w:rsid w:val="58954A8C"/>
    <w:rsid w:val="58B25014"/>
    <w:rsid w:val="58B32CE5"/>
    <w:rsid w:val="58C92845"/>
    <w:rsid w:val="58D21CA0"/>
    <w:rsid w:val="58DD55EB"/>
    <w:rsid w:val="58DF5585"/>
    <w:rsid w:val="59076661"/>
    <w:rsid w:val="590916CF"/>
    <w:rsid w:val="590E0349"/>
    <w:rsid w:val="5917253F"/>
    <w:rsid w:val="5919265C"/>
    <w:rsid w:val="5929737B"/>
    <w:rsid w:val="593D64C2"/>
    <w:rsid w:val="595205DF"/>
    <w:rsid w:val="59746AD8"/>
    <w:rsid w:val="597D4744"/>
    <w:rsid w:val="59917645"/>
    <w:rsid w:val="59937DA2"/>
    <w:rsid w:val="59986041"/>
    <w:rsid w:val="599B6C96"/>
    <w:rsid w:val="59BB4053"/>
    <w:rsid w:val="59BF19AD"/>
    <w:rsid w:val="59DA22EC"/>
    <w:rsid w:val="59E325FD"/>
    <w:rsid w:val="5A0B51E4"/>
    <w:rsid w:val="5A0D2126"/>
    <w:rsid w:val="5A14196D"/>
    <w:rsid w:val="5A1B3D29"/>
    <w:rsid w:val="5A206485"/>
    <w:rsid w:val="5A402095"/>
    <w:rsid w:val="5A447C9B"/>
    <w:rsid w:val="5A4C7725"/>
    <w:rsid w:val="5A712EC1"/>
    <w:rsid w:val="5A864CCF"/>
    <w:rsid w:val="5A991AD2"/>
    <w:rsid w:val="5AB323F6"/>
    <w:rsid w:val="5AB852E9"/>
    <w:rsid w:val="5B106DA5"/>
    <w:rsid w:val="5B3D0B45"/>
    <w:rsid w:val="5B6B1BAC"/>
    <w:rsid w:val="5B6C182A"/>
    <w:rsid w:val="5B836C32"/>
    <w:rsid w:val="5B874AB2"/>
    <w:rsid w:val="5B8D51E1"/>
    <w:rsid w:val="5B905965"/>
    <w:rsid w:val="5BA009C1"/>
    <w:rsid w:val="5BC23426"/>
    <w:rsid w:val="5BDD05C6"/>
    <w:rsid w:val="5BDD7439"/>
    <w:rsid w:val="5C0A1580"/>
    <w:rsid w:val="5C0C1370"/>
    <w:rsid w:val="5C132366"/>
    <w:rsid w:val="5C1C3C1A"/>
    <w:rsid w:val="5C2D5792"/>
    <w:rsid w:val="5C4833CF"/>
    <w:rsid w:val="5C73774B"/>
    <w:rsid w:val="5C7B7B0C"/>
    <w:rsid w:val="5C7D46D0"/>
    <w:rsid w:val="5C9750D0"/>
    <w:rsid w:val="5C9D1F45"/>
    <w:rsid w:val="5CA36055"/>
    <w:rsid w:val="5CA47C4C"/>
    <w:rsid w:val="5CDB111B"/>
    <w:rsid w:val="5CF022DF"/>
    <w:rsid w:val="5CF457E6"/>
    <w:rsid w:val="5D1F2595"/>
    <w:rsid w:val="5D2169E9"/>
    <w:rsid w:val="5D432F32"/>
    <w:rsid w:val="5D47747F"/>
    <w:rsid w:val="5D5D3894"/>
    <w:rsid w:val="5D686E04"/>
    <w:rsid w:val="5D76234C"/>
    <w:rsid w:val="5D7C484A"/>
    <w:rsid w:val="5D881400"/>
    <w:rsid w:val="5D9E27F7"/>
    <w:rsid w:val="5DCF3FE4"/>
    <w:rsid w:val="5DD135B6"/>
    <w:rsid w:val="5DD84D8F"/>
    <w:rsid w:val="5DE3635A"/>
    <w:rsid w:val="5DE8320E"/>
    <w:rsid w:val="5DF73290"/>
    <w:rsid w:val="5DFA410A"/>
    <w:rsid w:val="5E0063DA"/>
    <w:rsid w:val="5E0D66A9"/>
    <w:rsid w:val="5E15069C"/>
    <w:rsid w:val="5E2338B3"/>
    <w:rsid w:val="5E3931E1"/>
    <w:rsid w:val="5E511B5D"/>
    <w:rsid w:val="5E5622BC"/>
    <w:rsid w:val="5E5F36DA"/>
    <w:rsid w:val="5E7B5CF3"/>
    <w:rsid w:val="5E814D18"/>
    <w:rsid w:val="5E8446B6"/>
    <w:rsid w:val="5EAC0421"/>
    <w:rsid w:val="5EC934DE"/>
    <w:rsid w:val="5EEB644B"/>
    <w:rsid w:val="5EED2DB0"/>
    <w:rsid w:val="5EFA7D4A"/>
    <w:rsid w:val="5F181E04"/>
    <w:rsid w:val="5F311B52"/>
    <w:rsid w:val="5F311E05"/>
    <w:rsid w:val="5F353B4D"/>
    <w:rsid w:val="5F4305D1"/>
    <w:rsid w:val="5F554A26"/>
    <w:rsid w:val="5F697ECB"/>
    <w:rsid w:val="5F7F06B2"/>
    <w:rsid w:val="5F99390A"/>
    <w:rsid w:val="5FA80417"/>
    <w:rsid w:val="5FB234F6"/>
    <w:rsid w:val="5FB4386D"/>
    <w:rsid w:val="5FE10D60"/>
    <w:rsid w:val="5FED7E55"/>
    <w:rsid w:val="5FF25BE4"/>
    <w:rsid w:val="5FFF4025"/>
    <w:rsid w:val="601D22FA"/>
    <w:rsid w:val="60324137"/>
    <w:rsid w:val="606106FB"/>
    <w:rsid w:val="60625808"/>
    <w:rsid w:val="606E478A"/>
    <w:rsid w:val="607E60C8"/>
    <w:rsid w:val="60927CF4"/>
    <w:rsid w:val="6098545E"/>
    <w:rsid w:val="60AC0152"/>
    <w:rsid w:val="60B24B81"/>
    <w:rsid w:val="60D409FB"/>
    <w:rsid w:val="60D42C7F"/>
    <w:rsid w:val="60E14DBD"/>
    <w:rsid w:val="61197B6E"/>
    <w:rsid w:val="61210F75"/>
    <w:rsid w:val="61596CE9"/>
    <w:rsid w:val="61685B0D"/>
    <w:rsid w:val="616B417A"/>
    <w:rsid w:val="61734C98"/>
    <w:rsid w:val="617D2A28"/>
    <w:rsid w:val="61942903"/>
    <w:rsid w:val="619D45E2"/>
    <w:rsid w:val="61A11CA8"/>
    <w:rsid w:val="61A70858"/>
    <w:rsid w:val="61AF1B39"/>
    <w:rsid w:val="61C45AF4"/>
    <w:rsid w:val="61C621A9"/>
    <w:rsid w:val="61C71176"/>
    <w:rsid w:val="61C766B1"/>
    <w:rsid w:val="61CE704B"/>
    <w:rsid w:val="61D734C6"/>
    <w:rsid w:val="62173786"/>
    <w:rsid w:val="62274909"/>
    <w:rsid w:val="62322217"/>
    <w:rsid w:val="6246043F"/>
    <w:rsid w:val="6251211D"/>
    <w:rsid w:val="625B5418"/>
    <w:rsid w:val="62663C37"/>
    <w:rsid w:val="628260B9"/>
    <w:rsid w:val="62955616"/>
    <w:rsid w:val="62A02A93"/>
    <w:rsid w:val="62A811F1"/>
    <w:rsid w:val="62CE647D"/>
    <w:rsid w:val="62E13726"/>
    <w:rsid w:val="62FD46A2"/>
    <w:rsid w:val="634E27C1"/>
    <w:rsid w:val="636F1095"/>
    <w:rsid w:val="637B36E8"/>
    <w:rsid w:val="638D7E74"/>
    <w:rsid w:val="63927237"/>
    <w:rsid w:val="63A61291"/>
    <w:rsid w:val="63D63E50"/>
    <w:rsid w:val="63DC3093"/>
    <w:rsid w:val="63E30F43"/>
    <w:rsid w:val="63E427E8"/>
    <w:rsid w:val="6402046D"/>
    <w:rsid w:val="64021296"/>
    <w:rsid w:val="64022A29"/>
    <w:rsid w:val="64234D43"/>
    <w:rsid w:val="642B62B3"/>
    <w:rsid w:val="643E33C9"/>
    <w:rsid w:val="643F2C61"/>
    <w:rsid w:val="646A18BD"/>
    <w:rsid w:val="646B426B"/>
    <w:rsid w:val="647B55B2"/>
    <w:rsid w:val="64814FE1"/>
    <w:rsid w:val="648A7329"/>
    <w:rsid w:val="64A5521F"/>
    <w:rsid w:val="64AB714C"/>
    <w:rsid w:val="64B65646"/>
    <w:rsid w:val="64C600BE"/>
    <w:rsid w:val="64CC4AE8"/>
    <w:rsid w:val="64CE07A8"/>
    <w:rsid w:val="64D419EA"/>
    <w:rsid w:val="64D6246F"/>
    <w:rsid w:val="64E26655"/>
    <w:rsid w:val="65094BF6"/>
    <w:rsid w:val="65224926"/>
    <w:rsid w:val="652C31F9"/>
    <w:rsid w:val="6533437C"/>
    <w:rsid w:val="654B5F18"/>
    <w:rsid w:val="654E5A34"/>
    <w:rsid w:val="655456D2"/>
    <w:rsid w:val="65591526"/>
    <w:rsid w:val="6561022D"/>
    <w:rsid w:val="659B7366"/>
    <w:rsid w:val="65BC78DA"/>
    <w:rsid w:val="65BE38D3"/>
    <w:rsid w:val="65BE644F"/>
    <w:rsid w:val="65CC3452"/>
    <w:rsid w:val="660601DF"/>
    <w:rsid w:val="663D088C"/>
    <w:rsid w:val="66412135"/>
    <w:rsid w:val="667039F0"/>
    <w:rsid w:val="66762F61"/>
    <w:rsid w:val="66880FBB"/>
    <w:rsid w:val="66895DB7"/>
    <w:rsid w:val="66AC446C"/>
    <w:rsid w:val="66B627D4"/>
    <w:rsid w:val="66B63CC5"/>
    <w:rsid w:val="66D11998"/>
    <w:rsid w:val="66D63337"/>
    <w:rsid w:val="66D66E94"/>
    <w:rsid w:val="66F45A64"/>
    <w:rsid w:val="66FA0E65"/>
    <w:rsid w:val="66FF7197"/>
    <w:rsid w:val="67332C36"/>
    <w:rsid w:val="67691195"/>
    <w:rsid w:val="67A745F9"/>
    <w:rsid w:val="67AD3390"/>
    <w:rsid w:val="67BC6846"/>
    <w:rsid w:val="67BD1CBB"/>
    <w:rsid w:val="67BF2EAF"/>
    <w:rsid w:val="67C16E6C"/>
    <w:rsid w:val="67FC7511"/>
    <w:rsid w:val="681456F2"/>
    <w:rsid w:val="681E244E"/>
    <w:rsid w:val="682A4F23"/>
    <w:rsid w:val="682D420F"/>
    <w:rsid w:val="6842711F"/>
    <w:rsid w:val="68587EAC"/>
    <w:rsid w:val="685C4DA9"/>
    <w:rsid w:val="685D3581"/>
    <w:rsid w:val="68656E04"/>
    <w:rsid w:val="68691E1F"/>
    <w:rsid w:val="686B094F"/>
    <w:rsid w:val="686E249D"/>
    <w:rsid w:val="68714F5E"/>
    <w:rsid w:val="68C05A7F"/>
    <w:rsid w:val="68CE2047"/>
    <w:rsid w:val="68CE207B"/>
    <w:rsid w:val="68D62A5D"/>
    <w:rsid w:val="68EF6959"/>
    <w:rsid w:val="68F36B3C"/>
    <w:rsid w:val="690A1C78"/>
    <w:rsid w:val="6911250C"/>
    <w:rsid w:val="6912593F"/>
    <w:rsid w:val="69192F9A"/>
    <w:rsid w:val="692C57D2"/>
    <w:rsid w:val="693B0235"/>
    <w:rsid w:val="69495FEA"/>
    <w:rsid w:val="697335F7"/>
    <w:rsid w:val="6976048E"/>
    <w:rsid w:val="698861C6"/>
    <w:rsid w:val="699B589F"/>
    <w:rsid w:val="69A77A52"/>
    <w:rsid w:val="69A93E9A"/>
    <w:rsid w:val="69AB7C13"/>
    <w:rsid w:val="69AD5CA5"/>
    <w:rsid w:val="69AF1A77"/>
    <w:rsid w:val="69B15B74"/>
    <w:rsid w:val="69CF6E65"/>
    <w:rsid w:val="6A270055"/>
    <w:rsid w:val="6A47735E"/>
    <w:rsid w:val="6A580AA2"/>
    <w:rsid w:val="6A5C5BC7"/>
    <w:rsid w:val="6A7D09B4"/>
    <w:rsid w:val="6A8737DC"/>
    <w:rsid w:val="6A95379A"/>
    <w:rsid w:val="6A9D7B68"/>
    <w:rsid w:val="6AAE3710"/>
    <w:rsid w:val="6AB2044D"/>
    <w:rsid w:val="6ABE46F9"/>
    <w:rsid w:val="6ABF30F9"/>
    <w:rsid w:val="6ACD2BFA"/>
    <w:rsid w:val="6AE52A4B"/>
    <w:rsid w:val="6B1C2A81"/>
    <w:rsid w:val="6B413867"/>
    <w:rsid w:val="6B453FC7"/>
    <w:rsid w:val="6B4A18AE"/>
    <w:rsid w:val="6B4F1D69"/>
    <w:rsid w:val="6B5F0B3C"/>
    <w:rsid w:val="6B6C304D"/>
    <w:rsid w:val="6B6F2215"/>
    <w:rsid w:val="6B782AB6"/>
    <w:rsid w:val="6B8D33E5"/>
    <w:rsid w:val="6BAC424F"/>
    <w:rsid w:val="6BAD435E"/>
    <w:rsid w:val="6BCE6ACD"/>
    <w:rsid w:val="6BD2207D"/>
    <w:rsid w:val="6BD83D49"/>
    <w:rsid w:val="6BEB492C"/>
    <w:rsid w:val="6C190BFC"/>
    <w:rsid w:val="6C3320A3"/>
    <w:rsid w:val="6C3564F4"/>
    <w:rsid w:val="6C3F66F0"/>
    <w:rsid w:val="6C4956DA"/>
    <w:rsid w:val="6C523D63"/>
    <w:rsid w:val="6C56726F"/>
    <w:rsid w:val="6C624A34"/>
    <w:rsid w:val="6C654A5A"/>
    <w:rsid w:val="6C7B4DAB"/>
    <w:rsid w:val="6C7F5E96"/>
    <w:rsid w:val="6CBE5BAA"/>
    <w:rsid w:val="6CCB0CA9"/>
    <w:rsid w:val="6CE433C7"/>
    <w:rsid w:val="6CF17A7C"/>
    <w:rsid w:val="6CF65C0B"/>
    <w:rsid w:val="6D0060A7"/>
    <w:rsid w:val="6D180A19"/>
    <w:rsid w:val="6D1A6EBF"/>
    <w:rsid w:val="6D4079E1"/>
    <w:rsid w:val="6D644C39"/>
    <w:rsid w:val="6D6871C2"/>
    <w:rsid w:val="6D810CDE"/>
    <w:rsid w:val="6D83130C"/>
    <w:rsid w:val="6D931145"/>
    <w:rsid w:val="6D9433F4"/>
    <w:rsid w:val="6D96763F"/>
    <w:rsid w:val="6DB70DD9"/>
    <w:rsid w:val="6DBA38D1"/>
    <w:rsid w:val="6DC328F2"/>
    <w:rsid w:val="6DE713BA"/>
    <w:rsid w:val="6DE75C47"/>
    <w:rsid w:val="6DF954A9"/>
    <w:rsid w:val="6E1D45D2"/>
    <w:rsid w:val="6E800B55"/>
    <w:rsid w:val="6E886C48"/>
    <w:rsid w:val="6E9B5D0F"/>
    <w:rsid w:val="6E9F1181"/>
    <w:rsid w:val="6ECB7769"/>
    <w:rsid w:val="6ED1188C"/>
    <w:rsid w:val="6EDA526F"/>
    <w:rsid w:val="6EE87C17"/>
    <w:rsid w:val="6F050311"/>
    <w:rsid w:val="6F1341C9"/>
    <w:rsid w:val="6F20702E"/>
    <w:rsid w:val="6F240B87"/>
    <w:rsid w:val="6F2E3EBD"/>
    <w:rsid w:val="6F43282A"/>
    <w:rsid w:val="6F4D1F59"/>
    <w:rsid w:val="6F81335C"/>
    <w:rsid w:val="6F9D2845"/>
    <w:rsid w:val="6FA24891"/>
    <w:rsid w:val="6FEF49C3"/>
    <w:rsid w:val="7006219C"/>
    <w:rsid w:val="700B219A"/>
    <w:rsid w:val="700D02A9"/>
    <w:rsid w:val="701E7B35"/>
    <w:rsid w:val="702076F1"/>
    <w:rsid w:val="70240C41"/>
    <w:rsid w:val="70337041"/>
    <w:rsid w:val="7041295C"/>
    <w:rsid w:val="705B3EBB"/>
    <w:rsid w:val="707F1259"/>
    <w:rsid w:val="70834E24"/>
    <w:rsid w:val="708C4525"/>
    <w:rsid w:val="70973260"/>
    <w:rsid w:val="709B3E4D"/>
    <w:rsid w:val="70B1223A"/>
    <w:rsid w:val="70B728DA"/>
    <w:rsid w:val="70B83FA8"/>
    <w:rsid w:val="70E250DB"/>
    <w:rsid w:val="71103954"/>
    <w:rsid w:val="71165CC9"/>
    <w:rsid w:val="7118575D"/>
    <w:rsid w:val="713D625C"/>
    <w:rsid w:val="716501BA"/>
    <w:rsid w:val="71854B4C"/>
    <w:rsid w:val="718F76E8"/>
    <w:rsid w:val="71C3050F"/>
    <w:rsid w:val="71CD0B37"/>
    <w:rsid w:val="71D51794"/>
    <w:rsid w:val="71EE4151"/>
    <w:rsid w:val="72062128"/>
    <w:rsid w:val="72255E07"/>
    <w:rsid w:val="723143C2"/>
    <w:rsid w:val="72446015"/>
    <w:rsid w:val="724A4808"/>
    <w:rsid w:val="72507D30"/>
    <w:rsid w:val="725175CD"/>
    <w:rsid w:val="7258177B"/>
    <w:rsid w:val="725B4AC3"/>
    <w:rsid w:val="725F1D9B"/>
    <w:rsid w:val="726D7C07"/>
    <w:rsid w:val="727552E4"/>
    <w:rsid w:val="72867544"/>
    <w:rsid w:val="729A1681"/>
    <w:rsid w:val="729B781E"/>
    <w:rsid w:val="72A8213B"/>
    <w:rsid w:val="72AE55B9"/>
    <w:rsid w:val="72C95E58"/>
    <w:rsid w:val="7309347D"/>
    <w:rsid w:val="730A52FA"/>
    <w:rsid w:val="73337091"/>
    <w:rsid w:val="737D7C2F"/>
    <w:rsid w:val="73997396"/>
    <w:rsid w:val="73A1085E"/>
    <w:rsid w:val="73BB025C"/>
    <w:rsid w:val="7408717D"/>
    <w:rsid w:val="740C14EC"/>
    <w:rsid w:val="741E6FDF"/>
    <w:rsid w:val="742844AE"/>
    <w:rsid w:val="744E212A"/>
    <w:rsid w:val="744F057F"/>
    <w:rsid w:val="745C2B0D"/>
    <w:rsid w:val="74872012"/>
    <w:rsid w:val="74973F99"/>
    <w:rsid w:val="74A21A94"/>
    <w:rsid w:val="74BB3856"/>
    <w:rsid w:val="74F134D9"/>
    <w:rsid w:val="75012C84"/>
    <w:rsid w:val="75032004"/>
    <w:rsid w:val="750E5932"/>
    <w:rsid w:val="752D6735"/>
    <w:rsid w:val="75357F3A"/>
    <w:rsid w:val="753C7B2C"/>
    <w:rsid w:val="753D0803"/>
    <w:rsid w:val="75445BC4"/>
    <w:rsid w:val="756E004C"/>
    <w:rsid w:val="757877C0"/>
    <w:rsid w:val="75895B4B"/>
    <w:rsid w:val="7595714C"/>
    <w:rsid w:val="759B108A"/>
    <w:rsid w:val="759B347A"/>
    <w:rsid w:val="75DB12F9"/>
    <w:rsid w:val="75F43D79"/>
    <w:rsid w:val="76022D63"/>
    <w:rsid w:val="760C71CC"/>
    <w:rsid w:val="76141960"/>
    <w:rsid w:val="761B1899"/>
    <w:rsid w:val="761E64EC"/>
    <w:rsid w:val="76591E16"/>
    <w:rsid w:val="76877384"/>
    <w:rsid w:val="769574F5"/>
    <w:rsid w:val="769B2599"/>
    <w:rsid w:val="76A13FC7"/>
    <w:rsid w:val="76AE0485"/>
    <w:rsid w:val="76C930BD"/>
    <w:rsid w:val="76F565B8"/>
    <w:rsid w:val="76FB0F47"/>
    <w:rsid w:val="77111BFB"/>
    <w:rsid w:val="771B38C2"/>
    <w:rsid w:val="77326C90"/>
    <w:rsid w:val="777163EE"/>
    <w:rsid w:val="77732139"/>
    <w:rsid w:val="77932B6A"/>
    <w:rsid w:val="779B585B"/>
    <w:rsid w:val="77AD5D0B"/>
    <w:rsid w:val="77AE65EA"/>
    <w:rsid w:val="77BB5EEE"/>
    <w:rsid w:val="77EB64C8"/>
    <w:rsid w:val="77FE7368"/>
    <w:rsid w:val="781B175B"/>
    <w:rsid w:val="78211731"/>
    <w:rsid w:val="78267771"/>
    <w:rsid w:val="782C0BA9"/>
    <w:rsid w:val="783C10AA"/>
    <w:rsid w:val="78401784"/>
    <w:rsid w:val="785F2E6D"/>
    <w:rsid w:val="78656E75"/>
    <w:rsid w:val="787C4F88"/>
    <w:rsid w:val="788C401A"/>
    <w:rsid w:val="78AF0BC7"/>
    <w:rsid w:val="78C53A75"/>
    <w:rsid w:val="78E84F2E"/>
    <w:rsid w:val="79050572"/>
    <w:rsid w:val="7917620F"/>
    <w:rsid w:val="791D1F62"/>
    <w:rsid w:val="79255C2A"/>
    <w:rsid w:val="79255E9C"/>
    <w:rsid w:val="792C7AB8"/>
    <w:rsid w:val="792F7D3C"/>
    <w:rsid w:val="79304742"/>
    <w:rsid w:val="794D4E12"/>
    <w:rsid w:val="79515704"/>
    <w:rsid w:val="798050C8"/>
    <w:rsid w:val="79956579"/>
    <w:rsid w:val="79B00FC4"/>
    <w:rsid w:val="79B11E61"/>
    <w:rsid w:val="79C27B42"/>
    <w:rsid w:val="79E52684"/>
    <w:rsid w:val="79FD7CA3"/>
    <w:rsid w:val="7A010CCF"/>
    <w:rsid w:val="7A0436C6"/>
    <w:rsid w:val="7A080BF1"/>
    <w:rsid w:val="7A2A1A24"/>
    <w:rsid w:val="7A3D19D2"/>
    <w:rsid w:val="7A3E7805"/>
    <w:rsid w:val="7A4C6095"/>
    <w:rsid w:val="7A822EA0"/>
    <w:rsid w:val="7A8A506D"/>
    <w:rsid w:val="7A924CAA"/>
    <w:rsid w:val="7AA64FDE"/>
    <w:rsid w:val="7ABF2B5D"/>
    <w:rsid w:val="7AC85120"/>
    <w:rsid w:val="7AD72C55"/>
    <w:rsid w:val="7AE36815"/>
    <w:rsid w:val="7B001794"/>
    <w:rsid w:val="7B205182"/>
    <w:rsid w:val="7B2500CB"/>
    <w:rsid w:val="7B2507E9"/>
    <w:rsid w:val="7B302535"/>
    <w:rsid w:val="7B50309A"/>
    <w:rsid w:val="7B5E3E5D"/>
    <w:rsid w:val="7B692C98"/>
    <w:rsid w:val="7B7D4AFF"/>
    <w:rsid w:val="7B804B18"/>
    <w:rsid w:val="7BB97D3C"/>
    <w:rsid w:val="7BBE157E"/>
    <w:rsid w:val="7BBF7F66"/>
    <w:rsid w:val="7BC50503"/>
    <w:rsid w:val="7BCF07E6"/>
    <w:rsid w:val="7BE9546E"/>
    <w:rsid w:val="7BEF3677"/>
    <w:rsid w:val="7BF5641B"/>
    <w:rsid w:val="7C0B1353"/>
    <w:rsid w:val="7C1A1DDD"/>
    <w:rsid w:val="7C1E4930"/>
    <w:rsid w:val="7C1F0A90"/>
    <w:rsid w:val="7C2D3DD9"/>
    <w:rsid w:val="7C362B96"/>
    <w:rsid w:val="7C3C0B86"/>
    <w:rsid w:val="7C485173"/>
    <w:rsid w:val="7C792AF3"/>
    <w:rsid w:val="7C7F4228"/>
    <w:rsid w:val="7CA75BA3"/>
    <w:rsid w:val="7CB64671"/>
    <w:rsid w:val="7CC1123C"/>
    <w:rsid w:val="7CCC07E1"/>
    <w:rsid w:val="7CD41EEE"/>
    <w:rsid w:val="7CDE3E3D"/>
    <w:rsid w:val="7CE524F6"/>
    <w:rsid w:val="7D0C3F1F"/>
    <w:rsid w:val="7D0E6F85"/>
    <w:rsid w:val="7D1869AA"/>
    <w:rsid w:val="7D32156C"/>
    <w:rsid w:val="7D456CE3"/>
    <w:rsid w:val="7D566D5B"/>
    <w:rsid w:val="7D9A1F11"/>
    <w:rsid w:val="7D9E3D9C"/>
    <w:rsid w:val="7DA26BCB"/>
    <w:rsid w:val="7DC475A6"/>
    <w:rsid w:val="7E1574C4"/>
    <w:rsid w:val="7E232A5E"/>
    <w:rsid w:val="7E241D14"/>
    <w:rsid w:val="7E47191D"/>
    <w:rsid w:val="7E494E43"/>
    <w:rsid w:val="7E785D1C"/>
    <w:rsid w:val="7E7B6085"/>
    <w:rsid w:val="7E841236"/>
    <w:rsid w:val="7E9C467D"/>
    <w:rsid w:val="7EA909A6"/>
    <w:rsid w:val="7EAB5051"/>
    <w:rsid w:val="7EAC18DB"/>
    <w:rsid w:val="7EB34688"/>
    <w:rsid w:val="7EDF0FB9"/>
    <w:rsid w:val="7EE06997"/>
    <w:rsid w:val="7EEC56EF"/>
    <w:rsid w:val="7F0221A0"/>
    <w:rsid w:val="7F0C18F0"/>
    <w:rsid w:val="7F19568D"/>
    <w:rsid w:val="7F3B4DCD"/>
    <w:rsid w:val="7F4720EC"/>
    <w:rsid w:val="7F597D4B"/>
    <w:rsid w:val="7F686F81"/>
    <w:rsid w:val="7F742918"/>
    <w:rsid w:val="7F8327DE"/>
    <w:rsid w:val="7FF3552A"/>
    <w:rsid w:val="7FFA0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1"/>
    <w:pPr>
      <w:spacing w:before="166"/>
      <w:ind w:left="1893" w:right="1819" w:hanging="1537"/>
      <w:outlineLvl w:val="1"/>
    </w:pPr>
    <w:rPr>
      <w:rFonts w:ascii="PMingLiU" w:hAnsi="PMingLiU" w:eastAsia="PMingLiU" w:cs="PMingLiU"/>
      <w:sz w:val="44"/>
      <w:szCs w:val="44"/>
      <w:lang w:val="zh-CN" w:eastAsia="zh-CN" w:bidi="zh-CN"/>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link w:val="12"/>
    <w:semiHidden/>
    <w:unhideWhenUsed/>
    <w:qFormat/>
    <w:uiPriority w:val="1"/>
    <w:rPr>
      <w:rFonts w:ascii="Times New Roman"/>
      <w:kern w:val="2"/>
      <w:sz w:val="21"/>
    </w:rPr>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rFonts w:ascii="PMingLiU" w:hAnsi="PMingLiU" w:eastAsia="PMingLiU" w:cs="PMingLiU"/>
      <w:sz w:val="32"/>
      <w:szCs w:val="32"/>
      <w:lang w:val="zh-CN" w:eastAsia="zh-CN" w:bidi="zh-CN"/>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 Char"/>
    <w:basedOn w:val="1"/>
    <w:link w:val="11"/>
    <w:qFormat/>
    <w:uiPriority w:val="0"/>
    <w:pPr>
      <w:widowControl w:val="0"/>
      <w:adjustRightInd/>
      <w:spacing w:line="240" w:lineRule="auto"/>
      <w:ind w:firstLine="0"/>
      <w:textAlignment w:val="auto"/>
    </w:pPr>
    <w:rPr>
      <w:rFonts w:ascii="Times New Roman"/>
      <w:kern w:val="2"/>
      <w:sz w:val="21"/>
    </w:rPr>
  </w:style>
  <w:style w:type="character" w:styleId="13">
    <w:name w:val="FollowedHyperlink"/>
    <w:basedOn w:val="11"/>
    <w:qFormat/>
    <w:uiPriority w:val="0"/>
    <w:rPr>
      <w:color w:val="000000"/>
      <w:u w:val="none"/>
    </w:rPr>
  </w:style>
  <w:style w:type="character" w:styleId="14">
    <w:name w:val="Hyperlink"/>
    <w:basedOn w:val="11"/>
    <w:qFormat/>
    <w:uiPriority w:val="0"/>
    <w:rPr>
      <w:color w:val="000000"/>
      <w:u w:val="none"/>
    </w:rPr>
  </w:style>
  <w:style w:type="character" w:customStyle="1" w:styleId="15">
    <w:name w:val="页眉 Char"/>
    <w:basedOn w:val="11"/>
    <w:link w:val="7"/>
    <w:qFormat/>
    <w:uiPriority w:val="0"/>
    <w:rPr>
      <w:rFonts w:asciiTheme="minorHAnsi" w:hAnsiTheme="minorHAnsi" w:eastAsiaTheme="minorEastAsia" w:cstheme="minorBidi"/>
      <w:kern w:val="2"/>
      <w:sz w:val="18"/>
      <w:szCs w:val="18"/>
    </w:rPr>
  </w:style>
  <w:style w:type="paragraph" w:styleId="16">
    <w:name w:val="No Spacing"/>
    <w:qFormat/>
    <w:uiPriority w:val="1"/>
    <w:pPr>
      <w:widowControl w:val="0"/>
      <w:ind w:firstLine="198" w:firstLineChars="200"/>
      <w:jc w:val="both"/>
    </w:pPr>
    <w:rPr>
      <w:rFonts w:asciiTheme="minorHAnsi" w:hAnsiTheme="minorHAnsi" w:eastAsiaTheme="minorEastAsia" w:cstheme="minorBidi"/>
      <w:kern w:val="2"/>
      <w:sz w:val="21"/>
      <w:szCs w:val="21"/>
      <w:lang w:val="en-US" w:eastAsia="zh-CN" w:bidi="ar-SA"/>
    </w:rPr>
  </w:style>
  <w:style w:type="paragraph" w:styleId="17">
    <w:name w:val="List Paragraph"/>
    <w:basedOn w:val="1"/>
    <w:unhideWhenUsed/>
    <w:qFormat/>
    <w:uiPriority w:val="99"/>
    <w:pPr>
      <w:ind w:firstLine="420" w:firstLineChars="200"/>
    </w:pPr>
  </w:style>
  <w:style w:type="character" w:customStyle="1" w:styleId="18">
    <w:name w:val="font112"/>
    <w:basedOn w:val="11"/>
    <w:qFormat/>
    <w:uiPriority w:val="0"/>
    <w:rPr>
      <w:rFonts w:hint="eastAsia" w:ascii="宋体" w:hAnsi="宋体" w:eastAsia="宋体" w:cs="宋体"/>
      <w:color w:val="000000"/>
      <w:sz w:val="20"/>
      <w:szCs w:val="20"/>
      <w:u w:val="none"/>
    </w:rPr>
  </w:style>
  <w:style w:type="character" w:customStyle="1" w:styleId="19">
    <w:name w:val="font131"/>
    <w:basedOn w:val="11"/>
    <w:qFormat/>
    <w:uiPriority w:val="0"/>
    <w:rPr>
      <w:rFonts w:hint="default" w:ascii="Times New Roman" w:hAnsi="Times New Roman" w:cs="Times New Roman"/>
      <w:color w:val="000000"/>
      <w:sz w:val="20"/>
      <w:szCs w:val="20"/>
      <w:u w:val="none"/>
    </w:rPr>
  </w:style>
  <w:style w:type="character" w:customStyle="1" w:styleId="20">
    <w:name w:val="font121"/>
    <w:basedOn w:val="11"/>
    <w:qFormat/>
    <w:uiPriority w:val="0"/>
    <w:rPr>
      <w:rFonts w:hint="default" w:ascii="楷体_GB2312" w:eastAsia="楷体_GB2312" w:cs="楷体_GB2312"/>
      <w:color w:val="000000"/>
      <w:sz w:val="20"/>
      <w:szCs w:val="20"/>
      <w:u w:val="none"/>
    </w:rPr>
  </w:style>
  <w:style w:type="character" w:customStyle="1" w:styleId="21">
    <w:name w:val="font11"/>
    <w:basedOn w:val="11"/>
    <w:qFormat/>
    <w:uiPriority w:val="0"/>
    <w:rPr>
      <w:rFonts w:hint="default" w:ascii="楷体_GB2312" w:eastAsia="楷体_GB2312" w:cs="楷体_GB2312"/>
      <w:color w:val="000000"/>
      <w:sz w:val="20"/>
      <w:szCs w:val="20"/>
      <w:u w:val="none"/>
    </w:rPr>
  </w:style>
  <w:style w:type="character" w:customStyle="1" w:styleId="22">
    <w:name w:val="font01"/>
    <w:basedOn w:val="11"/>
    <w:qFormat/>
    <w:uiPriority w:val="0"/>
    <w:rPr>
      <w:rFonts w:hint="eastAsia" w:ascii="宋体" w:hAnsi="宋体" w:eastAsia="宋体" w:cs="宋体"/>
      <w:color w:val="000000"/>
      <w:sz w:val="20"/>
      <w:szCs w:val="20"/>
      <w:u w:val="none"/>
    </w:rPr>
  </w:style>
  <w:style w:type="character" w:customStyle="1" w:styleId="23">
    <w:name w:val="font61"/>
    <w:basedOn w:val="11"/>
    <w:qFormat/>
    <w:uiPriority w:val="0"/>
    <w:rPr>
      <w:rFonts w:hint="default" w:ascii="Times New Roman" w:hAnsi="Times New Roman" w:cs="Times New Roman"/>
      <w:color w:val="000000"/>
      <w:sz w:val="20"/>
      <w:szCs w:val="20"/>
      <w:u w:val="none"/>
    </w:rPr>
  </w:style>
  <w:style w:type="character" w:customStyle="1" w:styleId="24">
    <w:name w:val="font31"/>
    <w:basedOn w:val="11"/>
    <w:qFormat/>
    <w:uiPriority w:val="0"/>
    <w:rPr>
      <w:rFonts w:hint="eastAsia" w:ascii="宋体" w:hAnsi="宋体" w:eastAsia="宋体" w:cs="宋体"/>
      <w:color w:val="000000"/>
      <w:sz w:val="20"/>
      <w:szCs w:val="20"/>
      <w:u w:val="none"/>
    </w:rPr>
  </w:style>
  <w:style w:type="character" w:customStyle="1" w:styleId="25">
    <w:name w:val="font51"/>
    <w:basedOn w:val="11"/>
    <w:qFormat/>
    <w:uiPriority w:val="0"/>
    <w:rPr>
      <w:rFonts w:hint="default" w:ascii="Times New Roman" w:hAnsi="Times New Roman" w:cs="Times New Roman"/>
      <w:color w:val="000000"/>
      <w:sz w:val="20"/>
      <w:szCs w:val="20"/>
      <w:u w:val="none"/>
    </w:rPr>
  </w:style>
  <w:style w:type="character" w:customStyle="1" w:styleId="26">
    <w:name w:val="font41"/>
    <w:basedOn w:val="11"/>
    <w:qFormat/>
    <w:uiPriority w:val="0"/>
    <w:rPr>
      <w:rFonts w:hint="eastAsia" w:ascii="宋体" w:hAnsi="宋体" w:eastAsia="宋体" w:cs="宋体"/>
      <w:color w:val="000000"/>
      <w:sz w:val="21"/>
      <w:szCs w:val="21"/>
      <w:u w:val="none"/>
    </w:rPr>
  </w:style>
  <w:style w:type="character" w:customStyle="1" w:styleId="27">
    <w:name w:val="font81"/>
    <w:basedOn w:val="11"/>
    <w:qFormat/>
    <w:uiPriority w:val="0"/>
    <w:rPr>
      <w:rFonts w:hint="eastAsia" w:ascii="宋体" w:hAnsi="宋体" w:eastAsia="宋体" w:cs="宋体"/>
      <w:color w:val="000000"/>
      <w:sz w:val="18"/>
      <w:szCs w:val="18"/>
      <w:u w:val="none"/>
    </w:rPr>
  </w:style>
  <w:style w:type="character" w:customStyle="1" w:styleId="28">
    <w:name w:val="font91"/>
    <w:basedOn w:val="11"/>
    <w:qFormat/>
    <w:uiPriority w:val="0"/>
    <w:rPr>
      <w:rFonts w:hint="eastAsia" w:ascii="宋体" w:hAnsi="宋体" w:eastAsia="宋体" w:cs="宋体"/>
      <w:color w:val="000000"/>
      <w:sz w:val="21"/>
      <w:szCs w:val="21"/>
      <w:u w:val="none"/>
    </w:rPr>
  </w:style>
  <w:style w:type="character" w:customStyle="1" w:styleId="29">
    <w:name w:val="font71"/>
    <w:basedOn w:val="11"/>
    <w:qFormat/>
    <w:uiPriority w:val="0"/>
    <w:rPr>
      <w:rFonts w:hint="eastAsia" w:ascii="宋体" w:hAnsi="宋体" w:eastAsia="宋体" w:cs="宋体"/>
      <w:color w:val="000000"/>
      <w:sz w:val="18"/>
      <w:szCs w:val="18"/>
      <w:u w:val="none"/>
    </w:rPr>
  </w:style>
  <w:style w:type="paragraph" w:customStyle="1" w:styleId="30">
    <w:name w:val="列出段落"/>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475</Words>
  <Characters>2713</Characters>
  <Lines>22</Lines>
  <Paragraphs>6</Paragraphs>
  <TotalTime>106</TotalTime>
  <ScaleCrop>false</ScaleCrop>
  <LinksUpToDate>false</LinksUpToDate>
  <CharactersWithSpaces>3182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2020-09-01T10:19:00Z</dcterms:created>
  <dc:creator>lenovo</dc:creator>
  <cp:lastModifiedBy>Administrator</cp:lastModifiedBy>
  <cp:lastPrinted>2021-09-13T00:23:00Z</cp:lastPrinted>
  <dcterms:modified xsi:type="dcterms:W3CDTF">2021-09-13T03:25:58Z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1DF13C91EB9E4C069B6539E7A2430450</vt:lpwstr>
  </property>
</Properties>
</file>