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BB5BB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202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5</w:t>
      </w: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 年阳泉市第二中学校高中部</w:t>
      </w:r>
    </w:p>
    <w:p w14:paraId="427170AC">
      <w:pPr>
        <w:keepNext w:val="0"/>
        <w:keepLines w:val="0"/>
        <w:widowControl/>
        <w:suppressLineNumbers w:val="0"/>
        <w:jc w:val="center"/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专项资金信息公开说明</w:t>
      </w:r>
    </w:p>
    <w:p w14:paraId="106DBF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一、专项资金信息公开 </w:t>
      </w:r>
    </w:p>
    <w:p w14:paraId="3B9EB7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1.专项资金名称：阳泉市第二中学校高中部“补充教学 </w:t>
      </w:r>
    </w:p>
    <w:p w14:paraId="0D9069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业务费（专户）”专项资金 </w:t>
      </w:r>
    </w:p>
    <w:p w14:paraId="590260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设立依据：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教育专户资金用于学校日常运转支出，以根据《关于解决全市普通高中超课时绩效工资发放问题等有关事宜》（阳泉市人民政府办公厅专题会议纪要〔2014〕15 号）发放绩效工资等。 </w:t>
      </w:r>
    </w:p>
    <w:p w14:paraId="65B248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管理办法：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保障高中教职工提高10%奖励性绩效工资发放到位，补充发放临时工工资、社保等劳务支出，提高全体职工工作积极性，保障学校正常运转，按相关规定标准执行。 </w:t>
      </w:r>
    </w:p>
    <w:p w14:paraId="120FFF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预算安排：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2025年市财政局阳财预〔2025〕25号文件批复阳泉市第二中学校“补充教学业务费”预算资金 165万元，全部为高中教育安排的支出。 </w:t>
      </w:r>
    </w:p>
    <w:p w14:paraId="145335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申报指南：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我校2025年预计高中学费等收入约165万元，全部上缴财政专户，用于补充公用经费支出和高中奖励性绩效，劳务费等人员支出。</w:t>
      </w:r>
    </w:p>
    <w:p w14:paraId="50D517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分配结果：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发放高中教职工奖励性绩效工资，补充发放临时工工资及社保费等劳务支出；补充其他公用支出，按相关规定标准执行。</w:t>
      </w:r>
    </w:p>
    <w:p w14:paraId="68D8E7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2.专项资金名称：阳泉市第二中学校高中部“补充业务 </w:t>
      </w:r>
    </w:p>
    <w:p w14:paraId="1F7F09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费（房租）”专项资金 </w:t>
      </w:r>
    </w:p>
    <w:p w14:paraId="586B9A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设立依据：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根据教育局和学校协商解决校办工厂职工工资 </w:t>
      </w:r>
    </w:p>
    <w:p w14:paraId="78C6F6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和社保缴费方案，及校务会的研究决定，保障学校正常运转。 </w:t>
      </w:r>
    </w:p>
    <w:p w14:paraId="528410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管理办法：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按月发放校办工厂工资及缴纳社保费用；发放 </w:t>
      </w:r>
    </w:p>
    <w:p w14:paraId="1396B7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临时职工工资等其他劳务支出。 </w:t>
      </w:r>
    </w:p>
    <w:p w14:paraId="1523CC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预算安排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2025年市财政局阳财预〔2025〕25号文件批复阳泉市第二中学校“补充业务费（房租）”预算资金 57万元， 全部为高中教育安排的支出。 </w:t>
      </w:r>
    </w:p>
    <w:p w14:paraId="3CD6D8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申报指南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我校临街楼房屋出租租金每年约60万元，全部上缴财政国库。2025年申请资金57万元，用于发放校办工厂人员工资及社保费用；临时职工部分工资等其他劳务支出。</w:t>
      </w:r>
    </w:p>
    <w:p w14:paraId="2928FB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分配结果：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按月发放校办工厂工资及缴纳社保费用；发放 </w:t>
      </w:r>
    </w:p>
    <w:p w14:paraId="47A036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临时职工工资等其他劳务支出。 </w:t>
      </w:r>
    </w:p>
    <w:p w14:paraId="0B6308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3.专项资金名称：阳泉市第二中学校高中部“公办普通 </w:t>
      </w:r>
    </w:p>
    <w:p w14:paraId="2C6688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高中公用经费缺口补助”专项资金 </w:t>
      </w:r>
    </w:p>
    <w:p w14:paraId="4D1268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设立依据：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根据山西省财政厅、山西省教育厅关于建立普 </w:t>
      </w:r>
    </w:p>
    <w:p w14:paraId="08C2F6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通高中学校生均公用经费拨款制度的通知（晋财教〔2017〕69号）的文件精神，经市教育局、市财政局批示，同意生均经费增加到 1500 元。 </w:t>
      </w:r>
    </w:p>
    <w:p w14:paraId="48EAAC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管理办法：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加强经费制度管理，严格按照省财政厅高中缺 </w:t>
      </w:r>
    </w:p>
    <w:p w14:paraId="32F599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口补助专项资金开支范围使用资金。</w:t>
      </w:r>
    </w:p>
    <w:p w14:paraId="1B4FC4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预算安排：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2025年市财政局阳财预〔2025〕25号文件批复阳泉市第二中学校“公办普通高中公用经费缺口补助”预算资金194.85 万元，全部为高中教育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安排的支出。 </w:t>
      </w:r>
    </w:p>
    <w:p w14:paraId="275B50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申报指南：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根据我校 2024 年高中学生人数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lang w:val="en-US" w:eastAsia="zh-CN" w:bidi="ar"/>
        </w:rPr>
        <w:t>1299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人，按 1500元/生/年拨付公用经费，用于补充高中公用经费缺口，维持学校正常运转。 </w:t>
      </w:r>
    </w:p>
    <w:p w14:paraId="2EF11A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分配结果：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根据公用经费的实际支出，按月支付学校办公费、水电费、专用材料费、网络系统服务费、日常维修费等。</w:t>
      </w:r>
    </w:p>
    <w:p w14:paraId="434012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4.专项资金名称：阳泉市第二中学校高中部“二中智慧校园市级配套资金”专项资金 </w:t>
      </w:r>
    </w:p>
    <w:p w14:paraId="78E74B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设立依据：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根据2023年5月22日市教育局“关于阳泉市智慧教育建设（二期）项目两所学校智慧校园建设规划方案的评审意见和新教学楼建成后，教学设施设备能够满足高中年级的开课实际需求，需要对新的教室进行智慧黑板，无线网络覆盖，校园室内外监控，安保监控安装铺设等必要的设施设备。 </w:t>
      </w:r>
    </w:p>
    <w:p w14:paraId="1DFFD8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管理办法：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按政府采购制度执行。</w:t>
      </w:r>
    </w:p>
    <w:p w14:paraId="46ACD5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highlight w:val="none"/>
          <w:lang w:val="en-US" w:eastAsia="zh-CN" w:bidi="ar"/>
        </w:rPr>
        <w:t>预算安排：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2025年市财政局阳财预〔2025〕25号文件批复阳泉市第二中学校“二中智慧校园市级配套资金”预算资金65万元，全部为高中教育安排的支出。 </w:t>
      </w:r>
    </w:p>
    <w:p w14:paraId="3B92EA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申报指南：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针对我校危旧房屋重建工程的问题，为满足高中教育教学工作的正常开展，我校必须同步配齐新建教学楼教室内的智慧黑板，无线网络覆盖，校园室内外监控，安保监控安装铺设等必要教育教学设施。 </w:t>
      </w:r>
    </w:p>
    <w:p w14:paraId="4F8B0C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分配结果：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按照政府采购文件规定进行招标采购。</w:t>
      </w:r>
    </w:p>
    <w:p w14:paraId="4F7557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 w14:paraId="5013D5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righ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阳泉市第二中学校 </w:t>
      </w:r>
    </w:p>
    <w:p w14:paraId="224C8A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2" w:firstLineChars="200"/>
        <w:jc w:val="right"/>
        <w:textAlignment w:val="auto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2025.4.16</w:t>
      </w:r>
    </w:p>
    <w:p w14:paraId="56AA81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12571"/>
    <w:rsid w:val="09EE3807"/>
    <w:rsid w:val="19712571"/>
    <w:rsid w:val="224C593F"/>
    <w:rsid w:val="2A28667F"/>
    <w:rsid w:val="2DC8572C"/>
    <w:rsid w:val="2F065CE2"/>
    <w:rsid w:val="344D2D9F"/>
    <w:rsid w:val="4E9D5A90"/>
    <w:rsid w:val="58F05975"/>
    <w:rsid w:val="7B36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1440</Words>
  <Characters>1526</Characters>
  <Lines>0</Lines>
  <Paragraphs>0</Paragraphs>
  <TotalTime>48</TotalTime>
  <ScaleCrop>false</ScaleCrop>
  <LinksUpToDate>false</LinksUpToDate>
  <CharactersWithSpaces>1567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2025-04-15T01:21:00Z</dcterms:created>
  <dc:creator>九九久久</dc:creator>
  <cp:lastModifiedBy>九九久久</cp:lastModifiedBy>
  <dcterms:modified xsi:type="dcterms:W3CDTF">2025-04-17T07:42:46Z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49EF0EEF496447EBBBE10597582F3E89_13</vt:lpwstr>
  </property>
  <property fmtid="{D5CDD505-2E9C-101B-9397-08002B2CF9AE}" pid="4" name="KSOTemplateDocerSaveRecord">
    <vt:lpwstr>eyJoZGlkIjoiNThiZGE0MTg5YTAxZGMwMzdhNjk1OTJjNzFlNmJlNTYiLCJ1c2VySWQiOiIzNTQ1MzAxMjgifQ==</vt:lpwstr>
  </property>
</Properties>
</file>