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5B46C6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2DCE600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598C2E3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4993FFD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对阳泉</w:t>
      </w:r>
      <w:r>
        <w:rPr>
          <w:rFonts w:hint="eastAsia" w:ascii="方正小标宋简体" w:hAnsi="方正小标宋简体" w:eastAsia="方正小标宋简体" w:cs="方正小标宋简体"/>
          <w:sz w:val="44"/>
          <w:szCs w:val="44"/>
        </w:rPr>
        <w:t>市</w:t>
      </w:r>
      <w:r>
        <w:rPr>
          <w:rFonts w:hint="eastAsia" w:ascii="方正小标宋简体" w:hAnsi="方正小标宋简体" w:eastAsia="方正小标宋简体" w:cs="方正小标宋简体"/>
          <w:sz w:val="44"/>
          <w:szCs w:val="44"/>
          <w:lang w:eastAsia="zh-CN"/>
        </w:rPr>
        <w:t>第</w:t>
      </w:r>
      <w:r>
        <w:rPr>
          <w:rFonts w:hint="eastAsia" w:ascii="方正小标宋简体" w:hAnsi="方正小标宋简体" w:eastAsia="方正小标宋简体" w:cs="方正小标宋简体"/>
          <w:sz w:val="44"/>
          <w:szCs w:val="44"/>
        </w:rPr>
        <w:t>十</w:t>
      </w:r>
      <w:r>
        <w:rPr>
          <w:rFonts w:hint="eastAsia" w:ascii="方正小标宋简体" w:hAnsi="方正小标宋简体" w:eastAsia="方正小标宋简体" w:cs="方正小标宋简体"/>
          <w:sz w:val="44"/>
          <w:szCs w:val="44"/>
          <w:lang w:eastAsia="zh-CN"/>
        </w:rPr>
        <w:t>六</w:t>
      </w:r>
      <w:r>
        <w:rPr>
          <w:rFonts w:hint="eastAsia" w:ascii="方正小标宋简体" w:hAnsi="方正小标宋简体" w:eastAsia="方正小标宋简体" w:cs="方正小标宋简体"/>
          <w:sz w:val="44"/>
          <w:szCs w:val="44"/>
        </w:rPr>
        <w:t>届人</w:t>
      </w:r>
      <w:r>
        <w:rPr>
          <w:rFonts w:hint="eastAsia" w:ascii="方正小标宋简体" w:hAnsi="方正小标宋简体" w:eastAsia="方正小标宋简体" w:cs="方正小标宋简体"/>
          <w:sz w:val="44"/>
          <w:szCs w:val="44"/>
          <w:lang w:eastAsia="zh-CN"/>
        </w:rPr>
        <w:t>民代表</w:t>
      </w:r>
      <w:r>
        <w:rPr>
          <w:rFonts w:hint="eastAsia" w:ascii="方正小标宋简体" w:hAnsi="方正小标宋简体" w:eastAsia="方正小标宋简体" w:cs="方正小标宋简体"/>
          <w:sz w:val="44"/>
          <w:szCs w:val="44"/>
        </w:rPr>
        <w:t>大会</w:t>
      </w:r>
    </w:p>
    <w:p w14:paraId="590222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w:t>
      </w:r>
      <w:r>
        <w:rPr>
          <w:rFonts w:hint="eastAsia" w:ascii="方正小标宋简体" w:hAnsi="方正小标宋简体" w:eastAsia="方正小标宋简体" w:cs="方正小标宋简体"/>
          <w:sz w:val="44"/>
          <w:szCs w:val="44"/>
          <w:lang w:val="en-US" w:eastAsia="zh-CN"/>
        </w:rPr>
        <w:t>1606010</w:t>
      </w:r>
      <w:r>
        <w:rPr>
          <w:rFonts w:hint="eastAsia" w:ascii="方正小标宋简体" w:hAnsi="方正小标宋简体" w:eastAsia="方正小标宋简体" w:cs="方正小标宋简体"/>
          <w:sz w:val="44"/>
          <w:szCs w:val="44"/>
        </w:rPr>
        <w:t>号建议的答复</w:t>
      </w:r>
    </w:p>
    <w:p w14:paraId="62CD80E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p>
    <w:p w14:paraId="2855707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尊敬的</w:t>
      </w:r>
      <w:r>
        <w:rPr>
          <w:rFonts w:hint="eastAsia" w:ascii="方正仿宋_GBK" w:hAnsi="方正仿宋_GBK" w:eastAsia="方正仿宋_GBK" w:cs="方正仿宋_GBK"/>
          <w:sz w:val="32"/>
          <w:szCs w:val="32"/>
        </w:rPr>
        <w:t>牛军瑞代表：</w:t>
      </w:r>
    </w:p>
    <w:p w14:paraId="78E0094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您提出的《关于推进全市景区适老化改造 赋能红色旅游高质量发展的建议》收悉。感谢您对我市文化旅游工作的关心和支持。经认真研究，现答复如下：</w:t>
      </w:r>
    </w:p>
    <w:p w14:paraId="31597D3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一、强化顶层设计与标准引领，构建政策支撑体系</w:t>
      </w:r>
    </w:p>
    <w:p w14:paraId="06F540C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近年来，我市高度重视旅游公共服务体系建设，在《阳泉市康养产业发展规划（2021—2030年）》中已对</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文旅+康养</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融合作出总体布局。针对景区适老化改造工作，我们主要开展了以下工作：针对景区适老化改造相关工作，我们主要开展了以下几方面工作：一是将无障碍设施建设和老年服务纳入A级景区评定与复核的硬性指标，建立常态化复核检查机制，组织省级专家对全市A级景区开展检查督导，重点核查无障碍通道、第三卫生间、老年休息区等设施配置情况，对不达标的景区督促限期整改。二是结合全国文明城市创建，推动藏山、娘子关等重点景区优化老年人购票、入园、游览等全流程服务，设置老年人优先窗口，保留人工售票和现金支付渠道。三是开通红色旅游公交专线，串联市区主要红色景点，为老年群体红色教育出行提供便利。四是在编制</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十五五</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文旅发展规划过程中，将适老化改造和银发旅游作为重要内容纳入规划体系，统筹谋划布局。</w:t>
      </w:r>
    </w:p>
    <w:p w14:paraId="3DC533C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bookmarkStart w:id="0" w:name="_GoBack"/>
      <w:bookmarkEnd w:id="0"/>
      <w:r>
        <w:rPr>
          <w:rFonts w:hint="eastAsia" w:ascii="方正仿宋_GBK" w:hAnsi="方正仿宋_GBK" w:eastAsia="方正仿宋_GBK" w:cs="方正仿宋_GBK"/>
          <w:sz w:val="32"/>
          <w:szCs w:val="32"/>
        </w:rPr>
        <w:t>下一步，我们将充分吸纳您的建议，重点推进三方面工作：一是加强顶层统筹。会同民政、住建、卫健、残联等部门，研究制定我市红色旅游景区适老化改造的实施意见，明确改造目标、重点任务和责任分工，将适老化改造纳入文旅产业发展整体布局。二是完善标准规范。参照国家《无障碍环境建设法》《旅游景区无障碍设施服务规范》等法律法规和标准，结合我市实际，研究制定景区适老化服务指引，对基础设施、服务保障、文化传播等方面提出明确要求，推动改造工作科学化、标准化。</w:t>
      </w:r>
    </w:p>
    <w:p w14:paraId="48F1BBC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二、实施全场景设施升级与服务优化，打造无障碍游览环境</w:t>
      </w:r>
    </w:p>
    <w:p w14:paraId="2EE7CFA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目前，我市A级景区已基本实现主要游览线路无障碍通行，百团大战纪念馆、狮脑山、藏山等重点景区配备了轮椅、拐杖等辅助器具。结合狮脑山打卡点建设，同步完善了沿线休息座椅、观景平台等便民设施。建立景区投诉快接快处机制，对老年游客投诉实行优先受理、快速处置，切实保障老年游客合法权益。组织文明旅游志愿者在重点景区开展帮扶服务，为行动不便的老年人提供协助。但总体来看，景区适老化改造仍存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重硬件轻服务</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现象，在系统性适配、人性化服务方面仍有较大提升空间，针对老年游客感官能力弱化、行动不便等特征的全流程服务体系尚未完全建立。</w:t>
      </w:r>
    </w:p>
    <w:p w14:paraId="374372D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下一步，我们将聚焦老年游客出游全流程，实施系统性改造提升：一是推进硬件设施全覆盖。推动核心红色景区实现无障碍通道、无障碍卫生间、无障碍休息区全覆盖，在重点区域设置适老化服务中心，配备轮椅、拐杖、老花镜、医疗急救箱（含AED）等设备，合理布局老年游客休息点和餐饮点。二是优化交通接驳服务。协调交通部门，研究开通市区至核心景区的适老化旅游专线，配备低地板公交车辆和随车服务人员，方便老年群体出行。三是破解数字鸿沟问题。在保留人工窗口、现金支付等传统服务方式的基础上，推动景区智慧系统进行</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长辈模式</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改造，开发大字体、语音交互的智能导览功能，提供一键求助服务，切实解决老年人运用智能技术困难的问题。四是加强服务人员培训。组织景区一线服务人员开展适老化服务专项培训，提升对老年游客的沟通引导、应急救助等服务能力。</w:t>
      </w:r>
    </w:p>
    <w:p w14:paraId="716E0D5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三、创新红色+康养融合产品体系，满足多元化高品质需求</w:t>
      </w:r>
    </w:p>
    <w:p w14:paraId="06FE545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市红色资源与康养资源禀赋独特，拥有百团大战纪念馆等169处红色文化遗址，57处已通过专家评审认定，同时具备大汖温泉、藏山、娘子关、红岩岭等多元康养资源，咀子上本无民宿等乡村民宿业态持续发展。围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阳泉48小时充能计划</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，我们推出了多条夏季避暑乡村旅游线路，串联红色景点与康养资源，受到市场欢迎。盂县文旅康养集聚区建设加快推进，梁家寨温泉度假区康养功能持续完善。但目前</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红色+康养</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融合型产品开发仍显不足，缺乏专门针对银发群体、慢节奏深体验的定制化线路，难以充分满足老年游客多元化、高品质的旅居康养需求。</w:t>
      </w:r>
    </w:p>
    <w:p w14:paraId="306B8E6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下一步，我们将深度整合红色文化与康养资源，着力打造特色产品体系：一是打造主题线路。围绕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红色教育+温泉康养</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红色研学+生态休闲</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等主题，设计开发</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狮脑山红色遗址—冠山书院康养基地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七亘大捷景区—梁家寨温泉度假区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等慢节奏、深体验的康养型红色旅游线路，合理安排行程节奏，适配老年群体体力特点。二是丰富康养业态。引导景区周边发展中医药养生、富硒餐饮、乡村民宿等业态，推出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红色+温泉</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红色+中医药</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红色+乡村旅居</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等组合产品，延长老年游客停留时间，提升综合消费。</w:t>
      </w:r>
    </w:p>
    <w:p w14:paraId="453DBA2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四、健全多元保障与协同推广机制，确保工作长效落地</w:t>
      </w:r>
    </w:p>
    <w:p w14:paraId="51579D9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持续</w:t>
      </w:r>
      <w:r>
        <w:rPr>
          <w:rFonts w:hint="eastAsia" w:ascii="方正仿宋_GBK" w:hAnsi="方正仿宋_GBK" w:eastAsia="方正仿宋_GBK" w:cs="方正仿宋_GBK"/>
          <w:sz w:val="32"/>
          <w:szCs w:val="32"/>
          <w:rtl w:val="0"/>
          <w:lang w:val="en-US" w:eastAsia="zh-CN"/>
        </w:rPr>
        <w:t>丰富文旅宣传载体和矩阵，制作阳泉旅游宣传视频、主题线路宣传画册，举办“谁不说俺阳泉好”大型抖音直播、“抖出咱的阳泉美”抖音短视频大赛，“大美太行在山西”网络新媒体阳泉景区打卡活动曝光量10亿次。推进引客入泉，加强太行旅游板块市场互动，联合长治、晋城等推进“大美太行在山西”区域旅游合作，联合石家庄发布涵盖周边8个城市的旅游惠民卡，联合太原市文旅局、忻州市文旅局、长治市文旅局发布了15条跨市精品旅游线路。</w:t>
      </w:r>
      <w:r>
        <w:rPr>
          <w:rFonts w:hint="eastAsia" w:ascii="方正仿宋_GBK" w:hAnsi="方正仿宋_GBK" w:eastAsia="方正仿宋_GBK" w:cs="方正仿宋_GBK"/>
          <w:sz w:val="32"/>
          <w:szCs w:val="32"/>
        </w:rPr>
        <w:t>目前，国家及省级层面已出台多项鼓励银发经济、康养产业发展的政策，但在地方落实中，跨部门协同机制尚不健全，文旅部门推动的景区适老化改造与民政部门的养老服务资源、住建部门的无障碍标准、卫健部门的医疗保障之间衔接不够顺畅，改造项目的动态监测与长效运营机制也有待建立。</w:t>
      </w:r>
    </w:p>
    <w:p w14:paraId="1420883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下一步，我们将着力构建多元保障体系：一是强化资金保障。积极争取中央、省级文旅发展专项资金支持，统筹市级相关资金，加大对景区适老化改造的投入力度；鼓励采用"国企+民企+社会资本"等模式，引导社会力量参与改造和运营。</w:t>
      </w:r>
      <w:r>
        <w:rPr>
          <w:rFonts w:hint="eastAsia" w:ascii="方正仿宋_GBK" w:hAnsi="方正仿宋_GBK" w:eastAsia="方正仿宋_GBK" w:cs="方正仿宋_GBK"/>
          <w:sz w:val="32"/>
          <w:szCs w:val="32"/>
          <w:lang w:eastAsia="zh-CN"/>
        </w:rPr>
        <w:t>二</w:t>
      </w:r>
      <w:r>
        <w:rPr>
          <w:rFonts w:hint="eastAsia" w:ascii="方正仿宋_GBK" w:hAnsi="方正仿宋_GBK" w:eastAsia="方正仿宋_GBK" w:cs="方正仿宋_GBK"/>
          <w:sz w:val="32"/>
          <w:szCs w:val="32"/>
        </w:rPr>
        <w:t>是加大宣传推广。通过政府门户网站、社区活动、老年大学等多种渠道，面向本地及京津冀老年群体，重点推介阳泉"红色康养"特色品牌与线路，吸引广大银发游客来泉旅游。</w:t>
      </w:r>
    </w:p>
    <w:p w14:paraId="5066DB4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推进景区适老化改造、发展适老化红色旅游，是践行以人民为中心的发展思想、将我市红色资源优势与康养产业基础转化为高质量发展动能的重要举措。我们将认真吸纳您的宝贵建议，扎实推进各项工作，努力让红色基因在新时代焕发更大光彩，让</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康养阳泉</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成为银发群体向往的幸福目的地。</w:t>
      </w:r>
    </w:p>
    <w:p w14:paraId="374A549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感谢您对我市文化旅游工作的关心和支持，并欢迎今后提出更多宝贵意见。</w:t>
      </w:r>
    </w:p>
    <w:p w14:paraId="368F522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负 责 人：</w:t>
      </w:r>
    </w:p>
    <w:p w14:paraId="55F9D8B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承 办 人：</w:t>
      </w:r>
      <w:r>
        <w:rPr>
          <w:rFonts w:hint="eastAsia" w:ascii="方正仿宋_GBK" w:hAnsi="方正仿宋_GBK" w:eastAsia="方正仿宋_GBK" w:cs="方正仿宋_GBK"/>
          <w:sz w:val="32"/>
          <w:szCs w:val="32"/>
          <w:lang w:eastAsia="zh-CN"/>
        </w:rPr>
        <w:t>石晓军</w:t>
      </w:r>
    </w:p>
    <w:p w14:paraId="6B0FFCB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联系电话：</w:t>
      </w:r>
      <w:r>
        <w:rPr>
          <w:rFonts w:hint="eastAsia" w:ascii="方正仿宋_GBK" w:hAnsi="方正仿宋_GBK" w:eastAsia="方正仿宋_GBK" w:cs="方正仿宋_GBK"/>
          <w:sz w:val="32"/>
          <w:szCs w:val="32"/>
          <w:lang w:val="en-US" w:eastAsia="zh-CN"/>
        </w:rPr>
        <w:t>0353-2293402</w:t>
      </w:r>
    </w:p>
    <w:p w14:paraId="1F59E61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p>
    <w:p w14:paraId="43F1774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阳泉市文化和旅游局</w:t>
      </w:r>
    </w:p>
    <w:p w14:paraId="5B37956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2026年</w:t>
      </w:r>
      <w:r>
        <w:rPr>
          <w:rFonts w:hint="eastAsia" w:ascii="方正仿宋_GBK" w:hAnsi="方正仿宋_GBK" w:eastAsia="方正仿宋_GBK" w:cs="方正仿宋_GBK"/>
          <w:sz w:val="32"/>
          <w:szCs w:val="32"/>
          <w:lang w:val="en-US" w:eastAsia="zh-CN"/>
        </w:rPr>
        <w:t>8</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19</w:t>
      </w:r>
      <w:r>
        <w:rPr>
          <w:rFonts w:hint="eastAsia" w:ascii="方正仿宋_GBK" w:hAnsi="方正仿宋_GBK" w:eastAsia="方正仿宋_GBK" w:cs="方正仿宋_GBK"/>
          <w:sz w:val="32"/>
          <w:szCs w:val="32"/>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9B3667-8A7F-48DF-91ED-BC7FEC142D1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2" w:fontKey="{E8072FDC-55A3-4311-A62F-0AE74131CC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0D43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F76C24">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4F76C24">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F485B8"/>
    <w:rsid w:val="39B728AB"/>
    <w:rsid w:val="3BF00D0F"/>
    <w:rsid w:val="3FD54E18"/>
    <w:rsid w:val="53EAB4F2"/>
    <w:rsid w:val="7FFFDC1E"/>
    <w:rsid w:val="9EBE3A87"/>
    <w:rsid w:val="B3C1387F"/>
    <w:rsid w:val="CFAFC5F4"/>
    <w:rsid w:val="F4BB43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2617</Words>
  <Characters>2652</Characters>
  <Lines>0</Lines>
  <Paragraphs>0</Paragraphs>
  <TotalTime>9</TotalTime>
  <ScaleCrop>false</ScaleCrop>
  <LinksUpToDate>false</LinksUpToDate>
  <CharactersWithSpaces>2694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2026-06-23T18:31:00Z</dcterms:created>
  <dc:creator>iPhone</dc:creator>
  <cp:lastModifiedBy>妙竹</cp:lastModifiedBy>
  <cp:lastPrinted>2026-08-20T07:48:23Z</cp:lastPrinted>
  <dcterms:modified xsi:type="dcterms:W3CDTF">2026-08-20T07:49:21Z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FA472E30A3AA729B8B29266AE7DAC2C7_31</vt:lpwstr>
  </property>
  <property fmtid="{D5CDD505-2E9C-101B-9397-08002B2CF9AE}" pid="4" name="KSOTemplateDocerSaveRecord">
    <vt:lpwstr>eyJoZGlkIjoiYzNkYjk1N2RiNjNiMzhmOGMzOTc2NzNmMGNlN2Y5NDciLCJ1c2VySWQiOiI0ODYzMjQ3MzcifQ==</vt:lpwstr>
  </property>
</Properties>
</file>