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CESI仿宋-GB2312" w:hAnsi="CESI仿宋-GB2312" w:eastAsia="CESI仿宋-GB2312" w:cs="CESI仿宋-GB2312"/>
          <w:sz w:val="44"/>
          <w:szCs w:val="44"/>
        </w:rPr>
      </w:pPr>
    </w:p>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关于对市</w:t>
      </w:r>
      <w:r>
        <w:rPr>
          <w:rFonts w:hint="eastAsia" w:ascii="方正小标宋简体" w:hAnsi="方正小标宋简体" w:eastAsia="方正小标宋简体" w:cs="方正小标宋简体"/>
          <w:sz w:val="44"/>
          <w:szCs w:val="44"/>
          <w:lang w:eastAsia="zh-CN"/>
        </w:rPr>
        <w:t>人大第十六</w:t>
      </w:r>
      <w:r>
        <w:rPr>
          <w:rFonts w:hint="eastAsia" w:ascii="方正小标宋简体" w:hAnsi="方正小标宋简体" w:eastAsia="方正小标宋简体" w:cs="方正小标宋简体"/>
          <w:sz w:val="44"/>
          <w:szCs w:val="44"/>
        </w:rPr>
        <w:t>届</w:t>
      </w:r>
      <w:r>
        <w:rPr>
          <w:rFonts w:hint="eastAsia" w:ascii="方正小标宋简体" w:hAnsi="方正小标宋简体" w:eastAsia="方正小标宋简体" w:cs="方正小标宋简体"/>
          <w:sz w:val="44"/>
          <w:szCs w:val="44"/>
          <w:lang w:eastAsia="zh-CN"/>
        </w:rPr>
        <w:t>人民代表大会</w:t>
      </w:r>
      <w:r>
        <w:rPr>
          <w:rFonts w:hint="eastAsia" w:ascii="方正小标宋简体" w:hAnsi="方正小标宋简体" w:eastAsia="方正小标宋简体" w:cs="方正小标宋简体"/>
          <w:sz w:val="44"/>
          <w:szCs w:val="44"/>
        </w:rPr>
        <w:t>第</w:t>
      </w:r>
      <w:r>
        <w:rPr>
          <w:rFonts w:hint="eastAsia" w:ascii="方正小标宋简体" w:hAnsi="方正小标宋简体" w:eastAsia="方正小标宋简体" w:cs="方正小标宋简体"/>
          <w:sz w:val="44"/>
          <w:szCs w:val="44"/>
          <w:lang w:val="en-US" w:eastAsia="zh-CN"/>
        </w:rPr>
        <w:t>1606016</w:t>
      </w:r>
      <w:r>
        <w:rPr>
          <w:rFonts w:hint="eastAsia" w:ascii="方正小标宋简体" w:hAnsi="方正小标宋简体" w:eastAsia="方正小标宋简体" w:cs="方正小标宋简体"/>
          <w:sz w:val="44"/>
          <w:szCs w:val="44"/>
        </w:rPr>
        <w:t>号</w:t>
      </w:r>
      <w:r>
        <w:rPr>
          <w:rFonts w:hint="eastAsia" w:ascii="方正小标宋简体" w:hAnsi="方正小标宋简体" w:eastAsia="方正小标宋简体" w:cs="方正小标宋简体"/>
          <w:sz w:val="44"/>
          <w:szCs w:val="44"/>
          <w:lang w:eastAsia="zh-CN"/>
        </w:rPr>
        <w:t>建议</w:t>
      </w:r>
      <w:r>
        <w:rPr>
          <w:rFonts w:hint="eastAsia" w:ascii="方正小标宋简体" w:hAnsi="方正小标宋简体" w:eastAsia="方正小标宋简体" w:cs="方正小标宋简体"/>
          <w:sz w:val="44"/>
          <w:szCs w:val="44"/>
        </w:rPr>
        <w:t>的答复</w:t>
      </w:r>
    </w:p>
    <w:p>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尊敬的李雪代表：</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您提出的“关于打造短视频孵化基地的建议”已收悉。经我们认真研究后，现答复如下：</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首先，非常感谢您对我市广播电视和网络视听高质量发展及微短剧产业发展的关心与支持。</w:t>
      </w:r>
    </w:p>
    <w:p>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黑体" w:hAnsi="黑体" w:eastAsia="黑体"/>
          <w:sz w:val="32"/>
          <w:szCs w:val="32"/>
        </w:rPr>
      </w:pPr>
      <w:r>
        <w:rPr>
          <w:rFonts w:hint="eastAsia" w:ascii="黑体" w:hAnsi="黑体" w:eastAsia="黑体"/>
          <w:sz w:val="32"/>
          <w:szCs w:val="32"/>
        </w:rPr>
        <w:t xml:space="preserve">    一、</w:t>
      </w:r>
      <w:r>
        <w:rPr>
          <w:rFonts w:hint="eastAsia" w:ascii="黑体" w:hAnsi="黑体" w:eastAsia="黑体"/>
          <w:sz w:val="32"/>
          <w:szCs w:val="32"/>
          <w:lang w:eastAsia="zh-CN"/>
        </w:rPr>
        <w:t>短视频</w:t>
      </w:r>
      <w:r>
        <w:rPr>
          <w:rFonts w:hint="eastAsia" w:ascii="黑体" w:hAnsi="黑体" w:eastAsia="黑体"/>
          <w:sz w:val="32"/>
          <w:szCs w:val="32"/>
        </w:rPr>
        <w:t>和</w:t>
      </w:r>
      <w:r>
        <w:rPr>
          <w:rFonts w:hint="eastAsia" w:ascii="黑体" w:hAnsi="黑体" w:eastAsia="黑体"/>
          <w:sz w:val="32"/>
          <w:szCs w:val="32"/>
          <w:lang w:eastAsia="zh-CN"/>
        </w:rPr>
        <w:t>微短剧</w:t>
      </w:r>
      <w:r>
        <w:rPr>
          <w:rFonts w:hint="eastAsia" w:ascii="黑体" w:hAnsi="黑体" w:eastAsia="黑体"/>
          <w:sz w:val="32"/>
          <w:szCs w:val="32"/>
        </w:rPr>
        <w:t>的概念</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短视频依托移动终端传播、时长通常在几分钟以内（多指5分钟内）、高频推送的视频内容，属碎片化信息传播载体。‌微短剧单集时长约几秒至2分钟左右，平台上架一般为60集以上，拥有‌相对明确的主题主线、连续完整的故事情节‌的剧集形态。截至目前，我国网络视听用户达‌10.99 亿‌，微短剧用户‌6.62 亿，微短剧活跃用户规模持续增长。随着微短剧产业发展和AI快速迭代，微短剧（短视频）在推动文旅产业发展、文旅宣传、城市品牌打造方面发挥着越来越重要的作用。‌‌</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黑体" w:hAnsi="黑体" w:eastAsia="黑体"/>
          <w:sz w:val="32"/>
          <w:szCs w:val="32"/>
          <w:lang w:eastAsia="zh-CN"/>
        </w:rPr>
      </w:pPr>
      <w:r>
        <w:rPr>
          <w:rFonts w:hint="eastAsia" w:ascii="黑体" w:hAnsi="黑体" w:eastAsia="黑体"/>
          <w:sz w:val="32"/>
          <w:szCs w:val="32"/>
        </w:rPr>
        <w:t>二、</w:t>
      </w:r>
      <w:r>
        <w:rPr>
          <w:rFonts w:hint="eastAsia" w:ascii="黑体" w:hAnsi="黑体" w:eastAsia="黑体"/>
          <w:sz w:val="32"/>
          <w:szCs w:val="32"/>
          <w:lang w:eastAsia="zh-CN"/>
        </w:rPr>
        <w:t>我市微短剧产业发展现状及工作举措</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去年以来，我市汇聚特色资源，纳入全省微短剧产业发展5+3地市行列，新业态培育初见成效，要素保障持续完善，精品微短剧、短视频持续推出并获得好评，微短剧（短视频）产业正在蓬勃发展。</w:t>
      </w:r>
    </w:p>
    <w:p>
      <w:pPr>
        <w:keepNext w:val="0"/>
        <w:keepLines w:val="0"/>
        <w:pageBreakBefore w:val="0"/>
        <w:widowControl w:val="0"/>
        <w:kinsoku/>
        <w:wordWrap/>
        <w:overflowPunct/>
        <w:topLinePunct w:val="0"/>
        <w:autoSpaceDE/>
        <w:autoSpaceDN/>
        <w:bidi w:val="0"/>
        <w:adjustRightInd/>
        <w:snapToGrid/>
        <w:spacing w:after="0" w:line="560" w:lineRule="exact"/>
        <w:ind w:firstLine="641"/>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精准把握行业发展节奏，分析研判当前微短剧产业发展形势，布局我市微短剧行业发展。按照卢省长今年5月11日作出的“微短剧不能每个市都搞，省内不能‘内卷’，未建基地的地市不能再投资搞微短剧，要适应AIGC新变化”批示精神和市委、市政府领导的重要批示精神，我局坚持政府引导、市场为主体、数字引领原则，指导全市微短剧创作品质提升、技术迭代创新、AI赋能产业发展。截至目前，我市已在阳泉记忆·1947文化园建成集技术、创作、人才、产业孵化于一体的1947 AIGC数字视听产业园，并挂牌1947 AIGC数字视听产业园（1947短剧超级工厂）、AIGC阿里国际人才孵化中心，正</w:t>
      </w:r>
      <w:bookmarkStart w:id="0" w:name="_GoBack"/>
      <w:bookmarkEnd w:id="0"/>
      <w:r>
        <w:rPr>
          <w:rFonts w:hint="eastAsia" w:ascii="仿宋_GB2312" w:hAnsi="仿宋_GB2312" w:eastAsia="仿宋_GB2312" w:cs="仿宋_GB2312"/>
          <w:sz w:val="32"/>
          <w:szCs w:val="32"/>
          <w:lang w:val="en-US" w:eastAsia="zh-CN"/>
        </w:rPr>
        <w:t>在开展线上线下微短剧场景及服务内容征集和非遗、文旅宣传短视频的制作，部分场景已纳入数据库。</w:t>
      </w:r>
      <w:r>
        <w:rPr>
          <w:rFonts w:hint="eastAsia" w:ascii="仿宋_GB2312" w:hAnsi="仿宋_GB2312" w:eastAsia="仿宋_GB2312" w:cs="仿宋_GB2312"/>
          <w:b w:val="0"/>
          <w:bCs w:val="0"/>
          <w:sz w:val="32"/>
          <w:szCs w:val="32"/>
          <w:lang w:val="en-US" w:eastAsia="zh-CN"/>
        </w:rPr>
        <w:t>我市拍摄制作的</w:t>
      </w:r>
      <w:r>
        <w:rPr>
          <w:rFonts w:hint="default" w:ascii="仿宋_GB2312" w:hAnsi="仿宋_GB2312" w:eastAsia="仿宋_GB2312" w:cs="仿宋_GB2312"/>
          <w:b w:val="0"/>
          <w:bCs w:val="0"/>
          <w:sz w:val="32"/>
          <w:szCs w:val="32"/>
          <w:lang w:val="en-US" w:eastAsia="zh-CN"/>
        </w:rPr>
        <w:t>2部</w:t>
      </w:r>
      <w:r>
        <w:rPr>
          <w:rFonts w:hint="eastAsia" w:ascii="仿宋_GB2312" w:hAnsi="仿宋_GB2312" w:eastAsia="仿宋_GB2312" w:cs="仿宋_GB2312"/>
          <w:b w:val="0"/>
          <w:bCs w:val="0"/>
          <w:sz w:val="32"/>
          <w:szCs w:val="32"/>
          <w:lang w:val="en-US" w:eastAsia="zh-CN"/>
        </w:rPr>
        <w:t>微短剧《重返1988》《阳泉旧信号》聚焦维尔康本土品牌传承创新</w:t>
      </w:r>
      <w:r>
        <w:rPr>
          <w:rFonts w:hint="default" w:ascii="仿宋_GB2312" w:hAnsi="仿宋_GB2312" w:eastAsia="仿宋_GB2312" w:cs="仿宋_GB2312"/>
          <w:b w:val="0"/>
          <w:bCs w:val="0"/>
          <w:sz w:val="32"/>
          <w:szCs w:val="32"/>
          <w:lang w:val="en-US" w:eastAsia="zh-CN"/>
        </w:rPr>
        <w:t>和</w:t>
      </w:r>
      <w:r>
        <w:rPr>
          <w:rFonts w:hint="eastAsia" w:ascii="仿宋_GB2312" w:hAnsi="仿宋_GB2312" w:eastAsia="仿宋_GB2312" w:cs="仿宋_GB2312"/>
          <w:b w:val="0"/>
          <w:bCs w:val="0"/>
          <w:sz w:val="32"/>
          <w:szCs w:val="32"/>
          <w:lang w:val="en-US" w:eastAsia="zh-CN"/>
        </w:rPr>
        <w:t>城市沧桑巨变，引发观众共鸣和传播，为阳泉文旅发展注入新动能。</w:t>
      </w:r>
      <w:r>
        <w:rPr>
          <w:rFonts w:hint="eastAsia" w:ascii="仿宋_GB2312" w:hAnsi="仿宋_GB2312" w:eastAsia="仿宋_GB2312" w:cs="仿宋_GB2312"/>
          <w:sz w:val="32"/>
          <w:szCs w:val="32"/>
          <w:lang w:val="en-US" w:eastAsia="zh-CN"/>
        </w:rPr>
        <w:t>《重返1988》</w:t>
      </w:r>
      <w:r>
        <w:rPr>
          <w:rFonts w:hint="eastAsia" w:ascii="仿宋_GB2312" w:hAnsi="仿宋_GB2312" w:eastAsia="仿宋_GB2312" w:cs="仿宋_GB2312"/>
          <w:b w:val="0"/>
          <w:bCs w:val="0"/>
          <w:sz w:val="32"/>
          <w:szCs w:val="32"/>
          <w:lang w:val="en-US" w:eastAsia="zh-CN"/>
        </w:rPr>
        <w:t>上架红果</w:t>
      </w:r>
      <w:r>
        <w:rPr>
          <w:rFonts w:hint="default" w:ascii="仿宋_GB2312" w:hAnsi="仿宋_GB2312" w:eastAsia="仿宋_GB2312" w:cs="仿宋_GB2312"/>
          <w:b w:val="0"/>
          <w:bCs w:val="0"/>
          <w:sz w:val="32"/>
          <w:szCs w:val="32"/>
          <w:lang w:val="en-US" w:eastAsia="zh-CN"/>
        </w:rPr>
        <w:t>平台后</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sz w:val="32"/>
          <w:szCs w:val="32"/>
          <w:lang w:val="en-US" w:eastAsia="zh-CN"/>
        </w:rPr>
        <w:t>在红果APP热度达729万（综合播放量、用户互动及付费转化等多维度指标），后台播放量破3亿次，并已上线海外平台进行播放。制作播出的AIGC微短剧《娘子关的夜航船》、AIGC短视频《北国之城》《记忆之城》《科幻之城》广受市民群众欢迎和传播。《藏山》AIGC网络电影、《昭平阳》《平阳公主 娘子军传奇》《幸福402》正在策划和资金筹集，部分预告片已推出。</w:t>
      </w:r>
    </w:p>
    <w:p>
      <w:pPr>
        <w:keepNext w:val="0"/>
        <w:keepLines w:val="0"/>
        <w:pageBreakBefore w:val="0"/>
        <w:widowControl w:val="0"/>
        <w:kinsoku/>
        <w:wordWrap/>
        <w:overflowPunct/>
        <w:topLinePunct w:val="0"/>
        <w:autoSpaceDE/>
        <w:autoSpaceDN/>
        <w:bidi w:val="0"/>
        <w:adjustRightInd/>
        <w:snapToGrid/>
        <w:spacing w:after="0" w:line="560" w:lineRule="exact"/>
        <w:ind w:firstLine="641"/>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是优化营商环境和审批服务，积极培育新业态及市场主体。我局积极对接省广电局、市委宣传部、市统计局有关政策，鼓励支持微短剧制作企业落地我市，每月调度统计微短剧行业发展数据，及时做好咨询和审批服务。我市现持有省广播电视局发放的《广播电视节目制作经营许可证》且具备微短剧制作资质的单位共20家。今年落地2家微短剧制作机构（AIGC影视漫剧制作团队和微短剧全产业链孵化企业阳泉星晨伟业咨询有限公司、阳泉文化旅游投资有限公司）。目前，两家公司已落地阳泉记忆·1947文化园，并与多家头部平台达成AI漫剧与仿真人剧的承制合作，与国内知名文旅公司签订合作项目，配备毫米级光学动态捕捉、MR混合现实、AI虚拟数字人、XR虚拟制片影棚等先进设备。我局持续开展线上微短剧政策业务的相关培训，对AI微短剧分类分层标准、规范治理进行宣贯，并组织相关制作单位参加微短剧专题培训班和产业协作交流会，搭建与主流平台的合作交流平台，不断提升我市相关从业者、制作机构、创作者的制作水平。</w:t>
      </w:r>
    </w:p>
    <w:p>
      <w:pPr>
        <w:keepNext w:val="0"/>
        <w:keepLines w:val="0"/>
        <w:pageBreakBefore w:val="0"/>
        <w:widowControl w:val="0"/>
        <w:kinsoku/>
        <w:wordWrap/>
        <w:overflowPunct/>
        <w:topLinePunct w:val="0"/>
        <w:autoSpaceDE/>
        <w:autoSpaceDN/>
        <w:bidi w:val="0"/>
        <w:adjustRightInd/>
        <w:snapToGrid/>
        <w:spacing w:after="0" w:line="560" w:lineRule="exact"/>
        <w:ind w:firstLine="641"/>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三是结合AIGC发展趋势，因地制宜，做好政策引导和要素保障，推动产业发展和对外传播。</w:t>
      </w:r>
      <w:r>
        <w:rPr>
          <w:rFonts w:hint="eastAsia" w:ascii="仿宋_GB2312" w:hAnsi="仿宋_GB2312" w:eastAsia="仿宋_GB2312" w:cs="仿宋_GB2312"/>
          <w:b w:val="0"/>
          <w:bCs w:val="0"/>
          <w:color w:val="auto"/>
          <w:spacing w:val="0"/>
          <w:sz w:val="32"/>
          <w:szCs w:val="32"/>
          <w:lang w:val="en-US" w:eastAsia="zh-CN"/>
        </w:rPr>
        <w:t>我局和城区政府梳理城区空闲楼盘及园区资源，邀请吉祥文化等微短剧制作公司进行微短剧项目考察，并支持制作企业落地我市，协调工信局等部门帮助企业选址，促进资源盘活利用。</w:t>
      </w:r>
      <w:r>
        <w:rPr>
          <w:rFonts w:hint="eastAsia" w:ascii="仿宋_GB2312" w:hAnsi="仿宋_GB2312" w:eastAsia="仿宋_GB2312" w:cs="仿宋_GB2312"/>
          <w:sz w:val="32"/>
          <w:szCs w:val="32"/>
          <w:lang w:val="en-US" w:eastAsia="zh-CN"/>
        </w:rPr>
        <w:t>我局积极和市教育局进行对接，推动本地学校与1947 AIGC数字视听产业园的相关合作。园区已与山西工程技术学院、阳泉职业技术学院、阳泉师范高等学校签署战略合作协议，实行产教一体化模式，面向学生提供实习与就业岗位，一期邀请行业内专家进行60人AIGC培训已取得初步成效。预计到2027年年初，园区将形成上百人的固定制作团队，月产AI短剧30至50部，并具备年产5至10部AIGC电影的能力。此外，</w:t>
      </w:r>
      <w:r>
        <w:rPr>
          <w:rFonts w:hint="eastAsia" w:ascii="仿宋_GB2312" w:hAnsi="仿宋_GB2312" w:eastAsia="仿宋_GB2312" w:cs="仿宋_GB2312"/>
          <w:color w:val="auto"/>
          <w:sz w:val="32"/>
          <w:szCs w:val="32"/>
          <w:lang w:val="en-US" w:eastAsia="zh-CN"/>
        </w:rPr>
        <w:t>对接市委人才办、人社部门、高新区和有关企业，完善人才、OPC一人公司、Token业务等综合要素保障，引导微短剧制作拍摄。</w:t>
      </w:r>
      <w:r>
        <w:rPr>
          <w:rFonts w:hint="eastAsia" w:ascii="仿宋_GB2312" w:hAnsi="仿宋_GB2312" w:eastAsia="仿宋_GB2312" w:cs="仿宋_GB2312"/>
          <w:sz w:val="32"/>
          <w:szCs w:val="32"/>
          <w:lang w:val="en-US" w:eastAsia="zh-CN"/>
        </w:rPr>
        <w:t>帮助园区进行演员招募宣推，已有500余人参与短剧演员招募工作，当前正在开展短剧演员培训、拍摄制作。</w:t>
      </w:r>
      <w:r>
        <w:rPr>
          <w:rFonts w:hint="eastAsia" w:ascii="仿宋_GB2312" w:hAnsi="仿宋_GB2312" w:eastAsia="仿宋_GB2312" w:cs="仿宋_GB2312"/>
          <w:b w:val="0"/>
          <w:bCs w:val="0"/>
          <w:color w:val="auto"/>
          <w:spacing w:val="0"/>
          <w:sz w:val="32"/>
          <w:szCs w:val="32"/>
          <w:lang w:val="en-US" w:eastAsia="zh-CN"/>
        </w:rPr>
        <w:t>我局认真</w:t>
      </w:r>
      <w:r>
        <w:rPr>
          <w:rFonts w:hint="eastAsia" w:ascii="仿宋_GB2312" w:hAnsi="仿宋_GB2312" w:eastAsia="仿宋_GB2312" w:cs="仿宋_GB2312"/>
          <w:color w:val="auto"/>
          <w:sz w:val="32"/>
          <w:szCs w:val="32"/>
          <w:lang w:val="en-US" w:eastAsia="zh-CN"/>
        </w:rPr>
        <w:t>对照省、市财政部门对微短剧基地建设及相关企业政策支持奖补负面清单要求进行清理整治，因相关限制条件，暂未出台市级政策。</w:t>
      </w:r>
      <w:r>
        <w:rPr>
          <w:rFonts w:hint="eastAsia" w:ascii="仿宋_GB2312" w:hAnsi="仿宋_GB2312" w:eastAsia="仿宋_GB2312" w:cs="仿宋_GB2312"/>
          <w:sz w:val="32"/>
          <w:szCs w:val="32"/>
          <w:lang w:val="en-US" w:eastAsia="zh-CN"/>
        </w:rPr>
        <w:t>今年7月，《山西省促进微短剧产业高质量发展若干举措》已出台，涉及微短剧剧本奖励、精品扶持、技术支持、备案提速等多项利好政策，我局将做好政策指引，对入围国家广电总局、省广电局优秀作品库的经典作品，给予支持和重点宣推，引导相关制作企业用好政策、用足政策。</w:t>
      </w:r>
    </w:p>
    <w:p>
      <w:pPr>
        <w:keepNext w:val="0"/>
        <w:keepLines w:val="0"/>
        <w:pageBreakBefore w:val="0"/>
        <w:widowControl w:val="0"/>
        <w:kinsoku/>
        <w:wordWrap/>
        <w:overflowPunct/>
        <w:topLinePunct w:val="0"/>
        <w:autoSpaceDE/>
        <w:autoSpaceDN/>
        <w:bidi w:val="0"/>
        <w:adjustRightInd/>
        <w:snapToGrid/>
        <w:spacing w:after="0" w:line="560" w:lineRule="exact"/>
        <w:ind w:firstLine="641"/>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下一步，我们将积极响应微短剧黄金发展期需求，强化要素保障和支持，聚焦特色资源活化利用和“四城四景”建设，制作拍摄系列精品微短剧（短视频），突出阳泉微短剧特色赛道差异化发展优势。通过加强精品微短剧的主题策划、创作生产和传播宣推的力度，积极搭建活动交流平台、项目资金对接平台，拓展“阳泉记忆·1947”文化园、狮脑山、娘子关电厂旧址等红色景区景点为拍摄取景地，培养更多微短剧专业人才，打造多个文旅互动体验场景，刺激本地消费需求，延伸产业链条。在“十五五”期间，推动符合条件的主体参与创作生产，激活市场主体活力，鼓励支持制作机构精品创作，鼓励本地作家参与剧本创作，优化精品供给、构建人才矩阵，深化产业协同，构建良性发展生态，拓展微短剧的国际传播及影响力。</w:t>
      </w:r>
    </w:p>
    <w:p>
      <w:pPr>
        <w:keepNext w:val="0"/>
        <w:keepLines w:val="0"/>
        <w:pageBreakBefore w:val="0"/>
        <w:widowControl w:val="0"/>
        <w:kinsoku/>
        <w:wordWrap/>
        <w:overflowPunct/>
        <w:topLinePunct w:val="0"/>
        <w:autoSpaceDE/>
        <w:autoSpaceDN/>
        <w:bidi w:val="0"/>
        <w:adjustRightInd/>
        <w:snapToGrid/>
        <w:spacing w:after="0" w:line="520" w:lineRule="exact"/>
        <w:ind w:firstLine="584"/>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以上答复是否满意，如有意见，敬请及时反馈。</w:t>
      </w:r>
    </w:p>
    <w:p>
      <w:pPr>
        <w:keepNext w:val="0"/>
        <w:keepLines w:val="0"/>
        <w:pageBreakBefore w:val="0"/>
        <w:widowControl w:val="0"/>
        <w:kinsoku/>
        <w:wordWrap/>
        <w:overflowPunct/>
        <w:topLinePunct w:val="0"/>
        <w:autoSpaceDE/>
        <w:autoSpaceDN/>
        <w:bidi w:val="0"/>
        <w:adjustRightInd/>
        <w:snapToGrid/>
        <w:spacing w:after="0" w:line="520" w:lineRule="exact"/>
        <w:ind w:firstLine="584"/>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sz w:val="32"/>
          <w:szCs w:val="32"/>
        </w:rPr>
        <w:t>感谢您对</w:t>
      </w:r>
      <w:r>
        <w:rPr>
          <w:rFonts w:hint="eastAsia" w:ascii="仿宋_GB2312" w:hAnsi="仿宋_GB2312" w:eastAsia="仿宋_GB2312" w:cs="仿宋_GB2312"/>
          <w:b w:val="0"/>
          <w:bCs w:val="0"/>
          <w:sz w:val="32"/>
          <w:szCs w:val="32"/>
          <w:lang w:eastAsia="zh-CN"/>
        </w:rPr>
        <w:t>市文旅</w:t>
      </w:r>
      <w:r>
        <w:rPr>
          <w:rFonts w:hint="eastAsia" w:ascii="仿宋_GB2312" w:hAnsi="仿宋_GB2312" w:eastAsia="仿宋_GB2312" w:cs="仿宋_GB2312"/>
          <w:b w:val="0"/>
          <w:bCs w:val="0"/>
          <w:sz w:val="32"/>
          <w:szCs w:val="32"/>
          <w:lang w:val="en-US" w:eastAsia="zh-CN"/>
        </w:rPr>
        <w:t>(广电)</w:t>
      </w:r>
      <w:r>
        <w:rPr>
          <w:rFonts w:hint="eastAsia" w:ascii="仿宋_GB2312" w:hAnsi="仿宋_GB2312" w:eastAsia="仿宋_GB2312" w:cs="仿宋_GB2312"/>
          <w:b w:val="0"/>
          <w:bCs w:val="0"/>
          <w:sz w:val="32"/>
          <w:szCs w:val="32"/>
        </w:rPr>
        <w:t>方面工作的关心和支持，并欢迎今后提出更多的宝贵意见。</w:t>
      </w:r>
    </w:p>
    <w:p>
      <w:pPr>
        <w:keepNext w:val="0"/>
        <w:keepLines w:val="0"/>
        <w:pageBreakBefore w:val="0"/>
        <w:kinsoku/>
        <w:wordWrap/>
        <w:overflowPunct/>
        <w:topLinePunct w:val="0"/>
        <w:autoSpaceDE/>
        <w:autoSpaceDN/>
        <w:bidi w:val="0"/>
        <w:adjustRightInd/>
        <w:snapToGrid/>
        <w:spacing w:line="520" w:lineRule="exact"/>
        <w:ind w:firstLine="585"/>
        <w:textAlignment w:val="auto"/>
        <w:rPr>
          <w:rFonts w:hint="eastAsia" w:ascii="仿宋_GB2312" w:hAnsi="仿宋_GB2312" w:eastAsia="仿宋_GB2312" w:cs="仿宋_GB2312"/>
          <w:b w:val="0"/>
          <w:bCs w:val="0"/>
          <w:sz w:val="32"/>
          <w:szCs w:val="32"/>
        </w:rPr>
      </w:pPr>
    </w:p>
    <w:p>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rPr>
      </w:pPr>
      <w:r>
        <w:rPr>
          <w:rFonts w:hint="eastAsia" w:ascii="仿宋_GB2312" w:hAnsi="仿宋_GB2312" w:eastAsia="仿宋_GB2312" w:cs="仿宋_GB2312"/>
          <w:b w:val="0"/>
          <w:bCs w:val="0"/>
          <w:sz w:val="32"/>
          <w:szCs w:val="32"/>
        </w:rPr>
        <w:t>单位负责人：</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承  办  人：</w:t>
      </w:r>
      <w:r>
        <w:rPr>
          <w:rFonts w:hint="eastAsia" w:ascii="仿宋_GB2312" w:hAnsi="仿宋_GB2312" w:eastAsia="仿宋_GB2312" w:cs="仿宋_GB2312"/>
          <w:b w:val="0"/>
          <w:bCs w:val="0"/>
          <w:sz w:val="32"/>
          <w:szCs w:val="32"/>
          <w:lang w:eastAsia="zh-CN"/>
        </w:rPr>
        <w:t>张瀚尹</w:t>
      </w:r>
    </w:p>
    <w:p>
      <w:pPr>
        <w:keepNext w:val="0"/>
        <w:keepLines w:val="0"/>
        <w:pageBreakBefore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pacing w:val="50"/>
          <w:sz w:val="32"/>
          <w:szCs w:val="32"/>
        </w:rPr>
        <w:t>联系电</w:t>
      </w:r>
      <w:r>
        <w:rPr>
          <w:rFonts w:hint="eastAsia" w:ascii="仿宋_GB2312" w:hAnsi="仿宋_GB2312" w:eastAsia="仿宋_GB2312" w:cs="仿宋_GB2312"/>
          <w:b w:val="0"/>
          <w:bCs w:val="0"/>
          <w:spacing w:val="-10"/>
          <w:sz w:val="32"/>
          <w:szCs w:val="32"/>
        </w:rPr>
        <w:t>话：</w:t>
      </w:r>
      <w:r>
        <w:rPr>
          <w:rFonts w:hint="eastAsia" w:ascii="仿宋_GB2312" w:hAnsi="仿宋_GB2312" w:eastAsia="仿宋_GB2312" w:cs="仿宋_GB2312"/>
          <w:b w:val="0"/>
          <w:bCs w:val="0"/>
          <w:spacing w:val="-10"/>
          <w:sz w:val="32"/>
          <w:szCs w:val="32"/>
          <w:lang w:val="en"/>
        </w:rPr>
        <w:t>2293</w:t>
      </w:r>
      <w:r>
        <w:rPr>
          <w:rFonts w:hint="eastAsia" w:ascii="仿宋_GB2312" w:hAnsi="仿宋_GB2312" w:eastAsia="仿宋_GB2312" w:cs="仿宋_GB2312"/>
          <w:b w:val="0"/>
          <w:bCs w:val="0"/>
          <w:spacing w:val="-10"/>
          <w:sz w:val="32"/>
          <w:szCs w:val="32"/>
          <w:lang w:val="en-US" w:eastAsia="zh-CN"/>
        </w:rPr>
        <w:t>683</w:t>
      </w:r>
    </w:p>
    <w:p>
      <w:pPr>
        <w:keepNext w:val="0"/>
        <w:keepLines w:val="0"/>
        <w:pageBreakBefore w:val="0"/>
        <w:kinsoku/>
        <w:wordWrap/>
        <w:overflowPunct/>
        <w:topLinePunct w:val="0"/>
        <w:autoSpaceDE/>
        <w:autoSpaceDN/>
        <w:bidi w:val="0"/>
        <w:adjustRightInd/>
        <w:snapToGrid/>
        <w:spacing w:line="520" w:lineRule="exact"/>
        <w:ind w:firstLine="7040" w:firstLineChars="2200"/>
        <w:textAlignment w:val="auto"/>
        <w:rPr>
          <w:rFonts w:hint="eastAsia" w:ascii="仿宋_GB2312" w:hAnsi="仿宋_GB2312" w:eastAsia="仿宋_GB2312" w:cs="仿宋_GB2312"/>
          <w:b w:val="0"/>
          <w:bCs w:val="0"/>
          <w:sz w:val="32"/>
          <w:szCs w:val="32"/>
        </w:rPr>
      </w:pPr>
    </w:p>
    <w:p>
      <w:pPr>
        <w:pStyle w:val="2"/>
        <w:rPr>
          <w:rFonts w:hint="eastAsia"/>
        </w:rPr>
      </w:pPr>
    </w:p>
    <w:p>
      <w:pPr>
        <w:keepNext w:val="0"/>
        <w:keepLines w:val="0"/>
        <w:pageBreakBefore w:val="0"/>
        <w:kinsoku/>
        <w:wordWrap/>
        <w:overflowPunct/>
        <w:topLinePunct w:val="0"/>
        <w:autoSpaceDE/>
        <w:autoSpaceDN/>
        <w:bidi w:val="0"/>
        <w:adjustRightInd/>
        <w:snapToGrid/>
        <w:spacing w:line="520" w:lineRule="exact"/>
        <w:ind w:firstLine="4480" w:firstLineChars="14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阳泉市</w:t>
      </w:r>
      <w:r>
        <w:rPr>
          <w:rFonts w:hint="eastAsia" w:ascii="仿宋_GB2312" w:hAnsi="仿宋_GB2312" w:eastAsia="仿宋_GB2312" w:cs="仿宋_GB2312"/>
          <w:b w:val="0"/>
          <w:bCs w:val="0"/>
          <w:sz w:val="32"/>
          <w:szCs w:val="32"/>
          <w:lang w:eastAsia="zh-CN"/>
        </w:rPr>
        <w:t>文化和旅游</w:t>
      </w:r>
      <w:r>
        <w:rPr>
          <w:rFonts w:hint="eastAsia" w:ascii="仿宋_GB2312" w:hAnsi="仿宋_GB2312" w:eastAsia="仿宋_GB2312" w:cs="仿宋_GB2312"/>
          <w:b w:val="0"/>
          <w:bCs w:val="0"/>
          <w:sz w:val="32"/>
          <w:szCs w:val="32"/>
        </w:rPr>
        <w:t>局</w:t>
      </w:r>
      <w:r>
        <w:rPr>
          <w:rFonts w:hint="eastAsia" w:ascii="仿宋_GB2312" w:hAnsi="仿宋_GB2312" w:eastAsia="仿宋_GB2312" w:cs="仿宋_GB2312"/>
          <w:b w:val="0"/>
          <w:bCs w:val="0"/>
          <w:sz w:val="32"/>
          <w:szCs w:val="32"/>
          <w:lang w:val="en-US" w:eastAsia="zh-CN"/>
        </w:rPr>
        <w:t xml:space="preserve">        </w:t>
      </w:r>
    </w:p>
    <w:p>
      <w:pPr>
        <w:keepNext w:val="0"/>
        <w:keepLines w:val="0"/>
        <w:pageBreakBefore w:val="0"/>
        <w:kinsoku/>
        <w:wordWrap/>
        <w:overflowPunct/>
        <w:topLinePunct w:val="0"/>
        <w:autoSpaceDE/>
        <w:autoSpaceDN/>
        <w:bidi w:val="0"/>
        <w:adjustRightInd/>
        <w:snapToGrid/>
        <w:spacing w:line="520" w:lineRule="exact"/>
        <w:ind w:firstLine="4800" w:firstLineChars="1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年</w:t>
      </w:r>
      <w:r>
        <w:rPr>
          <w:rFonts w:hint="eastAsia" w:ascii="仿宋_GB2312" w:hAnsi="仿宋_GB2312" w:eastAsia="仿宋_GB2312" w:cs="仿宋_GB2312"/>
          <w:b w:val="0"/>
          <w:bCs w:val="0"/>
          <w:sz w:val="32"/>
          <w:szCs w:val="32"/>
          <w:lang w:val="en"/>
        </w:rPr>
        <w:t>7</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27</w:t>
      </w:r>
      <w:r>
        <w:rPr>
          <w:rFonts w:hint="eastAsia" w:ascii="仿宋_GB2312" w:hAnsi="仿宋_GB2312" w:eastAsia="仿宋_GB2312" w:cs="仿宋_GB2312"/>
          <w:b w:val="0"/>
          <w:bCs w:val="0"/>
          <w:sz w:val="32"/>
          <w:szCs w:val="32"/>
        </w:rPr>
        <w:t>日</w:t>
      </w:r>
    </w:p>
    <w:p>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Arial">
    <w:altName w:val="Nimbus Roman No9 L"/>
    <w:panose1 w:val="00000000000000000000"/>
    <w:charset w:val="00"/>
    <w:family w:val="auto"/>
    <w:pitch w:val="default"/>
    <w:sig w:usb0="00000000" w:usb1="00000000" w:usb2="00000000" w:usb3="00000000" w:csb0="0000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等线">
    <w:altName w:val="仿宋_GB2312"/>
    <w:panose1 w:val="00000000000000000000"/>
    <w:charset w:val="86"/>
    <w:family w:val="auto"/>
    <w:pitch w:val="default"/>
    <w:sig w:usb0="00000000" w:usb1="00000000" w:usb2="00000000" w:usb3="00000000" w:csb0="00000000" w:csb1="00000000"/>
  </w:font>
  <w:font w:name="等线">
    <w:altName w:val="C059"/>
    <w:panose1 w:val="00000000000000000000"/>
    <w:charset w:val="00"/>
    <w:family w:val="auto"/>
    <w:pitch w:val="default"/>
    <w:sig w:usb0="00000000" w:usb1="00000000" w:usb2="00000000" w:usb3="00000000" w:csb0="00000000" w:csb1="00000000"/>
  </w:font>
  <w:font w:name="等线 Light">
    <w:altName w:val="华文仿宋"/>
    <w:panose1 w:val="02010600030101010101"/>
    <w:charset w:val="86"/>
    <w:family w:val="auto"/>
    <w:pitch w:val="default"/>
    <w:sig w:usb0="00000000" w:usb1="00000000" w:usb2="00000016" w:usb3="00000000" w:csb0="0004000F" w:csb1="00000000"/>
  </w:font>
  <w:font w:name="CESI仿宋-GB2312">
    <w:panose1 w:val="02000500000000000000"/>
    <w:charset w:val="86"/>
    <w:family w:val="auto"/>
    <w:pitch w:val="default"/>
    <w:sig w:usb0="800002AF" w:usb1="084F6CF8" w:usb2="00000010" w:usb3="00000000" w:csb0="0004000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C059">
    <w:panose1 w:val="00000500000000000000"/>
    <w:charset w:val="00"/>
    <w:family w:val="auto"/>
    <w:pitch w:val="default"/>
    <w:sig w:usb0="00000287" w:usb1="00000800" w:usb2="00000000" w:usb3="00000000" w:csb0="6000009F" w:csb1="00000000"/>
  </w:font>
  <w:font w:name="等线 Light">
    <w:altName w:val="C059"/>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athJax_Vector">
    <w:panose1 w:val="02000603000000000000"/>
    <w:charset w:val="00"/>
    <w:family w:val="auto"/>
    <w:pitch w:val="default"/>
    <w:sig w:usb0="00000001" w:usb1="0000002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8CB"/>
    <w:rsid w:val="00075C44"/>
    <w:rsid w:val="000F5EB2"/>
    <w:rsid w:val="00123808"/>
    <w:rsid w:val="00124DDB"/>
    <w:rsid w:val="001317FA"/>
    <w:rsid w:val="001D7168"/>
    <w:rsid w:val="00226EFE"/>
    <w:rsid w:val="003E0E78"/>
    <w:rsid w:val="004867EA"/>
    <w:rsid w:val="00496036"/>
    <w:rsid w:val="005274C8"/>
    <w:rsid w:val="00557A91"/>
    <w:rsid w:val="005D7E89"/>
    <w:rsid w:val="005E6F72"/>
    <w:rsid w:val="006018CB"/>
    <w:rsid w:val="0064018C"/>
    <w:rsid w:val="006F4B04"/>
    <w:rsid w:val="00731CD7"/>
    <w:rsid w:val="007A1CB4"/>
    <w:rsid w:val="007F7747"/>
    <w:rsid w:val="00825986"/>
    <w:rsid w:val="009178BF"/>
    <w:rsid w:val="009B2BC7"/>
    <w:rsid w:val="00AF598A"/>
    <w:rsid w:val="00B3180B"/>
    <w:rsid w:val="00B3282B"/>
    <w:rsid w:val="00B659B8"/>
    <w:rsid w:val="00B90994"/>
    <w:rsid w:val="00BA34CB"/>
    <w:rsid w:val="00CD5E53"/>
    <w:rsid w:val="00D508AA"/>
    <w:rsid w:val="00E21B32"/>
    <w:rsid w:val="00E84D68"/>
    <w:rsid w:val="067F9951"/>
    <w:rsid w:val="4E3F2E75"/>
    <w:rsid w:val="724BAA69"/>
    <w:rsid w:val="7F2F29E1"/>
    <w:rsid w:val="7FD7C691"/>
    <w:rsid w:val="B2BCF633"/>
    <w:rsid w:val="EEED95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4">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5">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6">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7">
    <w:name w:val="heading 5"/>
    <w:basedOn w:val="1"/>
    <w:next w:val="1"/>
    <w:link w:val="22"/>
    <w:semiHidden/>
    <w:unhideWhenUsed/>
    <w:qFormat/>
    <w:uiPriority w:val="9"/>
    <w:pPr>
      <w:keepNext/>
      <w:keepLines/>
      <w:spacing w:before="80" w:after="40"/>
      <w:outlineLvl w:val="4"/>
    </w:pPr>
    <w:rPr>
      <w:rFonts w:cstheme="majorBidi"/>
      <w:color w:val="2F5597" w:themeColor="accent1" w:themeShade="BF"/>
      <w:sz w:val="24"/>
    </w:rPr>
  </w:style>
  <w:style w:type="paragraph" w:styleId="8">
    <w:name w:val="heading 6"/>
    <w:basedOn w:val="1"/>
    <w:next w:val="1"/>
    <w:link w:val="23"/>
    <w:semiHidden/>
    <w:unhideWhenUsed/>
    <w:qFormat/>
    <w:uiPriority w:val="9"/>
    <w:pPr>
      <w:keepNext/>
      <w:keepLines/>
      <w:spacing w:before="40" w:after="0"/>
      <w:outlineLvl w:val="5"/>
    </w:pPr>
    <w:rPr>
      <w:rFonts w:cstheme="majorBidi"/>
      <w:b/>
      <w:bCs/>
      <w:color w:val="2F5597" w:themeColor="accent1" w:themeShade="BF"/>
    </w:rPr>
  </w:style>
  <w:style w:type="paragraph" w:styleId="9">
    <w:name w:val="heading 7"/>
    <w:basedOn w:val="1"/>
    <w:next w:val="1"/>
    <w:link w:val="24"/>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5"/>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26"/>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27"/>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2">
    <w:name w:val="footer"/>
    <w:basedOn w:val="1"/>
    <w:link w:val="37"/>
    <w:unhideWhenUsed/>
    <w:qFormat/>
    <w:uiPriority w:val="99"/>
    <w:pPr>
      <w:tabs>
        <w:tab w:val="center" w:pos="4153"/>
        <w:tab w:val="right" w:pos="8306"/>
      </w:tabs>
      <w:snapToGrid w:val="0"/>
      <w:spacing w:line="240" w:lineRule="auto"/>
    </w:pPr>
    <w:rPr>
      <w:sz w:val="18"/>
      <w:szCs w:val="18"/>
    </w:rPr>
  </w:style>
  <w:style w:type="paragraph" w:styleId="13">
    <w:name w:val="header"/>
    <w:basedOn w:val="1"/>
    <w:link w:val="36"/>
    <w:unhideWhenUsed/>
    <w:qFormat/>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2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semiHidden/>
    <w:unhideWhenUsed/>
    <w:qFormat/>
    <w:uiPriority w:val="99"/>
    <w:rPr>
      <w:rFonts w:ascii="Times New Roman" w:hAnsi="Times New Roman" w:cs="Times New Roman"/>
      <w:sz w:val="24"/>
    </w:rPr>
  </w:style>
  <w:style w:type="character" w:customStyle="1" w:styleId="18">
    <w:name w:val="标题 1 字符"/>
    <w:basedOn w:val="17"/>
    <w:link w:val="3"/>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7"/>
    <w:link w:val="4"/>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7"/>
    <w:link w:val="5"/>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7"/>
    <w:link w:val="6"/>
    <w:semiHidden/>
    <w:qFormat/>
    <w:uiPriority w:val="9"/>
    <w:rPr>
      <w:rFonts w:cstheme="majorBidi"/>
      <w:color w:val="2F5597" w:themeColor="accent1" w:themeShade="BF"/>
      <w:sz w:val="28"/>
      <w:szCs w:val="28"/>
    </w:rPr>
  </w:style>
  <w:style w:type="character" w:customStyle="1" w:styleId="22">
    <w:name w:val="标题 5 字符"/>
    <w:basedOn w:val="17"/>
    <w:link w:val="7"/>
    <w:semiHidden/>
    <w:qFormat/>
    <w:uiPriority w:val="9"/>
    <w:rPr>
      <w:rFonts w:cstheme="majorBidi"/>
      <w:color w:val="2F5597" w:themeColor="accent1" w:themeShade="BF"/>
      <w:sz w:val="24"/>
    </w:rPr>
  </w:style>
  <w:style w:type="character" w:customStyle="1" w:styleId="23">
    <w:name w:val="标题 6 字符"/>
    <w:basedOn w:val="17"/>
    <w:link w:val="8"/>
    <w:semiHidden/>
    <w:qFormat/>
    <w:uiPriority w:val="9"/>
    <w:rPr>
      <w:rFonts w:cstheme="majorBidi"/>
      <w:b/>
      <w:bCs/>
      <w:color w:val="2F5597" w:themeColor="accent1" w:themeShade="BF"/>
    </w:rPr>
  </w:style>
  <w:style w:type="character" w:customStyle="1" w:styleId="24">
    <w:name w:val="标题 7 字符"/>
    <w:basedOn w:val="17"/>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2"/>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7"/>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7"/>
    <w:link w:val="33"/>
    <w:qFormat/>
    <w:uiPriority w:val="30"/>
    <w:rPr>
      <w:i/>
      <w:iCs/>
      <w:color w:val="2F5597" w:themeColor="accent1" w:themeShade="BF"/>
    </w:rPr>
  </w:style>
  <w:style w:type="character" w:customStyle="1" w:styleId="35">
    <w:name w:val="Intense Reference"/>
    <w:basedOn w:val="17"/>
    <w:qFormat/>
    <w:uiPriority w:val="32"/>
    <w:rPr>
      <w:b/>
      <w:bCs/>
      <w:smallCaps/>
      <w:color w:val="2F5597" w:themeColor="accent1" w:themeShade="BF"/>
      <w:spacing w:val="5"/>
    </w:rPr>
  </w:style>
  <w:style w:type="character" w:customStyle="1" w:styleId="36">
    <w:name w:val="页眉 字符"/>
    <w:basedOn w:val="17"/>
    <w:link w:val="13"/>
    <w:qFormat/>
    <w:uiPriority w:val="99"/>
    <w:rPr>
      <w:sz w:val="18"/>
      <w:szCs w:val="18"/>
    </w:rPr>
  </w:style>
  <w:style w:type="character" w:customStyle="1" w:styleId="37">
    <w:name w:val="页脚 字符"/>
    <w:basedOn w:val="17"/>
    <w:link w:val="1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2437</Words>
  <Characters>2557</Characters>
  <Lines>6</Lines>
  <Paragraphs>1</Paragraphs>
  <TotalTime>1</TotalTime>
  <ScaleCrop>false</ScaleCrop>
  <LinksUpToDate>false</LinksUpToDate>
  <CharactersWithSpaces>2579</CharactersWithSpaces>
  <Application>WPS Office_11.8.2.1122_F1E327BC-269C-435d-A152-05C5408002CA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2025-07-01T23:26:00Z</dcterms:created>
  <dc:creator>卫光 温</dc:creator>
  <cp:lastModifiedBy>greatwall</cp:lastModifiedBy>
  <dcterms:modified xsi:type="dcterms:W3CDTF">2026-07-29T19:56:37Z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2052-11.8.2.1122</vt:lpwstr>
  </property>
  <property fmtid="{D5CDD505-2E9C-101B-9397-08002B2CF9AE}" pid="3" name="ICV">
    <vt:lpwstr>E64AEAB3383781C5BAE3696A68ECB640</vt:lpwstr>
  </property>
</Properties>
</file>