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796928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p>
    <w:p w14:paraId="6499B69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p>
    <w:p w14:paraId="49B7078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p>
    <w:p w14:paraId="46F041D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w:t>
      </w:r>
      <w:r>
        <w:rPr>
          <w:rFonts w:hint="eastAsia" w:ascii="方正小标宋简体" w:hAnsi="方正小标宋简体" w:eastAsia="方正小标宋简体" w:cs="方正小标宋简体"/>
          <w:sz w:val="44"/>
          <w:szCs w:val="44"/>
          <w:lang w:eastAsia="zh-CN"/>
        </w:rPr>
        <w:t>对阳泉</w:t>
      </w:r>
      <w:r>
        <w:rPr>
          <w:rFonts w:hint="eastAsia" w:ascii="方正小标宋简体" w:hAnsi="方正小标宋简体" w:eastAsia="方正小标宋简体" w:cs="方正小标宋简体"/>
          <w:sz w:val="44"/>
          <w:szCs w:val="44"/>
        </w:rPr>
        <w:t>市</w:t>
      </w:r>
      <w:r>
        <w:rPr>
          <w:rFonts w:hint="eastAsia" w:ascii="方正小标宋简体" w:hAnsi="方正小标宋简体" w:eastAsia="方正小标宋简体" w:cs="方正小标宋简体"/>
          <w:sz w:val="44"/>
          <w:szCs w:val="44"/>
          <w:lang w:eastAsia="zh-CN"/>
        </w:rPr>
        <w:t>第</w:t>
      </w:r>
      <w:r>
        <w:rPr>
          <w:rFonts w:hint="eastAsia" w:ascii="方正小标宋简体" w:hAnsi="方正小标宋简体" w:eastAsia="方正小标宋简体" w:cs="方正小标宋简体"/>
          <w:sz w:val="44"/>
          <w:szCs w:val="44"/>
        </w:rPr>
        <w:t>十</w:t>
      </w:r>
      <w:r>
        <w:rPr>
          <w:rFonts w:hint="eastAsia" w:ascii="方正小标宋简体" w:hAnsi="方正小标宋简体" w:eastAsia="方正小标宋简体" w:cs="方正小标宋简体"/>
          <w:sz w:val="44"/>
          <w:szCs w:val="44"/>
          <w:lang w:eastAsia="zh-CN"/>
        </w:rPr>
        <w:t>六</w:t>
      </w:r>
      <w:r>
        <w:rPr>
          <w:rFonts w:hint="eastAsia" w:ascii="方正小标宋简体" w:hAnsi="方正小标宋简体" w:eastAsia="方正小标宋简体" w:cs="方正小标宋简体"/>
          <w:sz w:val="44"/>
          <w:szCs w:val="44"/>
        </w:rPr>
        <w:t>届人</w:t>
      </w:r>
      <w:r>
        <w:rPr>
          <w:rFonts w:hint="eastAsia" w:ascii="方正小标宋简体" w:hAnsi="方正小标宋简体" w:eastAsia="方正小标宋简体" w:cs="方正小标宋简体"/>
          <w:sz w:val="44"/>
          <w:szCs w:val="44"/>
          <w:lang w:eastAsia="zh-CN"/>
        </w:rPr>
        <w:t>民代表</w:t>
      </w:r>
      <w:r>
        <w:rPr>
          <w:rFonts w:hint="eastAsia" w:ascii="方正小标宋简体" w:hAnsi="方正小标宋简体" w:eastAsia="方正小标宋简体" w:cs="方正小标宋简体"/>
          <w:sz w:val="44"/>
          <w:szCs w:val="44"/>
        </w:rPr>
        <w:t>大会</w:t>
      </w:r>
    </w:p>
    <w:p w14:paraId="5168B63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第</w:t>
      </w:r>
      <w:r>
        <w:rPr>
          <w:rFonts w:hint="eastAsia" w:ascii="方正小标宋简体" w:hAnsi="方正小标宋简体" w:eastAsia="方正小标宋简体" w:cs="方正小标宋简体"/>
          <w:sz w:val="44"/>
          <w:szCs w:val="44"/>
          <w:lang w:val="en-US" w:eastAsia="zh-CN"/>
        </w:rPr>
        <w:t>1606132号建议</w:t>
      </w:r>
      <w:r>
        <w:rPr>
          <w:rFonts w:hint="eastAsia" w:ascii="方正小标宋简体" w:hAnsi="方正小标宋简体" w:eastAsia="方正小标宋简体" w:cs="方正小标宋简体"/>
          <w:sz w:val="44"/>
          <w:szCs w:val="44"/>
        </w:rPr>
        <w:t>的答复</w:t>
      </w:r>
    </w:p>
    <w:p w14:paraId="79E1A87E">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方正仿宋_GBK" w:hAnsi="方正仿宋_GBK" w:eastAsia="方正仿宋_GBK" w:cs="方正仿宋_GBK"/>
          <w:sz w:val="32"/>
          <w:szCs w:val="32"/>
        </w:rPr>
      </w:pPr>
    </w:p>
    <w:p w14:paraId="0786083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尊敬的</w:t>
      </w:r>
      <w:r>
        <w:rPr>
          <w:rFonts w:hint="eastAsia" w:ascii="方正仿宋_GBK" w:hAnsi="方正仿宋_GBK" w:eastAsia="方正仿宋_GBK" w:cs="方正仿宋_GBK"/>
          <w:sz w:val="32"/>
          <w:szCs w:val="32"/>
        </w:rPr>
        <w:t>林亚光</w:t>
      </w:r>
      <w:r>
        <w:rPr>
          <w:rFonts w:hint="eastAsia" w:ascii="方正仿宋_GBK" w:hAnsi="方正仿宋_GBK" w:eastAsia="方正仿宋_GBK" w:cs="方正仿宋_GBK"/>
          <w:sz w:val="32"/>
          <w:szCs w:val="32"/>
          <w:lang w:eastAsia="zh-CN"/>
        </w:rPr>
        <w:t>代表</w:t>
      </w:r>
      <w:r>
        <w:rPr>
          <w:rFonts w:hint="eastAsia" w:ascii="方正仿宋_GBK" w:hAnsi="方正仿宋_GBK" w:eastAsia="方正仿宋_GBK" w:cs="方正仿宋_GBK"/>
          <w:sz w:val="32"/>
          <w:szCs w:val="32"/>
        </w:rPr>
        <w:t>：</w:t>
      </w:r>
    </w:p>
    <w:p w14:paraId="339E1A2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您提出的《关于进一步发挥民营经济优势合力推动阳泉科幻文旅产业高质量发展的</w:t>
      </w:r>
      <w:r>
        <w:rPr>
          <w:rFonts w:hint="eastAsia" w:ascii="方正仿宋_GBK" w:hAnsi="方正仿宋_GBK" w:eastAsia="方正仿宋_GBK" w:cs="方正仿宋_GBK"/>
          <w:sz w:val="32"/>
          <w:szCs w:val="32"/>
          <w:lang w:eastAsia="zh-CN"/>
        </w:rPr>
        <w:t>议</w:t>
      </w:r>
      <w:r>
        <w:rPr>
          <w:rFonts w:hint="eastAsia" w:ascii="方正仿宋_GBK" w:hAnsi="方正仿宋_GBK" w:eastAsia="方正仿宋_GBK" w:cs="方正仿宋_GBK"/>
          <w:sz w:val="32"/>
          <w:szCs w:val="32"/>
        </w:rPr>
        <w:t>案》收悉。提案精准把握我市民营文旅产业发展痛点，围绕优化营商环境、完善产业生态、强化服务保障、打造标杆项目等方面提出了系统性建议，对我市“科幻之城”建设与文旅产业高质量发展具有重要指导意义。结合我市“四城四景”建设工作实际，现答复如下：</w:t>
      </w:r>
    </w:p>
    <w:p w14:paraId="68C1EBB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一、持续优化营商环境，提振民营文旅企业发展信心</w:t>
      </w:r>
    </w:p>
    <w:p w14:paraId="024C1ED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我市始终坚持“政府引导、市场主导”原则，在“四城四景”建设中全力为民营文旅企业营造良好发展环境。一是依托市委书记、市长双组长牵头的“四城四景”专项工作专班，建立重点项目常态化调度机制，先后召开2次专题调度会，逐项梳理破解项目堵点，为包括民营企业在内的市场主体扫清推进障碍。二是精准落地惠企纾困举措，通过“约惠阳泉”消费券发放、“春日山城焕新购”票根经济专项活动、景区门票减免等举措，联动35家餐饮住宿企业、6家A级景区撬动文旅消费350万元，切实为民营市场主体引流增收。三是持续深化文旅领域“放管服”改革，规范市场准入标准，厘清政企权责边界，不断降低企业制度性交易成本。下一步，我们将持续对标一流营商环境建设要求，配合发改、财政、金融、自然资源等部门，聚焦民营文旅企业融资、人才、用地等共性诉求，推动相关扶持政策精准落地，切实缓解企业“融资难、准入难、负担重”等问题，全力打造公平透明、稳定可预期的文旅发展环境，坚定民营企业在泉投资发展信心。</w:t>
      </w:r>
    </w:p>
    <w:p w14:paraId="5A48602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二、补齐产业链条短板，构建协同共生产业生态</w:t>
      </w:r>
    </w:p>
    <w:p w14:paraId="51A51FB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围绕“科幻之城”核心IP打造，我市持续夯实产业载体、培育多元业态，为民营经济参与发展搭建广阔空间</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一是核心项目稳步推进，太旧高速科幻专题服务区完成前期手续与3轮方案优化，娘子关电厂“幻迷家园”活化工程签订合作框架协议；1947 AIGC数字视听产业园全面建成启用，重点布局微短剧、漫剧制作等数字视听业务，为民营文创、科技企业提供了产业落地载体。二是品牌活动持续赋能，阳泉市首届科幻嘉年华、第四届刘慈欣故乡科幻文化活动周筹备有序推进，将搭建起科幻内容创作、技术展示、企业交流的产业活动平台。三是产业梯次培育起步，城市文旅空间微更新、科幻主题公交等场景陆续落地，科幻文旅产业链条逐步延伸。下一步，我们将着力构建结构合理、要素完备的民营文旅产业生态，建立利益共享机制</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鼓励民营资本深度参与科幻文旅项目建设运营，支持民营企业与国有资本深化合作，在内容创作、场馆运营、活动承办等领域充分发挥民营主体机制灵活、创新力强的优势。支持我市民营文旅企业拓展省内外市场，逐步培育形成科幻文旅产业集群。</w:t>
      </w:r>
    </w:p>
    <w:p w14:paraId="7482FF2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三、强化精准服务保障，畅通政策落地“最后一公里”</w:t>
      </w:r>
    </w:p>
    <w:p w14:paraId="1032828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我市持续健全文旅企业服务机制，不断提升行业服务效能</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一是构建市、县、景区三级从业人员培训体系，累计开展培训41班次、覆盖1901人次，为民营文旅企业提供人才支撑与业务指导。二是常态化开展文旅市场专项整治，出动执法人员828人次，检查市场主体180家，发布行业红黑榜3期，规范市场经营秩序，畅通投诉处理闭环，保障游客与市场主体合法权益。三是依托专班调研指导机制，先后开展6次调研指导，主动下沉项目一线、企业一线，现场协调解决实际问题。下一步，我们将不折不扣落实各项惠企政策，建立高效政企沟通机制</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常态化开展民营文旅企业走访调研，做到诉求快速响应、问题即时处理、符合条件的政策免申即享，确保政策红利直达企业。持续加强行业指导与人才培育，为民营企业提供标准化服务培训、运营管理指导，支持企业提升服务品质与市场竞争力，切实保障民营文旅企业合法权益。</w:t>
      </w:r>
    </w:p>
    <w:p w14:paraId="162E91E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四、支持标杆项目建设，推动文教科创深度融合</w:t>
      </w:r>
    </w:p>
    <w:p w14:paraId="7F8E688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关于您提出的三类标杆项目，我们结合部门职责分类推进落实</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文化融合类项目</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我们将结合“红色之城”“科幻之城”“记忆之城”融合发展方向，</w:t>
      </w:r>
      <w:r>
        <w:rPr>
          <w:rFonts w:hint="eastAsia" w:ascii="方正仿宋_GBK" w:hAnsi="方正仿宋_GBK" w:eastAsia="方正仿宋_GBK" w:cs="方正仿宋_GBK"/>
          <w:sz w:val="32"/>
          <w:szCs w:val="32"/>
          <w:lang w:eastAsia="zh-CN"/>
        </w:rPr>
        <w:t>鼓励</w:t>
      </w:r>
      <w:r>
        <w:rPr>
          <w:rFonts w:hint="eastAsia" w:ascii="方正仿宋_GBK" w:hAnsi="方正仿宋_GBK" w:eastAsia="方正仿宋_GBK" w:cs="方正仿宋_GBK"/>
          <w:sz w:val="32"/>
          <w:szCs w:val="32"/>
        </w:rPr>
        <w:t>民营资本参与沉浸式体验项目开发与场馆内容升级。在符合文物保护、场馆整体规划的前提下，鼓励在百团大战纪念馆、1947文化产业园等现有载体中，植入科幻主题沉浸展陈、数字互动体验等业态，推动红色文化、工业记忆与科幻IP创新融合，打造差异化、年轻化的文旅产品。</w:t>
      </w:r>
    </w:p>
    <w:p w14:paraId="79B6EE6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我们将以“科幻之城”建设为核心抓手，持续激发民营市场主体活力，不断完善产业生态、提升服务效能，合力推动我市科幻文旅产业高质量发展。</w:t>
      </w:r>
    </w:p>
    <w:p w14:paraId="42BF93D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感谢您对我市文化旅游工作的关心和支持，并欢迎今后提出更多宝贵意见。</w:t>
      </w:r>
    </w:p>
    <w:p w14:paraId="7F77F26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负 责 人：</w:t>
      </w:r>
    </w:p>
    <w:p w14:paraId="1D3C138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承 办 人：</w:t>
      </w:r>
      <w:r>
        <w:rPr>
          <w:rFonts w:hint="eastAsia" w:ascii="方正仿宋_GBK" w:hAnsi="方正仿宋_GBK" w:eastAsia="方正仿宋_GBK" w:cs="方正仿宋_GBK"/>
          <w:sz w:val="32"/>
          <w:szCs w:val="32"/>
          <w:lang w:eastAsia="zh-CN"/>
        </w:rPr>
        <w:t>石晓军</w:t>
      </w:r>
    </w:p>
    <w:p w14:paraId="1D514B4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联系电话：</w:t>
      </w:r>
      <w:r>
        <w:rPr>
          <w:rFonts w:hint="eastAsia" w:ascii="方正仿宋_GBK" w:hAnsi="方正仿宋_GBK" w:eastAsia="方正仿宋_GBK" w:cs="方正仿宋_GBK"/>
          <w:sz w:val="32"/>
          <w:szCs w:val="32"/>
          <w:lang w:val="en-US" w:eastAsia="zh-CN"/>
        </w:rPr>
        <w:t>0353-2293402</w:t>
      </w:r>
    </w:p>
    <w:p w14:paraId="153BC7E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p>
    <w:p w14:paraId="3DA2662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center"/>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阳泉市文化和旅游局</w:t>
      </w:r>
    </w:p>
    <w:p w14:paraId="3AC3169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center"/>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2026年</w:t>
      </w:r>
      <w:r>
        <w:rPr>
          <w:rFonts w:hint="eastAsia" w:ascii="方正仿宋_GBK" w:hAnsi="方正仿宋_GBK" w:eastAsia="方正仿宋_GBK" w:cs="方正仿宋_GBK"/>
          <w:sz w:val="32"/>
          <w:szCs w:val="32"/>
          <w:lang w:val="en-US" w:eastAsia="zh-CN"/>
        </w:rPr>
        <w:t>8</w:t>
      </w:r>
      <w:r>
        <w:rPr>
          <w:rFonts w:hint="eastAsia"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lang w:val="en-US" w:eastAsia="zh-CN"/>
        </w:rPr>
        <w:t>19</w:t>
      </w:r>
      <w:bookmarkStart w:id="0" w:name="_GoBack"/>
      <w:bookmarkEnd w:id="0"/>
      <w:r>
        <w:rPr>
          <w:rFonts w:hint="eastAsia" w:ascii="方正仿宋_GBK" w:hAnsi="方正仿宋_GBK" w:eastAsia="方正仿宋_GBK" w:cs="方正仿宋_GBK"/>
          <w:sz w:val="32"/>
          <w:szCs w:val="32"/>
        </w:rPr>
        <w:t>日</w:t>
      </w:r>
    </w:p>
    <w:p w14:paraId="070D598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lang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1AA8F3A-62A4-4874-AF33-C4A4748DB33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embedRegular r:id="rId2" w:fontKey="{61D87DA6-8A7F-4850-94D1-E2E35EDE528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5767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B2B39A">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BB2B39A">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adjustLineHeightInTable/>
    <w:doNotBreakWrappedTables/>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94F17D2"/>
    <w:rsid w:val="4FFA2270"/>
    <w:rsid w:val="662D0319"/>
    <w:rsid w:val="7FE6CFE5"/>
    <w:rsid w:val="BEBF9823"/>
    <w:rsid w:val="CFF70027"/>
    <w:rsid w:val="F3DF9CB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rPr>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1829</Words>
  <Characters>1872</Characters>
  <Lines>0</Lines>
  <Paragraphs>0</Paragraphs>
  <TotalTime>2</TotalTime>
  <ScaleCrop>false</ScaleCrop>
  <LinksUpToDate>false</LinksUpToDate>
  <CharactersWithSpaces>1914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2026-07-02T18:31:00Z</dcterms:created>
  <dc:creator>iPhone</dc:creator>
  <cp:lastModifiedBy>妙竹</cp:lastModifiedBy>
  <cp:lastPrinted>2026-08-20T10:02:14Z</cp:lastPrinted>
  <dcterms:modified xsi:type="dcterms:W3CDTF">2026-08-20T10:02:33Z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FA472E30A3AA729B8B29266AE7DAC2C7_31</vt:lpwstr>
  </property>
  <property fmtid="{D5CDD505-2E9C-101B-9397-08002B2CF9AE}" pid="4" name="KSOTemplateDocerSaveRecord">
    <vt:lpwstr>eyJoZGlkIjoiYzNkYjk1N2RiNjNiMzhmOGMzOTc2NzNmMGNlN2Y5NDciLCJ1c2VySWQiOiI0ODYzMjQ3MzcifQ==</vt:lpwstr>
  </property>
</Properties>
</file>