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7F62D12A">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rPr>
      </w:pPr>
    </w:p>
    <w:p w14:paraId="50979147">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rPr>
      </w:pPr>
    </w:p>
    <w:p w14:paraId="70449008">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rPr>
      </w:pPr>
    </w:p>
    <w:p w14:paraId="1A425A0C">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关于</w:t>
      </w:r>
      <w:r>
        <w:rPr>
          <w:rFonts w:hint="eastAsia" w:ascii="方正小标宋简体" w:hAnsi="方正小标宋简体" w:eastAsia="方正小标宋简体" w:cs="方正小标宋简体"/>
          <w:sz w:val="44"/>
          <w:szCs w:val="44"/>
          <w:lang w:eastAsia="zh-CN"/>
        </w:rPr>
        <w:t>对市</w:t>
      </w:r>
      <w:r>
        <w:rPr>
          <w:rFonts w:hint="eastAsia" w:ascii="方正小标宋简体" w:hAnsi="方正小标宋简体" w:eastAsia="方正小标宋简体" w:cs="方正小标宋简体"/>
          <w:sz w:val="44"/>
          <w:szCs w:val="44"/>
        </w:rPr>
        <w:t>政协第十四届五次会议第</w:t>
      </w:r>
      <w:r>
        <w:rPr>
          <w:rFonts w:hint="eastAsia" w:ascii="方正小标宋简体" w:hAnsi="方正小标宋简体" w:eastAsia="方正小标宋简体" w:cs="方正小标宋简体"/>
          <w:sz w:val="44"/>
          <w:szCs w:val="44"/>
          <w:lang w:val="en-US" w:eastAsia="zh-CN"/>
        </w:rPr>
        <w:t>0023</w:t>
      </w:r>
      <w:r>
        <w:rPr>
          <w:rFonts w:hint="eastAsia" w:ascii="方正小标宋简体" w:hAnsi="方正小标宋简体" w:eastAsia="方正小标宋简体" w:cs="方正小标宋简体"/>
          <w:sz w:val="44"/>
          <w:szCs w:val="44"/>
        </w:rPr>
        <w:t>号</w:t>
      </w:r>
    </w:p>
    <w:p w14:paraId="18D4D029">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提案的答复</w:t>
      </w:r>
    </w:p>
    <w:p w14:paraId="545DBA82">
      <w:pPr>
        <w:keepNext w:val="0"/>
        <w:keepLines w:val="0"/>
        <w:pageBreakBefore w:val="0"/>
        <w:widowControl w:val="0"/>
        <w:kinsoku/>
        <w:wordWrap/>
        <w:overflowPunct/>
        <w:topLinePunct w:val="0"/>
        <w:autoSpaceDE/>
        <w:autoSpaceDN/>
        <w:bidi w:val="0"/>
        <w:adjustRightInd/>
        <w:snapToGrid/>
        <w:spacing w:line="400" w:lineRule="exact"/>
        <w:ind w:left="0" w:leftChars="0" w:firstLine="640" w:firstLineChars="200"/>
        <w:textAlignment w:val="auto"/>
        <w:rPr>
          <w:rFonts w:hint="eastAsia" w:ascii="方正仿宋_GBK" w:hAnsi="方正仿宋_GBK" w:eastAsia="方正仿宋_GBK" w:cs="方正仿宋_GBK"/>
          <w:sz w:val="32"/>
          <w:szCs w:val="32"/>
        </w:rPr>
      </w:pPr>
    </w:p>
    <w:p w14:paraId="6C1199B2">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lang w:eastAsia="zh-CN"/>
        </w:rPr>
        <w:t>尊敬的董彦</w:t>
      </w:r>
      <w:r>
        <w:rPr>
          <w:rFonts w:hint="eastAsia" w:ascii="方正仿宋_GBK" w:hAnsi="方正仿宋_GBK" w:eastAsia="方正仿宋_GBK" w:cs="方正仿宋_GBK"/>
          <w:sz w:val="32"/>
          <w:szCs w:val="32"/>
        </w:rPr>
        <w:t>伟委员：</w:t>
      </w:r>
    </w:p>
    <w:p w14:paraId="37C42B42">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您提出的《关于阳泉市向文旅产业转型实践路径的建议》收悉。首先，衷心感谢您对我市文旅产业发展的关心与支持。您的提案深入分析了当前我市文旅产业转型面临的资源开发、基础设施、产业链条等方面问题，提出的三条建议针对性强、参考价值高，对推动我市文旅高质量发展具有重要指导意义。经认真研究，现结合我局工作职责答复如下：</w:t>
      </w:r>
    </w:p>
    <w:p w14:paraId="2BB3632C">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一、关于深化文旅资源开发，破解同质化困境的建议</w:t>
      </w:r>
    </w:p>
    <w:p w14:paraId="51F0610E">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近年来，我局围绕</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四城四景</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战略布局，持续推动文旅资源从静态观光向沉浸式体验转型升级，重点开展了以下工作：</w:t>
      </w:r>
    </w:p>
    <w:p w14:paraId="619BD845">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方正仿宋_GBK" w:hAnsi="方正仿宋_GBK" w:eastAsia="方正仿宋_GBK" w:cs="方正仿宋_GBK"/>
          <w:sz w:val="32"/>
          <w:szCs w:val="32"/>
        </w:rPr>
      </w:pPr>
      <w:r>
        <w:rPr>
          <w:rFonts w:hint="eastAsia" w:ascii="方正楷体_GBK" w:hAnsi="方正楷体_GBK" w:eastAsia="方正楷体_GBK" w:cs="方正楷体_GBK"/>
          <w:sz w:val="32"/>
          <w:szCs w:val="32"/>
        </w:rPr>
        <w:t>（一）红色文化沉浸式体验方面。</w:t>
      </w:r>
      <w:r>
        <w:rPr>
          <w:rFonts w:hint="eastAsia" w:ascii="方正仿宋_GBK" w:hAnsi="方正仿宋_GBK" w:eastAsia="方正仿宋_GBK" w:cs="方正仿宋_GBK"/>
          <w:sz w:val="32"/>
          <w:szCs w:val="32"/>
        </w:rPr>
        <w:t>深度挖掘百团大战主战场、中共创建第一城等红色资源，在全市50个红色现场教学点开展实景化教学，累计举办主题宣讲38场。启动百团大战纪念馆局部改陈布展工作，与鲁迅美术学院专家团队对接展陈提升方案；南庄抗战地道</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烽火南庄</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情景剧已实现常态化演出，</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五一</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期间接待游客2000余人。正在创排《百团大战组歌》，歌词创作已完成，将以艺术化形式增强红色文化感染力。同时发布4条红色精品主题线路，联动石家庄、长治、晋中推出2条跨区域红色旅游线路，不断丰富红色文旅体验形态。</w:t>
      </w:r>
    </w:p>
    <w:p w14:paraId="62D2557C">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方正仿宋_GBK" w:hAnsi="方正仿宋_GBK" w:eastAsia="方正仿宋_GBK" w:cs="方正仿宋_GBK"/>
          <w:sz w:val="32"/>
          <w:szCs w:val="32"/>
        </w:rPr>
      </w:pPr>
      <w:r>
        <w:rPr>
          <w:rFonts w:hint="eastAsia" w:ascii="方正楷体_GBK" w:hAnsi="方正楷体_GBK" w:eastAsia="方正楷体_GBK" w:cs="方正楷体_GBK"/>
          <w:sz w:val="32"/>
          <w:szCs w:val="32"/>
        </w:rPr>
        <w:t xml:space="preserve">（二）工业遗产活化利用方面。 </w:t>
      </w:r>
      <w:r>
        <w:rPr>
          <w:rFonts w:hint="eastAsia" w:ascii="方正仿宋_GBK" w:hAnsi="方正仿宋_GBK" w:eastAsia="方正仿宋_GBK" w:cs="方正仿宋_GBK"/>
          <w:sz w:val="32"/>
          <w:szCs w:val="32"/>
        </w:rPr>
        <w:t>全域摸排80余处约3500亩老旧厂房店面，制定《阳泉市工业遗产认定管理暂行办法》，分类推进保护利用。三矿工业遗址展陈馆已正式建成验收，马家坪变电站防空洞修缮保护工程有序推进，8眼窑洞专业展示区加快建设。1947 AIGC数字视听产业园全面建成启用，成为工业遗产数字化转型的示范项目。关于煤矿井下探秘体验项目，我们将结合三矿等工业遗产开发利用工作，在确保安全合规的前提下，积极探索模拟采矿、安全救援等沉浸式体验场景的可行性。</w:t>
      </w:r>
    </w:p>
    <w:p w14:paraId="3C8D4EF5">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方正仿宋_GBK" w:hAnsi="方正仿宋_GBK" w:eastAsia="方正仿宋_GBK" w:cs="方正仿宋_GBK"/>
          <w:sz w:val="32"/>
          <w:szCs w:val="32"/>
        </w:rPr>
      </w:pPr>
      <w:r>
        <w:rPr>
          <w:rFonts w:hint="eastAsia" w:ascii="方正楷体_GBK" w:hAnsi="方正楷体_GBK" w:eastAsia="方正楷体_GBK" w:cs="方正楷体_GBK"/>
          <w:sz w:val="32"/>
          <w:szCs w:val="32"/>
        </w:rPr>
        <w:t>（三）景区演艺与光影项目方面。</w:t>
      </w:r>
      <w:r>
        <w:rPr>
          <w:rFonts w:hint="eastAsia" w:ascii="方正仿宋_GBK" w:hAnsi="方正仿宋_GBK" w:eastAsia="方正仿宋_GBK" w:cs="方正仿宋_GBK"/>
          <w:sz w:val="32"/>
          <w:szCs w:val="32"/>
        </w:rPr>
        <w:t>娘子关景区已升级《遇见娘子关》路演方案，新增"娘子军迎宾"等互动节目；藏山景区正在谋划《再回藏山》大型沉浸式情景剧常态化演出，补齐夜间演艺短板。沉浸式情景剧《人间烟火》</w:t>
      </w:r>
      <w:r>
        <w:rPr>
          <w:rFonts w:hint="eastAsia" w:ascii="方正仿宋_GBK" w:hAnsi="方正仿宋_GBK" w:eastAsia="方正仿宋_GBK" w:cs="方正仿宋_GBK"/>
          <w:sz w:val="32"/>
          <w:szCs w:val="32"/>
          <w:lang w:eastAsia="zh-CN"/>
        </w:rPr>
        <w:t>在重大节假日积极</w:t>
      </w:r>
      <w:r>
        <w:rPr>
          <w:rFonts w:hint="eastAsia" w:ascii="方正仿宋_GBK" w:hAnsi="方正仿宋_GBK" w:eastAsia="方正仿宋_GBK" w:cs="方正仿宋_GBK"/>
          <w:sz w:val="32"/>
          <w:szCs w:val="32"/>
        </w:rPr>
        <w:t>演出</w:t>
      </w:r>
      <w:r>
        <w:rPr>
          <w:rFonts w:hint="eastAsia" w:ascii="方正仿宋_GBK" w:hAnsi="方正仿宋_GBK" w:eastAsia="方正仿宋_GBK" w:cs="方正仿宋_GBK"/>
          <w:sz w:val="32"/>
          <w:szCs w:val="32"/>
          <w:lang w:eastAsia="zh-CN"/>
        </w:rPr>
        <w:t>多</w:t>
      </w:r>
      <w:r>
        <w:rPr>
          <w:rFonts w:hint="eastAsia" w:ascii="方正仿宋_GBK" w:hAnsi="方正仿宋_GBK" w:eastAsia="方正仿宋_GBK" w:cs="方正仿宋_GBK"/>
          <w:sz w:val="32"/>
          <w:szCs w:val="32"/>
        </w:rPr>
        <w:t>场。关于藏山AR光影秀、娘子关水幕实景演艺等建议，我们已纳入景区提质升级的中长期谋划，将结合5A、4A景区创建工作，在资金、技术条件成熟时逐步推进实施。</w:t>
      </w:r>
    </w:p>
    <w:p w14:paraId="396B980A">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二、关于完善基础设施与服务体系的建议</w:t>
      </w:r>
    </w:p>
    <w:p w14:paraId="1CFFB033">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方正仿宋_GBK" w:hAnsi="方正仿宋_GBK" w:eastAsia="方正仿宋_GBK" w:cs="方正仿宋_GBK"/>
          <w:sz w:val="32"/>
          <w:szCs w:val="32"/>
        </w:rPr>
      </w:pPr>
      <w:r>
        <w:rPr>
          <w:rFonts w:hint="eastAsia" w:ascii="方正楷体_GBK" w:hAnsi="方正楷体_GBK" w:eastAsia="方正楷体_GBK" w:cs="方正楷体_GBK"/>
          <w:sz w:val="32"/>
          <w:szCs w:val="32"/>
        </w:rPr>
        <w:t>（一）景区公共服务设施提升方面。</w:t>
      </w:r>
      <w:r>
        <w:rPr>
          <w:rFonts w:hint="eastAsia" w:ascii="方正仿宋_GBK" w:hAnsi="方正仿宋_GBK" w:eastAsia="方正仿宋_GBK" w:cs="方正仿宋_GBK"/>
          <w:sz w:val="32"/>
          <w:szCs w:val="32"/>
        </w:rPr>
        <w:t>结合百团大战遗址公园、娘子关5A创建、藏山景区提质、冠山4A创建等重点项目，持续补齐景区基础设施短板。冠山景区已新建标准化游客接待中心1座、平整简易停车场2处、完成旅游厕所改造1座，全线整修上山步道与照明系统，全域更新导览标识与无障碍引导牌。娘子关等景区也在同步推进停车场扩容、旅游厕所提升、标识系统完善等工作。下一步，我们将以A级景区创建为抓手，把无障碍设施、多语种标识、第三卫生间等作为硬性指标，推动景区公共服务标准化、品质化升级。</w:t>
      </w:r>
    </w:p>
    <w:p w14:paraId="087C41D7">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方正仿宋_GBK" w:hAnsi="方正仿宋_GBK" w:eastAsia="方正仿宋_GBK" w:cs="方正仿宋_GBK"/>
          <w:sz w:val="32"/>
          <w:szCs w:val="32"/>
        </w:rPr>
      </w:pPr>
      <w:r>
        <w:rPr>
          <w:rFonts w:hint="eastAsia" w:ascii="方正楷体_GBK" w:hAnsi="方正楷体_GBK" w:eastAsia="方正楷体_GBK" w:cs="方正楷体_GBK"/>
          <w:sz w:val="32"/>
          <w:szCs w:val="32"/>
        </w:rPr>
        <w:t>（二）旅游交通通达性方面。</w:t>
      </w:r>
      <w:r>
        <w:rPr>
          <w:rFonts w:hint="eastAsia" w:ascii="方正仿宋_GBK" w:hAnsi="方正仿宋_GBK" w:eastAsia="方正仿宋_GBK" w:cs="方正仿宋_GBK"/>
          <w:sz w:val="32"/>
          <w:szCs w:val="32"/>
        </w:rPr>
        <w:t>关于增加阳泉至北京、太原高铁班次、开通京津冀旅游直通车等建议，高铁班次调整与铁路线路运营属国家铁路集团及省级交通主管部门统筹管理，市级文旅部门无直接协调权限。我们将积极配合市交通部门，通过人大建议、政协提案等渠道向上反映诉求，同时加强与石家庄、京津冀等地文旅部门的合作联动，通过客源互送、线路共推等方式，间接推动旅游交通便利化。目前已联动石家庄、长治、晋中联合推出跨区域精品旅游线路，为后续开通旅游直通车奠定市场基础。</w:t>
      </w:r>
    </w:p>
    <w:p w14:paraId="5FA730B8">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方正仿宋_GBK" w:hAnsi="方正仿宋_GBK" w:eastAsia="方正仿宋_GBK" w:cs="方正仿宋_GBK"/>
          <w:sz w:val="32"/>
          <w:szCs w:val="32"/>
        </w:rPr>
      </w:pPr>
      <w:r>
        <w:rPr>
          <w:rFonts w:hint="eastAsia" w:ascii="方正楷体_GBK" w:hAnsi="方正楷体_GBK" w:eastAsia="方正楷体_GBK" w:cs="方正楷体_GBK"/>
          <w:sz w:val="32"/>
          <w:szCs w:val="32"/>
        </w:rPr>
        <w:t>（三）旅游志愿服务体系方面。</w:t>
      </w:r>
      <w:r>
        <w:rPr>
          <w:rFonts w:hint="eastAsia" w:ascii="方正仿宋_GBK" w:hAnsi="方正仿宋_GBK" w:eastAsia="方正仿宋_GBK" w:cs="方正仿宋_GBK"/>
          <w:sz w:val="32"/>
          <w:szCs w:val="32"/>
        </w:rPr>
        <w:t>红色志愿讲解员招募工作有序推进，4月30日在百团大战纪念馆举行了红色文化志愿宣讲员聘书颁发活动。关于在交通枢纽设立旅游志愿服务者队伍的建议，涉及交通场站管理、团市委志愿者招募等多部门职责，我们将积极对接相关部门，探索在火车站、汽车站等客流集中点位设置旅游咨询服务点的可行性，共同构建覆盖全域的旅游志愿服务网络。</w:t>
      </w:r>
      <w:bookmarkStart w:id="0" w:name="_GoBack"/>
      <w:bookmarkEnd w:id="0"/>
    </w:p>
    <w:p w14:paraId="0BDE525D">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三、关于延伸产业链条，提升消费能级的建议</w:t>
      </w:r>
    </w:p>
    <w:p w14:paraId="77590EFC">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黑体" w:hAnsi="黑体" w:eastAsia="黑体" w:cs="黑体"/>
          <w:sz w:val="32"/>
          <w:szCs w:val="32"/>
        </w:rPr>
      </w:pPr>
      <w:r>
        <w:rPr>
          <w:rFonts w:hint="eastAsia" w:ascii="方正楷体_GBK" w:hAnsi="方正楷体_GBK" w:eastAsia="方正楷体_GBK" w:cs="方正楷体_GBK"/>
          <w:sz w:val="32"/>
          <w:szCs w:val="32"/>
        </w:rPr>
        <w:t>（一）</w:t>
      </w:r>
      <w:r>
        <w:rPr>
          <w:rFonts w:hint="eastAsia" w:ascii="方正楷体_GBK" w:hAnsi="方正楷体_GBK" w:eastAsia="方正楷体_GBK" w:cs="方正楷体_GBK"/>
          <w:sz w:val="32"/>
          <w:szCs w:val="32"/>
          <w:lang w:eastAsia="zh-CN"/>
        </w:rPr>
        <w:t>“</w:t>
      </w:r>
      <w:r>
        <w:rPr>
          <w:rFonts w:hint="eastAsia" w:ascii="方正楷体_GBK" w:hAnsi="方正楷体_GBK" w:eastAsia="方正楷体_GBK" w:cs="方正楷体_GBK"/>
          <w:sz w:val="32"/>
          <w:szCs w:val="32"/>
        </w:rPr>
        <w:t>阳泉礼物</w:t>
      </w:r>
      <w:r>
        <w:rPr>
          <w:rFonts w:hint="eastAsia" w:ascii="方正楷体_GBK" w:hAnsi="方正楷体_GBK" w:eastAsia="方正楷体_GBK" w:cs="方正楷体_GBK"/>
          <w:sz w:val="32"/>
          <w:szCs w:val="32"/>
          <w:lang w:eastAsia="zh-CN"/>
        </w:rPr>
        <w:t>”</w:t>
      </w:r>
      <w:r>
        <w:rPr>
          <w:rFonts w:hint="eastAsia" w:ascii="方正楷体_GBK" w:hAnsi="方正楷体_GBK" w:eastAsia="方正楷体_GBK" w:cs="方正楷体_GBK"/>
          <w:sz w:val="32"/>
          <w:szCs w:val="32"/>
        </w:rPr>
        <w:t>文创品牌培育方面。</w:t>
      </w:r>
      <w:r>
        <w:rPr>
          <w:rFonts w:hint="eastAsia" w:ascii="方正仿宋_GBK" w:hAnsi="方正仿宋_GBK" w:eastAsia="方正仿宋_GBK" w:cs="方正仿宋_GBK"/>
          <w:sz w:val="32"/>
          <w:szCs w:val="32"/>
        </w:rPr>
        <w:t>持续打造</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阳泉好礼</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文创品牌，整合筛选两届红色文创大赛设计作品，指导本土文创企业开发红色主题文创产品5款。组织优秀文化企业携</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阳泉好礼</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品牌及十余个特色品类亮相深圳文博会，有效提升品牌影响力。关于</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藏山忠义盲盒</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煤晶文创饰品</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等爆款商品的建议非常具有启发性，我们将指导各县区、各景区结合自身IP特色，开发更多兼具设计感与实用性的文创产品，推动景区购物收入稳步提升。百团大战遗址公园已陆续上新特色商业文化产品，规划布局商铺、餐饮、休闲点位，优化景区商业布局。</w:t>
      </w:r>
    </w:p>
    <w:p w14:paraId="167447AB">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方正仿宋_GBK" w:hAnsi="方正仿宋_GBK" w:eastAsia="方正仿宋_GBK" w:cs="方正仿宋_GBK"/>
          <w:sz w:val="32"/>
          <w:szCs w:val="32"/>
        </w:rPr>
      </w:pPr>
      <w:r>
        <w:rPr>
          <w:rFonts w:hint="eastAsia" w:ascii="方正楷体_GBK" w:hAnsi="方正楷体_GBK" w:eastAsia="方正楷体_GBK" w:cs="方正楷体_GBK"/>
          <w:sz w:val="32"/>
          <w:szCs w:val="32"/>
        </w:rPr>
        <w:t>（二）非遗工坊集群建设方面。</w:t>
      </w:r>
      <w:r>
        <w:rPr>
          <w:rFonts w:hint="eastAsia" w:ascii="方正仿宋_GBK" w:hAnsi="方正仿宋_GBK" w:eastAsia="方正仿宋_GBK" w:cs="方正仿宋_GBK"/>
          <w:sz w:val="32"/>
          <w:szCs w:val="32"/>
        </w:rPr>
        <w:t>我市非遗资源丰富，平定砂器、剪纸、面塑、紫砂等项目基础扎实。</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五一</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期间成功举办2026非遗购物市集，集中展示展销非遗作品及文创产品1700余件，非遗传承人现场开展技艺展示与互动教学。下一步，我们将依托1947文化产业园、娘子关等重点景区，探索建设非遗体验工坊集群，让游客可深度参与砂器制作、剪纸技艺等体验项目并定制专属作品，推动非遗活态传承与旅游消费深度融合。</w:t>
      </w:r>
    </w:p>
    <w:p w14:paraId="23A67F09">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方正仿宋_GBK" w:hAnsi="方正仿宋_GBK" w:eastAsia="方正仿宋_GBK" w:cs="方正仿宋_GBK"/>
          <w:sz w:val="32"/>
          <w:szCs w:val="32"/>
        </w:rPr>
      </w:pPr>
      <w:r>
        <w:rPr>
          <w:rFonts w:hint="eastAsia" w:ascii="方正楷体_GBK" w:hAnsi="方正楷体_GBK" w:eastAsia="方正楷体_GBK" w:cs="方正楷体_GBK"/>
          <w:sz w:val="32"/>
          <w:szCs w:val="32"/>
        </w:rPr>
        <w:t>（三）民宿经济发展方面。</w:t>
      </w:r>
      <w:r>
        <w:rPr>
          <w:rFonts w:hint="eastAsia" w:ascii="方正仿宋_GBK" w:hAnsi="方正仿宋_GBK" w:eastAsia="方正仿宋_GBK" w:cs="方正仿宋_GBK"/>
          <w:sz w:val="32"/>
          <w:szCs w:val="32"/>
        </w:rPr>
        <w:t>我市积极推动精品民宿建设，娘子关旅游驿站与隐泉居精品民宿已正式投入运营，打造区域文旅住宿标杆。藏山景区串联周边大汖古村、龙门汖村等村落，重点打造藏山—乡村康养休闲精品线路。关于出台《乡村民宿扶持办法》、给予改造补贴等建议，涉及财政补贴、用地政策、行业标准制定等，需发改、财政、农业农村、住建、市场监管等多部门协同推进，非文旅部门可单独出台。我们将积极牵头调研，学习先进地区民宿扶持政策经验，会同相关部门研究制定促进我市民宿产业发展的指导意见，争取在资金奖补、证照办理、人才培训等方面给予支持，培育特色民宿品牌。</w:t>
      </w:r>
    </w:p>
    <w:p w14:paraId="596729DC">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再次感谢您对阳泉文旅工作的宝贵建议。下一步，我局将以</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四城四景</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建设为总抓手，充分吸纳您的意见建议，持续在资源深度开发、服务品质提升、产业链条延伸上下功夫，推动我市文旅产业高质量转型发展。</w:t>
      </w:r>
    </w:p>
    <w:p w14:paraId="3EB1A6D5">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感谢您对我市文化旅游工作的关心和支持，并欢迎今后提出更多宝贵意见。</w:t>
      </w:r>
    </w:p>
    <w:p w14:paraId="14431603">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负 责 人：</w:t>
      </w:r>
    </w:p>
    <w:p w14:paraId="7F713553">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方正仿宋_GBK" w:hAnsi="方正仿宋_GBK" w:eastAsia="方正仿宋_GBK" w:cs="方正仿宋_GBK"/>
          <w:sz w:val="32"/>
          <w:szCs w:val="32"/>
          <w:lang w:eastAsia="zh-CN"/>
        </w:rPr>
      </w:pPr>
      <w:r>
        <w:rPr>
          <w:rFonts w:hint="eastAsia" w:ascii="方正仿宋_GBK" w:hAnsi="方正仿宋_GBK" w:eastAsia="方正仿宋_GBK" w:cs="方正仿宋_GBK"/>
          <w:sz w:val="32"/>
          <w:szCs w:val="32"/>
        </w:rPr>
        <w:t>承 办 人：</w:t>
      </w:r>
      <w:r>
        <w:rPr>
          <w:rFonts w:hint="eastAsia" w:ascii="方正仿宋_GBK" w:hAnsi="方正仿宋_GBK" w:eastAsia="方正仿宋_GBK" w:cs="方正仿宋_GBK"/>
          <w:sz w:val="32"/>
          <w:szCs w:val="32"/>
          <w:lang w:eastAsia="zh-CN"/>
        </w:rPr>
        <w:t>石晓军</w:t>
      </w:r>
    </w:p>
    <w:p w14:paraId="0B73E6BC">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default"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rPr>
        <w:t>联系电话：</w:t>
      </w:r>
      <w:r>
        <w:rPr>
          <w:rFonts w:hint="eastAsia" w:ascii="方正仿宋_GBK" w:hAnsi="方正仿宋_GBK" w:eastAsia="方正仿宋_GBK" w:cs="方正仿宋_GBK"/>
          <w:sz w:val="32"/>
          <w:szCs w:val="32"/>
          <w:lang w:val="en-US" w:eastAsia="zh-CN"/>
        </w:rPr>
        <w:t>0353-2293402</w:t>
      </w:r>
    </w:p>
    <w:p w14:paraId="24EC061F">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方正仿宋_GBK" w:hAnsi="方正仿宋_GBK" w:eastAsia="方正仿宋_GBK" w:cs="方正仿宋_GBK"/>
          <w:sz w:val="32"/>
          <w:szCs w:val="32"/>
        </w:rPr>
      </w:pPr>
    </w:p>
    <w:p w14:paraId="61EA55C7">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center"/>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lang w:val="en-US" w:eastAsia="zh-CN"/>
        </w:rPr>
        <w:t xml:space="preserve">                </w:t>
      </w:r>
      <w:r>
        <w:rPr>
          <w:rFonts w:hint="eastAsia" w:ascii="方正仿宋_GBK" w:hAnsi="方正仿宋_GBK" w:eastAsia="方正仿宋_GBK" w:cs="方正仿宋_GBK"/>
          <w:sz w:val="32"/>
          <w:szCs w:val="32"/>
        </w:rPr>
        <w:t>阳泉市文化和旅游局</w:t>
      </w:r>
    </w:p>
    <w:p w14:paraId="69AD1DBE">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center"/>
        <w:textAlignment w:val="auto"/>
        <w:rPr>
          <w:rFonts w:hint="eastAsia" w:ascii="方正仿宋_GBK" w:hAnsi="方正仿宋_GBK" w:eastAsia="方正仿宋_GBK" w:cs="方正仿宋_GBK"/>
          <w:sz w:val="32"/>
          <w:szCs w:val="32"/>
          <w:lang w:eastAsia="zh-CN"/>
        </w:rPr>
      </w:pPr>
      <w:r>
        <w:rPr>
          <w:rFonts w:hint="eastAsia" w:ascii="方正仿宋_GBK" w:hAnsi="方正仿宋_GBK" w:eastAsia="方正仿宋_GBK" w:cs="方正仿宋_GBK"/>
          <w:sz w:val="32"/>
          <w:szCs w:val="32"/>
          <w:lang w:val="en-US" w:eastAsia="zh-CN"/>
        </w:rPr>
        <w:t xml:space="preserve">                 </w:t>
      </w:r>
      <w:r>
        <w:rPr>
          <w:rFonts w:hint="eastAsia" w:ascii="方正仿宋_GBK" w:hAnsi="方正仿宋_GBK" w:eastAsia="方正仿宋_GBK" w:cs="方正仿宋_GBK"/>
          <w:sz w:val="32"/>
          <w:szCs w:val="32"/>
        </w:rPr>
        <w:t>2026年</w:t>
      </w:r>
      <w:r>
        <w:rPr>
          <w:rFonts w:hint="eastAsia" w:ascii="方正仿宋_GBK" w:hAnsi="方正仿宋_GBK" w:eastAsia="方正仿宋_GBK" w:cs="方正仿宋_GBK"/>
          <w:sz w:val="32"/>
          <w:szCs w:val="32"/>
          <w:lang w:val="en-US" w:eastAsia="zh-CN"/>
        </w:rPr>
        <w:t>8</w:t>
      </w:r>
      <w:r>
        <w:rPr>
          <w:rFonts w:hint="eastAsia" w:ascii="方正仿宋_GBK" w:hAnsi="方正仿宋_GBK" w:eastAsia="方正仿宋_GBK" w:cs="方正仿宋_GBK"/>
          <w:sz w:val="32"/>
          <w:szCs w:val="32"/>
        </w:rPr>
        <w:t>月</w:t>
      </w:r>
      <w:r>
        <w:rPr>
          <w:rFonts w:hint="eastAsia" w:ascii="方正仿宋_GBK" w:hAnsi="方正仿宋_GBK" w:eastAsia="方正仿宋_GBK" w:cs="方正仿宋_GBK"/>
          <w:sz w:val="32"/>
          <w:szCs w:val="32"/>
          <w:lang w:val="en-US" w:eastAsia="zh-CN"/>
        </w:rPr>
        <w:t>19</w:t>
      </w:r>
      <w:r>
        <w:rPr>
          <w:rFonts w:hint="eastAsia" w:ascii="方正仿宋_GBK" w:hAnsi="方正仿宋_GBK" w:eastAsia="方正仿宋_GBK" w:cs="方正仿宋_GBK"/>
          <w:sz w:val="32"/>
          <w:szCs w:val="32"/>
        </w:rPr>
        <w:t>日</w:t>
      </w:r>
    </w:p>
    <w:p w14:paraId="389A110C">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方正仿宋_GBK" w:hAnsi="方正仿宋_GBK" w:eastAsia="方正仿宋_GBK" w:cs="方正仿宋_GBK"/>
          <w:sz w:val="32"/>
          <w:szCs w:val="32"/>
          <w:lang w:eastAsia="zh-CN"/>
        </w:rPr>
      </w:pPr>
    </w:p>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altName w:val="黑体"/>
    <w:panose1 w:val="02010601030101010101"/>
    <w:charset w:val="86"/>
    <w:family w:val="auto"/>
    <w:pitch w:val="default"/>
    <w:sig w:usb0="00000000" w:usb1="00000000" w:usb2="00000000" w:usb3="00000000" w:csb0="00040000" w:csb1="00000000"/>
  </w:font>
  <w:font w:name="方正仿宋_GBK">
    <w:panose1 w:val="02000000000000000000"/>
    <w:charset w:val="86"/>
    <w:family w:val="auto"/>
    <w:pitch w:val="default"/>
    <w:sig w:usb0="A00002BF" w:usb1="38CF7CFA" w:usb2="00082016" w:usb3="00000000" w:csb0="00040001" w:csb1="00000000"/>
  </w:font>
  <w:font w:name="方正楷体_GBK">
    <w:panose1 w:val="02000000000000000000"/>
    <w:charset w:val="86"/>
    <w:family w:val="auto"/>
    <w:pitch w:val="default"/>
    <w:sig w:usb0="800002BF" w:usb1="38CF7CFA" w:usb2="00000016" w:usb3="00000000" w:csb0="00040000" w:csb1="00000000"/>
  </w:font>
  <w:font w:name="WPSEMBED1">
    <w:panose1 w:val="02000000000000000000"/>
    <w:charset w:val="86"/>
    <w:family w:val="auto"/>
    <w:pitch w:val="default"/>
    <w:sig w:usb0="A00002BF" w:usb1="38CF7CFA" w:usb2="00082016" w:usb3="00000000" w:csb0="00040001" w:csb1="00000000"/>
  </w:font>
  <w:font w:name="WPSEMBED2">
    <w:panose1 w:val="02000000000000000000"/>
    <w:charset w:val="86"/>
    <w:family w:val="auto"/>
    <w:pitch w:val="default"/>
    <w:sig w:usb0="800002BF" w:usb1="38CF7CFA" w:usb2="00000016" w:usb3="00000000" w:csb0="00040000" w:csb1="00000000"/>
  </w:font>
  <w:font w:name="方正楷体_GBK">
    <w:panose1 w:val="02000000000000000000"/>
    <w:charset w:val="86"/>
    <w:family w:val="auto"/>
    <w:pitch w:val="default"/>
    <w:sig w:usb0="800002BF" w:usb1="38CF7CFA" w:usb2="00000016"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841D69">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94C6589">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794C6589">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256E64">
    <w:pPr>
      <w:pStyle w:val="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adjustLineHeightInTable/>
    <w:doNotBreakWrappedTables/>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BEF94BD"/>
    <w:rsid w:val="268D6476"/>
    <w:rsid w:val="5DCF309C"/>
    <w:rsid w:val="702332FA"/>
    <w:rsid w:val="7CE73541"/>
    <w:rsid w:val="7DFFDF20"/>
    <w:rsid w:val="F7DBEB89"/>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qFormat/>
    <w:uiPriority w:val="0"/>
    <w:rPr>
      <w:sz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2413</Words>
  <Characters>2462</Characters>
  <Lines>0</Lines>
  <Paragraphs>0</Paragraphs>
  <TotalTime>9</TotalTime>
  <ScaleCrop>false</ScaleCrop>
  <LinksUpToDate>false</LinksUpToDate>
  <CharactersWithSpaces>2501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2026-06-27T02:31:00Z</dcterms:created>
  <dc:creator>iPhone</dc:creator>
  <cp:lastModifiedBy>王志宏</cp:lastModifiedBy>
  <cp:lastPrinted>2026-09-15T08:37:21Z</cp:lastPrinted>
  <dcterms:modified xsi:type="dcterms:W3CDTF">2026-09-15T08:37:38Z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FA472E30A3AA729B8B29266AE7DAC2C7_31</vt:lpwstr>
  </property>
  <property fmtid="{D5CDD505-2E9C-101B-9397-08002B2CF9AE}" pid="4" name="KSOTemplateDocerSaveRecord">
    <vt:lpwstr>eyJoZGlkIjoiYzNkYjk1N2RiNjNiMzhmOGMzOTc2NzNmMGNlN2Y5NDciLCJ1c2VySWQiOiI0MTIxMTg1MzUifQ==</vt:lpwstr>
  </property>
</Properties>
</file>