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7886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 w14:paraId="368E9E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关于对政协第十四届五次会议第0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044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号建议的答复</w:t>
      </w:r>
    </w:p>
    <w:p w14:paraId="105B0E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7D7077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尊敬的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武建斌委员</w:t>
      </w:r>
      <w:r>
        <w:rPr>
          <w:rFonts w:hint="eastAsia" w:ascii="仿宋_GB2312" w:hAnsi="仿宋_GB2312" w:eastAsia="仿宋_GB2312" w:cs="仿宋_GB2312"/>
          <w:sz w:val="32"/>
          <w:szCs w:val="32"/>
        </w:rPr>
        <w:t>：</w:t>
      </w:r>
    </w:p>
    <w:p w14:paraId="7F8CFA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您提出的“关于打造阳泉文旅与公共资源数字资产体系的提案”收悉。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经研究</w:t>
      </w:r>
      <w:r>
        <w:rPr>
          <w:rFonts w:hint="eastAsia" w:ascii="仿宋_GB2312" w:hAnsi="仿宋_GB2312" w:eastAsia="仿宋_GB2312" w:cs="仿宋_GB2312"/>
          <w:sz w:val="32"/>
          <w:szCs w:val="32"/>
        </w:rPr>
        <w:t>，现答复如下：</w:t>
      </w:r>
    </w:p>
    <w:p w14:paraId="0ABAE2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近年来，我市聚焦适度多元发展，</w:t>
      </w:r>
      <w:r>
        <w:rPr>
          <w:rFonts w:hint="eastAsia" w:ascii="仿宋_GB2312" w:hAnsi="仿宋_GB2312" w:eastAsia="仿宋_GB2312" w:cs="仿宋_GB2312"/>
          <w:sz w:val="32"/>
          <w:szCs w:val="32"/>
        </w:rPr>
        <w:t>推动文旅产业数智升级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，加快特色资源向产业发展优势转化。</w:t>
      </w:r>
      <w:r>
        <w:rPr>
          <w:rFonts w:hint="eastAsia" w:ascii="仿宋_GB2312" w:hAnsi="仿宋_GB2312" w:eastAsia="仿宋_GB2312" w:cs="仿宋_GB2312"/>
          <w:sz w:val="32"/>
          <w:szCs w:val="32"/>
        </w:rPr>
        <w:t>您的建议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提出了打造</w:t>
      </w:r>
      <w:r>
        <w:rPr>
          <w:rFonts w:hint="eastAsia" w:ascii="仿宋_GB2312" w:hAnsi="仿宋_GB2312" w:eastAsia="仿宋_GB2312" w:cs="仿宋_GB2312"/>
          <w:sz w:val="32"/>
          <w:szCs w:val="32"/>
        </w:rPr>
        <w:t>我市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文旅和公共资源数字资产体系的设想</w:t>
      </w:r>
      <w:r>
        <w:rPr>
          <w:rFonts w:hint="eastAsia" w:ascii="仿宋_GB2312" w:hAnsi="仿宋_GB2312" w:eastAsia="仿宋_GB2312" w:cs="仿宋_GB2312"/>
          <w:sz w:val="32"/>
          <w:szCs w:val="32"/>
        </w:rPr>
        <w:t>，从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资产确权</w:t>
      </w:r>
      <w:r>
        <w:rPr>
          <w:rFonts w:hint="eastAsia" w:ascii="仿宋_GB2312" w:hAnsi="仿宋_GB2312" w:eastAsia="仿宋_GB2312" w:cs="仿宋_GB2312"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技术赋能、价值变现、保障机制四个方面</w:t>
      </w:r>
      <w:r>
        <w:rPr>
          <w:rFonts w:hint="eastAsia" w:ascii="仿宋_GB2312" w:hAnsi="仿宋_GB2312" w:eastAsia="仿宋_GB2312" w:cs="仿宋_GB2312"/>
          <w:sz w:val="32"/>
          <w:szCs w:val="32"/>
        </w:rPr>
        <w:t>提出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了</w:t>
      </w:r>
      <w:r>
        <w:rPr>
          <w:rFonts w:hint="eastAsia" w:ascii="仿宋_GB2312" w:hAnsi="仿宋_GB2312" w:eastAsia="仿宋_GB2312" w:cs="仿宋_GB2312"/>
          <w:sz w:val="32"/>
          <w:szCs w:val="32"/>
        </w:rPr>
        <w:t>系统性举措，具有较高的参考价值，我们将认真研究吸纳，并在现有工作基础上持续推进相关工作。</w:t>
      </w:r>
    </w:p>
    <w:p w14:paraId="4EAD46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一、关于资产确权</w:t>
      </w:r>
    </w:p>
    <w:p w14:paraId="6B4E3A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我市紧扣省委、省政府提出的“着力推动适度多元发展”部署，着力构建“四城四景”全域旅游核心吸引物体系，这为我市文旅公共资源数字资产体系搭建了核心框架。我市围绕</w:t>
      </w:r>
      <w:r>
        <w:rPr>
          <w:rFonts w:hint="eastAsia" w:ascii="仿宋_GB2312" w:hAnsi="仿宋_GB2312" w:eastAsia="仿宋_GB2312" w:cs="仿宋_GB2312"/>
          <w:sz w:val="32"/>
          <w:szCs w:val="32"/>
        </w:rPr>
        <w:t>红色文化、工矿文化、科幻文化、古生物化石、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非遗、</w:t>
      </w:r>
      <w:r>
        <w:rPr>
          <w:rFonts w:hint="eastAsia" w:ascii="仿宋_GB2312" w:hAnsi="仿宋_GB2312" w:eastAsia="仿宋_GB2312" w:cs="仿宋_GB2312"/>
          <w:sz w:val="32"/>
          <w:szCs w:val="32"/>
        </w:rPr>
        <w:t>太行文化和长城文化等特色资源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打造特色IP集群，构建城市差异化发展新路径。深耕百团大战遗址公园、中共创建第一城旧址、七亘大捷遗址、南庄抗战地道等红色资源，打造红色教育高地；深耕“慈欣家乡·幻迷家园”IP，打造全国科幻研学旅游目的地；激活华阳三矿、马家坪变电站、天桥片区、老火车站、阳泉记忆·1947文化园等工业遗产遗存价值，打造工业怀旧文旅标杆；依托丰富古生物化石资源，实现有效保护与合理开发；以非遗、娘子关关隘、冠山书院、藏山书院等历史民俗资源叠加太行生态风光，为我市文旅提质赋能。文旅和公共资源资产得到基本明确，相关资产保护和利用举措正在加速推进。</w:t>
      </w:r>
    </w:p>
    <w:p w14:paraId="5D3873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下一步，我市将继续开展以下工作：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一是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化资源为资产，将资源特性转化为发展优势。进一步明确上述资源的资产属性，聚焦红色、科幻、工业怀旧记忆、化石、非遗等核心资源，立足产业化驱动、项目化推进，坚持“政府主导、市场运作、创新赋能、特色彰显”原则，全面推进“四城”核心载体和“四景”基础提质工程。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二是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整合文旅数字资产，以</w:t>
      </w:r>
      <w:r>
        <w:rPr>
          <w:rFonts w:hint="eastAsia" w:ascii="仿宋_GB2312" w:hAnsi="仿宋_GB2312" w:eastAsia="仿宋_GB2312" w:cs="仿宋_GB2312"/>
          <w:sz w:val="32"/>
          <w:szCs w:val="32"/>
        </w:rPr>
        <w:t>数字科技赋能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文旅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发展。综合运用数字化记录、直播、影视频融媒体、公众号视频号等形式，运用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AR增强现实、VR虚拟现实、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AIGC虚拟现实数字技术、MR混合现实、AI虚拟数字人、XR虚拟制片影棚、数字孪生、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AI修复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等多元数字技术，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深度挖掘本土文化与城市记忆,持续推进文旅资产提质扩容,推进从传统文旅业态与数字文创产业的深度融合。</w:t>
      </w:r>
    </w:p>
    <w:p w14:paraId="35E707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二、关于技术赋能</w:t>
      </w:r>
    </w:p>
    <w:p w14:paraId="092E88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我市积极推进文旅产业数字化转型，推动内容生产、个性化服务模式革新。推动建成盂县“驿路相伴”平台、城区全域旅游智慧导览系统、娘子关智慧景区管理服务平台，实现4A级旅游景区5G网络有效覆盖，1947AIGC数字视听产业园正式启用，持续丰富沉浸式数字化体验场景，助力“四城四景”建设,文旅业态与数字产业深度融合。</w:t>
      </w:r>
    </w:p>
    <w:p w14:paraId="7B9358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下一步，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一是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丰富数字化呈现方式。以口述影像资料、纪录片、传承教学云课堂等形式对不可再生的文化资源如濒危非遗技艺、红色资源、文物资源、化石资源、工业城市记忆资源等进行全过程全方位记录，探索数字孪生、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AI修复等技术落地，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为我市文旅和公共资源建立可靠可长期使用的数字化档案。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二是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深化互联网多元传播工作，开展重大赛事展会活动直播、融媒体影视频创作、应用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AIGC开发</w:t>
      </w:r>
      <w:r>
        <w:rPr>
          <w:rFonts w:hint="eastAsia" w:ascii="仿宋_GB2312" w:hAnsi="仿宋_GB2312" w:eastAsia="仿宋_GB2312" w:cs="仿宋_GB2312"/>
          <w:sz w:val="32"/>
          <w:szCs w:val="32"/>
        </w:rPr>
        <w:t>精品微短剧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三是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支持文旅场馆和景区引入智能应用，打造数字展馆，</w:t>
      </w:r>
      <w:r>
        <w:rPr>
          <w:rFonts w:hint="eastAsia" w:ascii="仿宋_GB2312" w:hAnsi="仿宋_GB2312" w:eastAsia="仿宋_GB2312" w:cs="仿宋_GB2312"/>
          <w:sz w:val="32"/>
          <w:szCs w:val="32"/>
        </w:rPr>
        <w:t>提供个性化路线规划和实时讲解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，丰富群众数字化沉浸式展览体验。</w:t>
      </w:r>
    </w:p>
    <w:p w14:paraId="00AE67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三、关于价值变现</w:t>
      </w:r>
    </w:p>
    <w:p w14:paraId="3B5733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我市高度重视数字经济发展，全力打造数智新城，通过大数据、人工智能、AR/VR等技术赋能文旅产业，培育文旅新质生产力，推动文旅融合转型发展。</w:t>
      </w:r>
    </w:p>
    <w:p w14:paraId="6CF5A1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下一步，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一是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以数智做优文化事业。文旅产业融合发展，不仅应强调旅游的经济属性，也应强调文化内涵；不仅需要有效的市场供给，也需要完善的公共服务。我市积极推进云展览、云阅读、云视听、云赏文物等智慧文旅建设，实施城市空间文旅微更新行动，构建“有声、有景、有艺、有忆、有趣”的全维度城市新体验，厚植文化力量，增强文化自信。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二是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以数智做强文旅产业。我市推进脱敏数据要素市场化，支持企业整合全市文旅数字资产，提供有偿数据服务和二次创作；开发“云游阳泉”促进旅游引流；探索打造“阳泉好礼”文创系列产品、煤雕、工人版画等工业旅游产品、非遗传承人技艺记录和代表作等数字藏品，丰富高品质旅游产品供给。</w:t>
      </w:r>
    </w:p>
    <w:p w14:paraId="0E7001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四、关于保障机制</w:t>
      </w:r>
    </w:p>
    <w:p w14:paraId="52E93D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我市加快推进数智新城建设。多项政策举措支持“文旅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+数智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”发展。《阳泉市红色文化资源保护传承条例》第九条要求“运用信息技术进行文字、数据、图片、视频等资料的收集整理，建立以数字技术为基础的红色文化资源档案”。新修订《山西省非物质文化遗产条例》《阳泉市非物质文化遗产保护条例》要求“建立非物质文化遗产档案及相关数据库”。市委、市政府两办印发的《阳泉市推动文物事业高质量发展实施方案》要求建设完善文物安全监管平台。我市正积极推进“一馆两园三基地”建设,推进古生物化石保护条例立法工作。</w:t>
      </w:r>
    </w:p>
    <w:p w14:paraId="453316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下一步，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一是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编制《阳泉市“十五五”文化和旅游高质量发展规划》，加快“文旅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+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数智”建设，加强数据安全、市场规范、文化保护风险管控。支持我市产业深耕数字内容创作领域,丰富城市文旅消费场景,打磨优质视听文创作品。</w:t>
      </w:r>
      <w:r>
        <w:rPr>
          <w:rFonts w:hint="eastAsia" w:ascii="仿宋_GB2312" w:hAnsi="仿宋_GB2312" w:eastAsia="仿宋_GB2312" w:cs="仿宋_GB2312"/>
          <w:sz w:val="32"/>
          <w:szCs w:val="32"/>
        </w:rPr>
        <w:t>打造一批可复制推广的创新成果，提升数据领域创新能力。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二是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积极争数字化建设资金，重点支持产业引导、技术研发、平台建设和优质项目孵化。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三是</w:t>
      </w:r>
      <w:r>
        <w:rPr>
          <w:rFonts w:hint="eastAsia" w:ascii="仿宋_GB2312" w:hAnsi="仿宋_GB2312" w:eastAsia="仿宋_GB2312" w:cs="仿宋_GB2312"/>
          <w:sz w:val="32"/>
          <w:szCs w:val="32"/>
        </w:rPr>
        <w:t>支持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文旅产业</w:t>
      </w:r>
      <w:r>
        <w:rPr>
          <w:rFonts w:hint="eastAsia" w:ascii="仿宋_GB2312" w:hAnsi="仿宋_GB2312" w:eastAsia="仿宋_GB2312" w:cs="仿宋_GB2312"/>
          <w:sz w:val="32"/>
          <w:szCs w:val="32"/>
        </w:rPr>
        <w:t>积极对接市外数字科技创新资源和成果，开展产业化落地和场景应用适配。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四是</w:t>
      </w:r>
      <w:r>
        <w:rPr>
          <w:rFonts w:hint="eastAsia" w:ascii="仿宋_GB2312" w:hAnsi="仿宋_GB2312" w:eastAsia="仿宋_GB2312" w:cs="仿宋_GB2312"/>
          <w:sz w:val="32"/>
          <w:szCs w:val="32"/>
        </w:rPr>
        <w:t>支持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文旅领域</w:t>
      </w:r>
      <w:r>
        <w:rPr>
          <w:rFonts w:hint="eastAsia" w:ascii="仿宋_GB2312" w:hAnsi="仿宋_GB2312" w:eastAsia="仿宋_GB2312" w:cs="仿宋_GB2312"/>
          <w:sz w:val="32"/>
          <w:szCs w:val="32"/>
        </w:rPr>
        <w:t>用人主体引进培育数字经济人才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，拓展数智应用场景，常态化开展人工智能等数字化培训，全面提升职工人工智能和市场运营能力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588F33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以上答复是否满意，如有意见，敬请反馈。</w:t>
      </w:r>
    </w:p>
    <w:p w14:paraId="5BFF53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感谢您对文旅工作的关心和支持，欢迎今后提出更多的宝贵意见。</w:t>
      </w:r>
    </w:p>
    <w:p w14:paraId="19B4069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/>
        <w:jc w:val="left"/>
        <w:textAlignment w:val="auto"/>
        <w:rPr>
          <w:rFonts w:hint="eastAsia" w:ascii="方正仿宋_GBK" w:hAnsi="方正仿宋_GBK" w:eastAsia="方正仿宋_GBK" w:cs="方正仿宋_GBK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方正仿宋_GBK" w:hAnsi="方正仿宋_GBK" w:eastAsia="方正仿宋_GBK" w:cs="方正仿宋_GBK"/>
          <w:color w:val="auto"/>
          <w:kern w:val="2"/>
          <w:sz w:val="32"/>
          <w:szCs w:val="32"/>
          <w:lang w:val="en-US" w:eastAsia="zh-CN" w:bidi="ar-SA"/>
        </w:rPr>
        <w:t>　　　　　　　　　　　　　　　　　　　　　　　</w:t>
      </w:r>
    </w:p>
    <w:p w14:paraId="67EAAF9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  <w:t>单位负责人：</w:t>
      </w:r>
    </w:p>
    <w:p w14:paraId="6357B52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  <w:t>承  办  人：王晨好</w:t>
      </w:r>
    </w:p>
    <w:p w14:paraId="5BDA044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textAlignment w:val="auto"/>
        <w:rPr>
          <w:rFonts w:hint="default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  <w:t>联系电话：2293053　15903533062</w:t>
      </w:r>
    </w:p>
    <w:p w14:paraId="3554B9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  <w:t>　　　</w:t>
      </w:r>
    </w:p>
    <w:p w14:paraId="07565F7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  <w:t>　　　　            　   阳泉市文化和旅游局</w:t>
      </w:r>
    </w:p>
    <w:p w14:paraId="228F3CE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4800" w:firstLineChars="1500"/>
        <w:textAlignment w:val="auto"/>
        <w:rPr>
          <w:rFonts w:hint="default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  <w:t>2026年7月1日</w:t>
      </w:r>
    </w:p>
    <w:p w14:paraId="2C2C0E5F">
      <w:pPr>
        <w:rPr>
          <w:rFonts w:hint="eastAsia"/>
          <w:lang w:eastAsia="zh-CN"/>
        </w:rPr>
      </w:pPr>
    </w:p>
    <w:p w14:paraId="60D68D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5397D3F9"/>
    <w:sectPr>
      <w:footerReference r:id="rId3" w:type="default"/>
      <w:pgSz w:w="11906" w:h="16838"/>
      <w:pgMar w:top="2098" w:right="1474" w:bottom="1984" w:left="1587" w:header="851" w:footer="1417" w:gutter="0"/>
      <w:pgNumType w:fmt="decimal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仿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2ADB30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12700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F38484A">
                          <w:pPr>
                            <w:pStyle w:val="2"/>
                            <w:rPr>
                              <w:rFonts w:hint="eastAsia" w:ascii="宋体" w:hAnsi="宋体" w:eastAsia="宋体" w:cs="宋体"/>
                              <w:b w:val="0"/>
                              <w:bCs w:val="0"/>
                              <w:sz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b w:val="0"/>
                              <w:bCs w:val="0"/>
                              <w:sz w:val="28"/>
                            </w:rPr>
                            <w:t>—</w:t>
                          </w:r>
                          <w:r>
                            <w:rPr>
                              <w:rFonts w:hint="eastAsia" w:ascii="宋体" w:hAnsi="宋体" w:eastAsia="宋体" w:cs="宋体"/>
                              <w:b w:val="0"/>
                              <w:bCs w:val="0"/>
                              <w:sz w:val="24"/>
                            </w:rPr>
                            <w:t>　</w:t>
                          </w:r>
                          <w:r>
                            <w:rPr>
                              <w:rFonts w:hint="eastAsia" w:ascii="宋体" w:hAnsi="宋体" w:eastAsia="宋体" w:cs="宋体"/>
                              <w:b w:val="0"/>
                              <w:bCs w:val="0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b w:val="0"/>
                              <w:bCs w:val="0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b w:val="0"/>
                              <w:bCs w:val="0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b w:val="0"/>
                              <w:bCs w:val="0"/>
                              <w:sz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b w:val="0"/>
                              <w:bCs w:val="0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b w:val="0"/>
                              <w:bCs w:val="0"/>
                              <w:sz w:val="24"/>
                            </w:rPr>
                            <w:t>　</w:t>
                          </w:r>
                          <w:r>
                            <w:rPr>
                              <w:rFonts w:hint="eastAsia" w:ascii="宋体" w:hAnsi="宋体" w:eastAsia="宋体" w:cs="宋体"/>
                              <w:b w:val="0"/>
                              <w:bCs w:val="0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03200" tIns="0" rIns="20320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1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">
              <v:fill on="f" focussize="0,0"/>
              <v:stroke on="f" weight="0.5pt"/>
              <v:imagedata o:title=""/>
              <o:lock v:ext="edit" aspectratio="f"/>
              <v:textbox inset="16pt,0mm,16pt,0mm" style="mso-fit-shape-to-text:t;">
                <w:txbxContent>
                  <w:p w14:paraId="1F38484A">
                    <w:pPr>
                      <w:pStyle w:val="2"/>
                      <w:rPr>
                        <w:rFonts w:hint="eastAsia" w:ascii="宋体" w:hAnsi="宋体" w:eastAsia="宋体" w:cs="宋体"/>
                        <w:b w:val="0"/>
                        <w:bCs w:val="0"/>
                        <w:sz w:val="28"/>
                      </w:rPr>
                    </w:pPr>
                    <w:r>
                      <w:rPr>
                        <w:rFonts w:hint="eastAsia" w:ascii="宋体" w:hAnsi="宋体" w:eastAsia="宋体" w:cs="宋体"/>
                        <w:b w:val="0"/>
                        <w:bCs w:val="0"/>
                        <w:sz w:val="28"/>
                      </w:rPr>
                      <w:t>—</w:t>
                    </w:r>
                    <w:r>
                      <w:rPr>
                        <w:rFonts w:hint="eastAsia" w:ascii="宋体" w:hAnsi="宋体" w:eastAsia="宋体" w:cs="宋体"/>
                        <w:b w:val="0"/>
                        <w:bCs w:val="0"/>
                        <w:sz w:val="24"/>
                      </w:rPr>
                      <w:t>　</w:t>
                    </w:r>
                    <w:r>
                      <w:rPr>
                        <w:rFonts w:hint="eastAsia" w:ascii="宋体" w:hAnsi="宋体" w:eastAsia="宋体" w:cs="宋体"/>
                        <w:b w:val="0"/>
                        <w:bCs w:val="0"/>
                        <w:sz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b w:val="0"/>
                        <w:bCs w:val="0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b w:val="0"/>
                        <w:bCs w:val="0"/>
                        <w:sz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b w:val="0"/>
                        <w:bCs w:val="0"/>
                        <w:sz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b w:val="0"/>
                        <w:bCs w:val="0"/>
                        <w:sz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b w:val="0"/>
                        <w:bCs w:val="0"/>
                        <w:sz w:val="24"/>
                      </w:rPr>
                      <w:t>　</w:t>
                    </w:r>
                    <w:r>
                      <w:rPr>
                        <w:rFonts w:hint="eastAsia" w:ascii="宋体" w:hAnsi="宋体" w:eastAsia="宋体" w:cs="宋体"/>
                        <w:b w:val="0"/>
                        <w:bCs w:val="0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AB33B63"/>
    <w:rsid w:val="25A41BE1"/>
    <w:rsid w:val="42B4320A"/>
    <w:rsid w:val="7AB33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2247</Words>
  <Characters>2300</Characters>
  <Lines>0</Lines>
  <Paragraphs>0</Paragraphs>
  <TotalTime>5</TotalTime>
  <ScaleCrop>false</ScaleCrop>
  <LinksUpToDate>false</LinksUpToDate>
  <CharactersWithSpaces>2351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2026-08-06T10:03:00Z</dcterms:created>
  <dc:creator>王晨好</dc:creator>
  <cp:lastModifiedBy>王晨好</cp:lastModifiedBy>
  <dcterms:modified xsi:type="dcterms:W3CDTF">2026-08-07T03:45:05Z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173AC091C76F42C8B849512F4161B7A4_11</vt:lpwstr>
  </property>
  <property fmtid="{D5CDD505-2E9C-101B-9397-08002B2CF9AE}" pid="4" name="KSOTemplateDocerSaveRecord">
    <vt:lpwstr>eyJoZGlkIjoiYzMxNWE0NGM4NTg1MDllNWQ1MGYxODlkNDRmYTk4ZmQiLCJ1c2VySWQiOiIxNjM3MTc4NzU3In0=</vt:lpwstr>
  </property>
</Properties>
</file>