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6F5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4B511CA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0FF2E49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0E02159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553D7A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color w:val="auto"/>
          <w:sz w:val="44"/>
          <w:szCs w:val="44"/>
        </w:rPr>
        <w:t>关于对市</w:t>
      </w:r>
      <w:r>
        <w:rPr>
          <w:rFonts w:hint="eastAsia" w:ascii="方正小标宋简体" w:eastAsia="方正小标宋简体"/>
          <w:color w:val="auto"/>
          <w:sz w:val="44"/>
          <w:szCs w:val="44"/>
          <w:lang w:eastAsia="zh-CN"/>
        </w:rPr>
        <w:t>政协十四届五次会议</w:t>
      </w:r>
      <w:r>
        <w:rPr>
          <w:rFonts w:hint="eastAsia" w:ascii="方正小标宋简体" w:eastAsia="方正小标宋简体"/>
          <w:sz w:val="44"/>
          <w:szCs w:val="44"/>
          <w:lang w:val="en-US" w:eastAsia="zh-CN"/>
        </w:rPr>
        <w:t>第0060号</w:t>
      </w:r>
    </w:p>
    <w:p w14:paraId="584BF4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val="en-US" w:eastAsia="zh-CN"/>
        </w:rPr>
        <w:t>提案</w:t>
      </w:r>
      <w:r>
        <w:rPr>
          <w:rFonts w:hint="eastAsia" w:ascii="方正小标宋简体" w:eastAsia="方正小标宋简体"/>
          <w:sz w:val="44"/>
          <w:szCs w:val="44"/>
        </w:rPr>
        <w:t>的答复</w:t>
      </w:r>
    </w:p>
    <w:p w14:paraId="4E3176F0">
      <w:pPr>
        <w:keepNext w:val="0"/>
        <w:keepLines w:val="0"/>
        <w:pageBreakBefore w:val="0"/>
        <w:widowControl/>
        <w:suppressLineNumbers w:val="0"/>
        <w:kinsoku/>
        <w:wordWrap/>
        <w:overflowPunct/>
        <w:topLinePunct w:val="0"/>
        <w:autoSpaceDE/>
        <w:autoSpaceDN/>
        <w:bidi w:val="0"/>
        <w:adjustRightInd/>
        <w:snapToGrid w:val="0"/>
        <w:spacing w:line="560" w:lineRule="exact"/>
        <w:jc w:val="left"/>
        <w:textAlignment w:val="auto"/>
        <w:rPr>
          <w:rFonts w:hint="eastAsia" w:ascii="仿宋" w:hAnsi="仿宋" w:eastAsia="仿宋" w:cs="仿宋"/>
          <w:b w:val="0"/>
          <w:bCs w:val="0"/>
          <w:color w:val="auto"/>
          <w:kern w:val="2"/>
          <w:sz w:val="32"/>
          <w:szCs w:val="32"/>
          <w:highlight w:val="none"/>
          <w:rtl w:val="0"/>
          <w:lang w:val="en-US" w:eastAsia="zh-CN" w:bidi="ar-SA"/>
        </w:rPr>
      </w:pPr>
    </w:p>
    <w:p w14:paraId="0EFCE6AA">
      <w:pPr>
        <w:keepNext w:val="0"/>
        <w:keepLines w:val="0"/>
        <w:pageBreakBefore w:val="0"/>
        <w:widowControl/>
        <w:suppressLineNumbers w:val="0"/>
        <w:kinsoku/>
        <w:wordWrap/>
        <w:overflowPunct/>
        <w:topLinePunct w:val="0"/>
        <w:autoSpaceDE/>
        <w:autoSpaceDN/>
        <w:bidi w:val="0"/>
        <w:adjustRightInd/>
        <w:snapToGrid w:val="0"/>
        <w:spacing w:line="560" w:lineRule="exact"/>
        <w:jc w:val="lef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尊敬的李晓明委员：</w:t>
      </w:r>
    </w:p>
    <w:p w14:paraId="5572FD13">
      <w:pPr>
        <w:keepNext w:val="0"/>
        <w:keepLines w:val="0"/>
        <w:pageBreakBefore w:val="0"/>
        <w:widowControl/>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您提出的《关于建设标准化音乐厅，提升我市文化软实力的建议》收悉。首先感谢您对我市公共文化事业发展的关心与支持。提案深入剖析我市文化基础设施短板，系统提出标准化音乐厅规划建设、运营管理、文化普及、产业联动等方面建议，对我市完善公共文化服务体系、提升城市文化软实力具有很强的参考价值。经研究，现答复如下：</w:t>
      </w:r>
    </w:p>
    <w:p w14:paraId="62778564">
      <w:pPr>
        <w:keepNext w:val="0"/>
        <w:keepLines w:val="0"/>
        <w:pageBreakBefore w:val="0"/>
        <w:widowControl/>
        <w:numPr>
          <w:ilvl w:val="0"/>
          <w:numId w:val="1"/>
        </w:numPr>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方正黑体_GBK" w:hAnsi="方正黑体_GBK" w:eastAsia="方正黑体_GBK" w:cs="方正黑体_GBK"/>
          <w:b w:val="0"/>
          <w:bCs w:val="0"/>
          <w:color w:val="auto"/>
          <w:kern w:val="2"/>
          <w:sz w:val="32"/>
          <w:szCs w:val="32"/>
          <w:highlight w:val="none"/>
          <w:rtl w:val="0"/>
          <w:lang w:val="en-US" w:eastAsia="zh-CN" w:bidi="ar-SA"/>
        </w:rPr>
      </w:pPr>
      <w:r>
        <w:rPr>
          <w:rFonts w:hint="eastAsia" w:ascii="方正黑体_GBK" w:hAnsi="方正黑体_GBK" w:eastAsia="方正黑体_GBK" w:cs="方正黑体_GBK"/>
          <w:b w:val="0"/>
          <w:bCs w:val="0"/>
          <w:color w:val="auto"/>
          <w:kern w:val="2"/>
          <w:sz w:val="32"/>
          <w:szCs w:val="32"/>
          <w:highlight w:val="none"/>
          <w:rtl w:val="0"/>
          <w:lang w:val="en-US" w:eastAsia="zh-CN" w:bidi="ar-SA"/>
        </w:rPr>
        <w:t>关于科学规划选址与功能设计</w:t>
      </w:r>
    </w:p>
    <w:p w14:paraId="5DC434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我市高度重视文化地标建设工作，持续统筹全市文化空间布局，依托“阳泉记忆·1947”文化园、桃河文化带、市博物馆、图书馆等现有文化资源，推动文化资源集聚发展。您提出的音乐厅选址、声学专业设计、多功能空间配套等建议，我局将认真吸纳。关于科学规划选址与功能设计，我局结合实践也做了很多工作：</w:t>
      </w:r>
    </w:p>
    <w:p w14:paraId="5E0679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一、补齐专业文化设施的补短板工作。2016年，我局就按照市委、市政府指示精神启动阳泉大剧院项目前期筹备，明确提出将其打造为集剧场、音乐厅、群众艺术活动空间、市直专业院团排练场所、电影院、美术展览空间于一体的综合性公共文化设施，标准化专业音乐厅正是项目的核心功能板块之一。方案确定后，我局立即组织开展深入调研，结合我市人口规模和文化需求完成了阳泉大剧院整体功能设计与投资估算。</w:t>
      </w:r>
    </w:p>
    <w:p w14:paraId="2E2CAF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sz w:val="32"/>
          <w:szCs w:val="32"/>
          <w:lang w:val="en-US" w:eastAsia="zh-CN"/>
        </w:rPr>
        <w:t>二、多方协调，优化方案。2017年以来，阳泉市文化和旅游局持续推进项目前期工作，不间断与规划、国土、发改、设计院沟通协调，反复优化项目选址与设计方案，目标就是将阳泉大剧院打造成为我市新的公共文化设施标志性建筑、城市文化名片、艺术精品展示平台、文化创意中心和文化艺术活动交流中心。2021年5月7日，我局召开阳泉市文化艺术中心（大剧院）项目工程初步设计方案座谈会；5月10日市政府市长办公会议确定项目名称为阳泉市艺术中心；6月28日确定阳泉市建设集团有限公司为项目实施单位，负责项目投资、建设、运营管理。后续已办理该项目《用地勘测定界图》《土地勘测定界技术报告书》及《可行性研究报告》，编制并评审《地质灾害危险性评估报告》《压覆矿产资源评估报告》《节地评价方案》《建设项目用地预审与规划选址报告》，于8月办理《建设项目用地预审与选址意见书》。市发展和改革委员会于2021年9月24日下发《关于阳泉市艺术中心可行性研究报告的批复》，项目已完成立项。现由阳泉市建设集团细化设计方案并筹集资金开工建设。</w:t>
      </w:r>
      <w:bookmarkStart w:id="0" w:name="_GoBack"/>
      <w:bookmarkEnd w:id="0"/>
      <w:r>
        <w:rPr>
          <w:rFonts w:hint="eastAsia" w:ascii="仿宋" w:hAnsi="仿宋" w:eastAsia="仿宋" w:cs="仿宋"/>
          <w:b w:val="0"/>
          <w:bCs w:val="0"/>
          <w:color w:val="auto"/>
          <w:kern w:val="2"/>
          <w:sz w:val="32"/>
          <w:szCs w:val="32"/>
          <w:highlight w:val="none"/>
          <w:rtl w:val="0"/>
          <w:lang w:val="en-US" w:eastAsia="zh-CN" w:bidi="ar-SA"/>
        </w:rPr>
        <w:t>下一步，将结合城市国土空间总体规划、重大项目储备，会同发改、自然资源统筹考虑项目选址、建设规模、专业声学设计、配套功能等内容，科学研判项目可行性。</w:t>
      </w:r>
    </w:p>
    <w:p w14:paraId="46AB9AF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方正黑体_GBK" w:hAnsi="方正黑体_GBK" w:eastAsia="方正黑体_GBK" w:cs="方正黑体_GBK"/>
          <w:b w:val="0"/>
          <w:bCs w:val="0"/>
          <w:color w:val="auto"/>
          <w:kern w:val="2"/>
          <w:sz w:val="32"/>
          <w:szCs w:val="32"/>
          <w:highlight w:val="none"/>
          <w:rtl w:val="0"/>
          <w:lang w:val="en-US" w:eastAsia="zh-CN" w:bidi="ar-SA"/>
        </w:rPr>
      </w:pPr>
      <w:r>
        <w:rPr>
          <w:rFonts w:hint="eastAsia" w:ascii="方正黑体_GBK" w:hAnsi="方正黑体_GBK" w:eastAsia="方正黑体_GBK" w:cs="方正黑体_GBK"/>
          <w:b w:val="0"/>
          <w:bCs w:val="0"/>
          <w:color w:val="auto"/>
          <w:kern w:val="2"/>
          <w:sz w:val="32"/>
          <w:szCs w:val="32"/>
          <w:highlight w:val="none"/>
          <w:rtl w:val="0"/>
          <w:lang w:val="en-US" w:eastAsia="zh-CN" w:bidi="ar-SA"/>
        </w:rPr>
        <w:t>二、关于建立多元投入与运营机制</w:t>
      </w:r>
    </w:p>
    <w:p w14:paraId="0863B6BE">
      <w:pPr>
        <w:keepNext w:val="0"/>
        <w:keepLines w:val="0"/>
        <w:pageBreakBefore w:val="0"/>
        <w:widowControl/>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在项目投融资模式方面，我局将积极探索“政府主导+社会参与”模式。一方面，积极对接上级文旅专项资金，争取政策资金支持；另一方面，研究引入社会资本参与文化场馆建设运营，鼓励企业、社会组织通过冠名、公益捐赠等方式投入文化事业。条件允许情况下同步研究市场化运营方案，探索专业团队运营模式，兼顾高雅艺术引进、本土文艺培育，策划城市音乐节、合唱赛事、器乐展演等特色品牌活动，实现社会效益优先、文旅产业良性发展。</w:t>
      </w:r>
    </w:p>
    <w:p w14:paraId="73935C3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方正黑体_GBK" w:hAnsi="方正黑体_GBK" w:eastAsia="方正黑体_GBK" w:cs="方正黑体_GBK"/>
          <w:b w:val="0"/>
          <w:bCs w:val="0"/>
          <w:color w:val="auto"/>
          <w:kern w:val="2"/>
          <w:sz w:val="32"/>
          <w:szCs w:val="32"/>
          <w:highlight w:val="none"/>
          <w:rtl w:val="0"/>
          <w:lang w:val="en-US" w:eastAsia="zh-CN" w:bidi="ar-SA"/>
        </w:rPr>
      </w:pPr>
      <w:r>
        <w:rPr>
          <w:rFonts w:hint="eastAsia" w:ascii="方正黑体_GBK" w:hAnsi="方正黑体_GBK" w:eastAsia="方正黑体_GBK" w:cs="方正黑体_GBK"/>
          <w:b w:val="0"/>
          <w:bCs w:val="0"/>
          <w:color w:val="auto"/>
          <w:kern w:val="2"/>
          <w:sz w:val="32"/>
          <w:szCs w:val="32"/>
          <w:highlight w:val="none"/>
          <w:rtl w:val="0"/>
          <w:lang w:val="en-US" w:eastAsia="zh-CN" w:bidi="ar-SA"/>
        </w:rPr>
        <w:t>三、关于强化文化赋能与普及推广</w:t>
      </w:r>
    </w:p>
    <w:p w14:paraId="06718F6C">
      <w:pPr>
        <w:keepNext w:val="0"/>
        <w:keepLines w:val="0"/>
        <w:pageBreakBefore w:val="0"/>
        <w:widowControl/>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我市持续打造“泉经典”文化惠民品牌，常态化开展高雅艺术普及活动。近期已成功举办成都知更室内合唱团专场音乐会、中央芭蕾舞团“艺术为民 舞动漾泉”芭蕾舞惠民演出等，将高品质音乐、芭蕾艺术等送到市民身边，有效丰富群众文化供给，培养市民艺术素养。</w:t>
      </w:r>
    </w:p>
    <w:p w14:paraId="6CF2A679">
      <w:pPr>
        <w:keepNext w:val="0"/>
        <w:keepLines w:val="0"/>
        <w:pageBreakBefore w:val="0"/>
        <w:widowControl/>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下一步，我们将持续深化文化惠民品牌活动，联动学校、社区、本土文艺团体开展艺术普及。持续引进国内外优秀乐团、艺术家来我市交流演出，搭建文化交流平台，为本地音乐人才提供展示、学习的舞台，持续扩大高雅艺术覆盖面。</w:t>
      </w:r>
    </w:p>
    <w:p w14:paraId="5E8CE47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方正黑体_GBK" w:hAnsi="方正黑体_GBK" w:eastAsia="方正黑体_GBK" w:cs="方正黑体_GBK"/>
          <w:b w:val="0"/>
          <w:bCs w:val="0"/>
          <w:color w:val="auto"/>
          <w:kern w:val="2"/>
          <w:sz w:val="32"/>
          <w:szCs w:val="32"/>
          <w:highlight w:val="none"/>
          <w:rtl w:val="0"/>
          <w:lang w:val="en-US" w:eastAsia="zh-CN" w:bidi="ar-SA"/>
        </w:rPr>
      </w:pPr>
      <w:r>
        <w:rPr>
          <w:rFonts w:hint="eastAsia" w:ascii="方正黑体_GBK" w:hAnsi="方正黑体_GBK" w:eastAsia="方正黑体_GBK" w:cs="方正黑体_GBK"/>
          <w:b w:val="0"/>
          <w:bCs w:val="0"/>
          <w:color w:val="auto"/>
          <w:kern w:val="2"/>
          <w:sz w:val="32"/>
          <w:szCs w:val="32"/>
          <w:highlight w:val="none"/>
          <w:rtl w:val="0"/>
          <w:lang w:val="en-US" w:eastAsia="zh-CN" w:bidi="ar-SA"/>
        </w:rPr>
        <w:t>四、关于完善配套服务与产业联动</w:t>
      </w:r>
    </w:p>
    <w:p w14:paraId="3E8F8186">
      <w:pPr>
        <w:keepNext w:val="0"/>
        <w:keepLines w:val="0"/>
        <w:pageBreakBefore w:val="0"/>
        <w:widowControl/>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我局在谋划重大文化项目时，同步统筹配套设施建设，将停车场、休闲配套等纳入一体化考量。坚持“文化+产业”思路，以文化场馆为载体，打造“演出+消费+体验”文旅融合生态，推动文化效益与经济效益双向提升。</w:t>
      </w:r>
    </w:p>
    <w:p w14:paraId="08953F7F">
      <w:pPr>
        <w:keepNext w:val="0"/>
        <w:keepLines w:val="0"/>
        <w:pageBreakBefore w:val="0"/>
        <w:widowControl/>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建设标准化音乐厅，是补齐我市公共文化设施短板、提升城市文化软实力的重要举措。我局将把您的建议作为重要参考，持续开展项目前期调研论证，积极向上争取政策、资金支持，统筹各方力量推进项目谋划储备。</w:t>
      </w:r>
    </w:p>
    <w:p w14:paraId="0807AC56">
      <w:pPr>
        <w:keepNext w:val="0"/>
        <w:keepLines w:val="0"/>
        <w:pageBreakBefore w:val="0"/>
        <w:widowControl/>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再次感谢您对阳泉文旅工作的宝贵建言，恳请继续关心支持我市文化和旅游事业发展。</w:t>
      </w:r>
    </w:p>
    <w:p w14:paraId="67EAAF9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单位负责人：</w:t>
      </w:r>
    </w:p>
    <w:p w14:paraId="6357B52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承  办  人：刘 菁</w:t>
      </w:r>
    </w:p>
    <w:p w14:paraId="5BDA0447">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联系电话：2293053　18135546004</w:t>
      </w:r>
    </w:p>
    <w:p w14:paraId="3554B9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w:t>
      </w:r>
    </w:p>
    <w:p w14:paraId="0A3814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p>
    <w:p w14:paraId="07565F74">
      <w:pPr>
        <w:keepNext w:val="0"/>
        <w:keepLines w:val="0"/>
        <w:pageBreakBefore w:val="0"/>
        <w:kinsoku/>
        <w:wordWrap/>
        <w:overflowPunct/>
        <w:topLinePunct w:val="0"/>
        <w:autoSpaceDE/>
        <w:autoSpaceDN/>
        <w:bidi w:val="0"/>
        <w:adjustRightInd/>
        <w:spacing w:line="560" w:lineRule="exact"/>
        <w:ind w:firstLine="640" w:firstLineChars="200"/>
        <w:jc w:val="righ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阳泉市文化和旅游局</w:t>
      </w:r>
    </w:p>
    <w:p w14:paraId="228F3CE5">
      <w:pPr>
        <w:keepNext w:val="0"/>
        <w:keepLines w:val="0"/>
        <w:pageBreakBefore w:val="0"/>
        <w:kinsoku/>
        <w:wordWrap/>
        <w:overflowPunct/>
        <w:topLinePunct w:val="0"/>
        <w:autoSpaceDE/>
        <w:autoSpaceDN/>
        <w:bidi w:val="0"/>
        <w:adjustRightInd/>
        <w:spacing w:line="560" w:lineRule="exact"/>
        <w:ind w:firstLine="4800" w:firstLineChars="1500"/>
        <w:jc w:val="center"/>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xml:space="preserve">     2026年10月13日</w:t>
      </w:r>
    </w:p>
    <w:p w14:paraId="64AA88A6">
      <w:pPr>
        <w:keepNext w:val="0"/>
        <w:keepLines w:val="0"/>
        <w:pageBreakBefore w:val="0"/>
        <w:widowControl/>
        <w:suppressLineNumbers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b w:val="0"/>
          <w:bCs w:val="0"/>
          <w:color w:val="auto"/>
          <w:kern w:val="2"/>
          <w:sz w:val="32"/>
          <w:szCs w:val="32"/>
          <w:highlight w:val="none"/>
          <w:rtl w:val="0"/>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67AC5"/>
    <w:multiLevelType w:val="singleLevel"/>
    <w:tmpl w:val="05367AC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66159"/>
    <w:rsid w:val="071402E5"/>
    <w:rsid w:val="378446CA"/>
    <w:rsid w:val="4CF66159"/>
    <w:rsid w:val="7F5731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rPr>
      <w:rFonts w:eastAsia="宋体"/>
      <w:szCs w:val="20"/>
    </w:rPr>
  </w:style>
  <w:style w:type="paragraph" w:styleId="3">
    <w:name w:val="envelope return"/>
    <w:basedOn w:val="1"/>
    <w:qFormat/>
    <w:uiPriority w:val="0"/>
    <w:pPr>
      <w:snapToGrid w:val="0"/>
    </w:pPr>
    <w:rPr>
      <w:rFonts w:ascii="Arial" w:hAnsi="Arial" w:eastAsia="宋体" w:cs="Times New Roman"/>
    </w:rPr>
  </w:style>
  <w:style w:type="paragraph" w:styleId="4">
    <w:name w:val="Body Text First Indent 2"/>
    <w:basedOn w:val="2"/>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1778</Words>
  <Characters>1820</Characters>
  <Lines>0</Lines>
  <Paragraphs>0</Paragraphs>
  <TotalTime>25</TotalTime>
  <ScaleCrop>false</ScaleCrop>
  <LinksUpToDate>false</LinksUpToDate>
  <CharactersWithSpaces>1855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2026-10-12T03:34:00Z</dcterms:created>
  <dc:creator>。！</dc:creator>
  <cp:lastModifiedBy>。！</cp:lastModifiedBy>
  <dcterms:modified xsi:type="dcterms:W3CDTF">2026-10-13T09:54:54Z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A9EB80D6AB684878A6FDA5509B49B89B_11</vt:lpwstr>
  </property>
  <property fmtid="{D5CDD505-2E9C-101B-9397-08002B2CF9AE}" pid="4" name="KSOTemplateDocerSaveRecord">
    <vt:lpwstr>eyJoZGlkIjoiZGE3MWFjMTFkNDdkYmNmYjExZDllMTRhYTNiZWM0ZTUiLCJ1c2VySWQiOiIyODk0OTY3MzQifQ==</vt:lpwstr>
  </property>
</Properties>
</file>