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598758">
      <w:pPr>
        <w:keepNext w:val="0"/>
        <w:keepLines w:val="0"/>
        <w:pageBreakBefore w:val="0"/>
        <w:widowControl w:val="0"/>
        <w:kinsoku/>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阳泉市文化</w:t>
      </w:r>
      <w:bookmarkStart w:id="0" w:name="_GoBack"/>
      <w:bookmarkEnd w:id="0"/>
      <w:r>
        <w:rPr>
          <w:rFonts w:hint="eastAsia" w:ascii="方正小标宋简体" w:hAnsi="方正小标宋简体" w:eastAsia="方正小标宋简体" w:cs="方正小标宋简体"/>
          <w:sz w:val="44"/>
          <w:szCs w:val="44"/>
        </w:rPr>
        <w:t>和旅游局关于市政协</w:t>
      </w:r>
    </w:p>
    <w:p w14:paraId="4F64EC54">
      <w:pPr>
        <w:keepNext w:val="0"/>
        <w:keepLines w:val="0"/>
        <w:pageBreakBefore w:val="0"/>
        <w:widowControl w:val="0"/>
        <w:kinsoku/>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第十四届五次会议第0089号提案的答复</w:t>
      </w:r>
    </w:p>
    <w:p w14:paraId="41276D09">
      <w:pPr>
        <w:keepNext w:val="0"/>
        <w:keepLines w:val="0"/>
        <w:pageBreakBefore w:val="0"/>
        <w:widowControl w:val="0"/>
        <w:kinsoku/>
        <w:overflowPunct/>
        <w:topLinePunct w:val="0"/>
        <w:autoSpaceDE/>
        <w:autoSpaceDN/>
        <w:bidi w:val="0"/>
        <w:adjustRightInd/>
        <w:snapToGrid/>
        <w:spacing w:line="580" w:lineRule="exact"/>
        <w:textAlignment w:val="auto"/>
        <w:rPr>
          <w:rFonts w:hint="eastAsia"/>
        </w:rPr>
      </w:pPr>
    </w:p>
    <w:p w14:paraId="46E76FD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阳泉市工商联：</w:t>
      </w:r>
    </w:p>
    <w:p w14:paraId="697011A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贵单位提出的《关于我市文物和旅游融合发展的建议》收悉。经研究，现答复如下：</w:t>
      </w:r>
    </w:p>
    <w:p w14:paraId="3B0F99C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首先，感谢贵单位对我市文物和旅游融合发展工作的关心和支持。提案指出的保护难度大、基础设施配备不足、宣传力度不够等问题，符合我市实际，提出的开发与保护相结合、全方位提升、加大宣传力度、做好应急预案、做好长效管理等建议，具有针对性。我局将会同相关部门认真研究吸纳，推动相关工作落实。</w:t>
      </w:r>
    </w:p>
    <w:p w14:paraId="60EF7AC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一、关于我市文物和旅游融合发展的工作基础</w:t>
      </w:r>
    </w:p>
    <w:p w14:paraId="3162CD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山西是文物大省，我市文物资源也十分丰富。据第四次全国文物普查最新统计，全市共登记不可移动文物1273处，其中全国重点文物保护单位11处，省级文物保护单位13处（实际含有83点），市级文物保护单位60处（实际含有89点），县（区）级文物保护单位101处，未定级不可移动文物989处。近年来，我市围绕“保护第一、加强管理、挖掘价值、有效利用、让文物活起来”的要求，重点推进文物保护体系完善、文物资源普查、重点工程实施、安全监管升级、博物馆服务提升、机构人才建设和改革创新。全市新增国保3处、省保8处、市保12处，红色文化遗址达20处；完成第四次全国文物普查，复查不可移动文物1118处、新发现142处；实施各类文保工程近百项，推进藏山祠、石评梅故居、明长城新关段等修缮及数字化保护，完成安消防工程10项、新启动7项，建成覆盖11处国保和9处省保的安全监管平台并启动低级别文物平台；举办展览30余个、社教活动近500场，《砂都异彩》跨省巡展，百团大战纪念馆创成国家三级博物馆，平坦垴古井公园建成开放；完成文保、考古机构重塑性改革，输送9名文物全科人才；创新政府一般债券支持低级别文物、社会力量认养、遗址类文物边界认定试点，全省首个出台市级“十五条措施”，推动考古前置全域覆盖和低级别文物由零星抢救向系统治理转变。但正如提案所指，我市文物旅游融合仍存在保护压力大、基础设施不完善、专业人才不足、宣传营销单一等短板。</w:t>
      </w:r>
    </w:p>
    <w:p w14:paraId="49B1B50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二、关于开发保护与全方位提升</w:t>
      </w:r>
    </w:p>
    <w:p w14:paraId="06AFCC1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贵单位提出开发与保护相结合、全方位提升，我们将结合“十五五”规划编制和2026年度重点项目安排，坚持保护优先、软硬件同步发力。</w:t>
      </w:r>
    </w:p>
    <w:p w14:paraId="5E4432E0">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（一）分类推进保护利用。</w:t>
      </w:r>
      <w:r>
        <w:rPr>
          <w:rFonts w:hint="eastAsia" w:ascii="方正仿宋_GB2312" w:hAnsi="方正仿宋_GB2312" w:eastAsia="方正仿宋_GB2312" w:cs="方正仿宋_GB2312"/>
          <w:sz w:val="32"/>
          <w:szCs w:val="32"/>
          <w:lang w:val="en-US" w:eastAsia="zh-CN"/>
        </w:rPr>
        <w:t>对已纳入保护范围的文物，按照“保护优先、合理利用、分类施策”原则，组织专家评估开放条件，具备条件的逐步对外开放，暂不具备条件的做好本体保护和数字化展示。目前，全市11处国保、13处省保全部对外开放，7处具备条件的市保有序开放，在微信公众号公布25处文保单位开放时间和咨询电话。</w:t>
      </w:r>
    </w:p>
    <w:p w14:paraId="2F8B95A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（二）加强数字化保存展示。</w:t>
      </w:r>
      <w:r>
        <w:rPr>
          <w:rFonts w:hint="eastAsia" w:ascii="方正仿宋_GB2312" w:hAnsi="方正仿宋_GB2312" w:eastAsia="方正仿宋_GB2312" w:cs="方正仿宋_GB2312"/>
          <w:sz w:val="32"/>
          <w:szCs w:val="32"/>
          <w:lang w:val="en-US" w:eastAsia="zh-CN"/>
        </w:rPr>
        <w:t>对重点文物、古建、壁画、碑刻等开展扫描成像、三维建模、数据归档，探索AR云游览、线上展览等方式，为后续开放利用打基础。国宝级文物藏山祠数字化保护项目和阳泉市博物馆馆藏珍贵文物数字化保护项目已完工；开河寺石窟、坡头泰山庙、盂北泰山庙古建筑壁画数字化保护项目正在施工。下一步将结合“十五五”规划，谋划一批数字化保护与展示项目，推动文物资源数字化成果在旅游场景中的应用。</w:t>
      </w:r>
    </w:p>
    <w:p w14:paraId="7C962A1B">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（三）提升软件服务水平。</w:t>
      </w:r>
      <w:r>
        <w:rPr>
          <w:rFonts w:hint="eastAsia" w:ascii="方正仿宋_GB2312" w:hAnsi="方正仿宋_GB2312" w:eastAsia="方正仿宋_GB2312" w:cs="方正仿宋_GB2312"/>
          <w:sz w:val="32"/>
          <w:szCs w:val="32"/>
          <w:lang w:val="en-US" w:eastAsia="zh-CN"/>
        </w:rPr>
        <w:t>加强文保人员和讲解员队伍建设，选配高水平文保人员，推动文保员向深度讲解员转型，提高业务培训和服务水平。已组织开展全市文博行业业务能力提升专题培训，围绕展览策划、文物活化、公众宣教等实操内容系统授课。下一步将选取藏山、娘子关、固关、冠山书院等代表性景点，组建专业讲解队伍，创新讲解方式，探索VR场景、“穿越式”讲解、故事绘本、研学课程等。同时，培育专兼职文物讲述人队伍，持续深化“文明守望工程”，构建政府主导、社会参与的活化利用新格局。</w:t>
      </w:r>
    </w:p>
    <w:p w14:paraId="7CFC4CA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（四）完善硬件设施。</w:t>
      </w:r>
      <w:r>
        <w:rPr>
          <w:rFonts w:hint="eastAsia" w:ascii="方正仿宋_GB2312" w:hAnsi="方正仿宋_GB2312" w:eastAsia="方正仿宋_GB2312" w:cs="方正仿宋_GB2312"/>
          <w:sz w:val="32"/>
          <w:szCs w:val="32"/>
          <w:lang w:val="en-US" w:eastAsia="zh-CN"/>
        </w:rPr>
        <w:t>完善旅游厕所、标识标牌、安全防护等设施，排查整治安全隐患。加强县域之间及县域内交通衔接，谋划文物特色深度游览线路，推动重点景区串点成线。目前已推出“阳泉48小时治愈计划”“山水人文休闲线路”2条“阳泉寻古”文物主题旅游线路，在“中共创建第一城”旧址打造非遗文创展厅。下一步将结合“十五五”文旅发展规划，规划文物主题游径，策划推出主题研学活动，加快推进盂县大王庙、石评梅祖居等重点展示利用项目。</w:t>
      </w:r>
    </w:p>
    <w:p w14:paraId="08C41A7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（五）推进重点项目。</w:t>
      </w:r>
      <w:r>
        <w:rPr>
          <w:rFonts w:hint="eastAsia" w:ascii="方正仿宋_GB2312" w:hAnsi="方正仿宋_GB2312" w:eastAsia="方正仿宋_GB2312" w:cs="方正仿宋_GB2312"/>
          <w:sz w:val="32"/>
          <w:szCs w:val="32"/>
          <w:lang w:val="en-US" w:eastAsia="zh-CN"/>
        </w:rPr>
        <w:t>国宝级文物藏山洞保护利用方面，已开展危岩体抢险加固工程、消防工程、安防工程、数字化保护工程，并设立藏山忠义文化馆；危岩体抢险加固工程、数字化保护项目、安防工程已完工。交口大王庙正殿修缮工程、林里万岁寺保护修缮工程亦有序实施，国省保木构古建筑年度日常养护项目基本完工。低级别文物保护修缮项目中，大阳泉魁盛号、阳泉火车站旧址、新城净音院、中佐寿宁寺、彭真渠、窄门只青石寺等保护修缮工程按计划施工。</w:t>
      </w:r>
    </w:p>
    <w:p w14:paraId="04D4C9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三、关于宣传推广与应急保障</w:t>
      </w:r>
    </w:p>
    <w:p w14:paraId="78B7DF4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贵单位提出加大宣传力度、做好应急预案，我们将结合2026年度宣传工作计划和“十五五”文旅规划，同步抓好宣传营销和突发客流应对。</w:t>
      </w:r>
    </w:p>
    <w:p w14:paraId="4B70F8F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（一）丰富宣传展示方式。</w:t>
      </w:r>
      <w:r>
        <w:rPr>
          <w:rFonts w:hint="eastAsia" w:ascii="方正仿宋_GB2312" w:hAnsi="方正仿宋_GB2312" w:eastAsia="方正仿宋_GB2312" w:cs="方正仿宋_GB2312"/>
          <w:sz w:val="32"/>
          <w:szCs w:val="32"/>
          <w:lang w:val="en-US" w:eastAsia="zh-CN"/>
        </w:rPr>
        <w:t>利用大数据和新媒体平台，将文物知识融入景点宣传，打造特色文博馆，运用高科技丰富展陈手段。2026年上半年承办武强年画专题展、国际友好城市图片展、华侨博物院雕刻精品展3场优质临展，围绕第50个国际博物馆日策划开展10项系列主题活动。</w:t>
      </w:r>
    </w:p>
    <w:p w14:paraId="750EE27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（二）加强新媒体传播。</w:t>
      </w:r>
      <w:r>
        <w:rPr>
          <w:rFonts w:hint="eastAsia" w:ascii="方正仿宋_GB2312" w:hAnsi="方正仿宋_GB2312" w:eastAsia="方正仿宋_GB2312" w:cs="方正仿宋_GB2312"/>
          <w:sz w:val="32"/>
          <w:szCs w:val="32"/>
          <w:lang w:val="en-US" w:eastAsia="zh-CN"/>
        </w:rPr>
        <w:t>培育或合作科普博主，制作微视频、短视频，在公众平台趣味讲解，借鉴《如果国宝会说话》等优秀传播方式。1-6月累计开展76个主题、150场次社教活动，参与群众19225人次；市博物馆累计接待观众48934人次。下一步将常态化开展专业化、品牌化社教活动，打造特色文博宣教IP。</w:t>
      </w:r>
    </w:p>
    <w:p w14:paraId="0477368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（三）创新文创产品。</w:t>
      </w:r>
      <w:r>
        <w:rPr>
          <w:rFonts w:hint="eastAsia" w:ascii="方正仿宋_GB2312" w:hAnsi="方正仿宋_GB2312" w:eastAsia="方正仿宋_GB2312" w:cs="方正仿宋_GB2312"/>
          <w:sz w:val="32"/>
          <w:szCs w:val="32"/>
          <w:lang w:val="en-US" w:eastAsia="zh-CN"/>
        </w:rPr>
        <w:t>创新文创产品，拓宽应用场景，推动文创进景区、进商圈、进线上平台。在“中共创建第一城”旧址打造非遗文创展厅，推动平定紫砂、本土版画等特色展览赴湖北鄂州、襄阳及河北武强巡展。</w:t>
      </w:r>
    </w:p>
    <w:p w14:paraId="570DC63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（四）拓展宣传渠道。</w:t>
      </w:r>
      <w:r>
        <w:rPr>
          <w:rFonts w:hint="eastAsia" w:ascii="方正仿宋_GB2312" w:hAnsi="方正仿宋_GB2312" w:eastAsia="方正仿宋_GB2312" w:cs="方正仿宋_GB2312"/>
          <w:sz w:val="32"/>
          <w:szCs w:val="32"/>
          <w:lang w:val="en-US" w:eastAsia="zh-CN"/>
        </w:rPr>
        <w:t>设计研学路线，精选9处优质红色资源，依托“阳泉48小时充能计划”，规划打造4条精品红色研学旅游线路，涵盖狮脑山百团大战战斗遗址、中共创建第一城旧址、石评梅故居、南庄地道、七亘大捷纪念碑等红色地标。下一步将结合“十五五”规划，持续深化红色资源活化利用，提升“中共创建第一城”品牌辨识度和传播力。</w:t>
      </w:r>
    </w:p>
    <w:p w14:paraId="38C4C3D7">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（五）完善应急预案。</w:t>
      </w:r>
      <w:r>
        <w:rPr>
          <w:rFonts w:hint="eastAsia" w:ascii="方正仿宋_GB2312" w:hAnsi="方正仿宋_GB2312" w:eastAsia="方正仿宋_GB2312" w:cs="方正仿宋_GB2312"/>
          <w:sz w:val="32"/>
          <w:szCs w:val="32"/>
          <w:lang w:val="en-US" w:eastAsia="zh-CN"/>
        </w:rPr>
        <w:t>配合应急、公安、交通、市场监管等部门，完善重点景区客流预警、人员疏导、交通组织、舆情应对等预案。针对类似“黑悟空”游戏带火山西文旅等突发流量，提前做好人员安排、宣传响应、资金投入、设施完善和舆情处置准备，提高游客满意度，减少舆情事件。下一步将结合市级文物安全监管平台投入运行，建立客流监测和预警机制，修订完善重点景区应急预案并组织开展演练。</w:t>
      </w:r>
    </w:p>
    <w:p w14:paraId="6600CF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四、关于长效管理</w:t>
      </w:r>
    </w:p>
    <w:p w14:paraId="35E7C9C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贵单位提出做好长效管理，我们将坚持长短结合，结合“十五五”规划编制和2026年度制度建设，建立健全长效机制。</w:t>
      </w:r>
    </w:p>
    <w:p w14:paraId="1CC63929">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（一）强化规划统筹。</w:t>
      </w:r>
      <w:r>
        <w:rPr>
          <w:rFonts w:hint="eastAsia" w:ascii="方正仿宋_GB2312" w:hAnsi="方正仿宋_GB2312" w:eastAsia="方正仿宋_GB2312" w:cs="方正仿宋_GB2312"/>
          <w:sz w:val="32"/>
          <w:szCs w:val="32"/>
          <w:lang w:val="en-US" w:eastAsia="zh-CN"/>
        </w:rPr>
        <w:t>把文物旅游融合纳入全市“十五五”文旅发展规划，推动“点穿成线、线连成面”。联合市规划和自然资源局、市行政审批服务管理局出台《十五五期间片区文物资源集中评估与整体性考古行动方案》，建立“清单获取—片区划定—整体评估—审批办结—收储入库”闭环管理工作机制。目前已完成盂县2026年9宗收储土地共计96.4715公顷的考古调查。</w:t>
      </w:r>
    </w:p>
    <w:p w14:paraId="2E2C52DA">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楷体_GB2312" w:hAnsi="方正楷体_GB2312" w:eastAsia="方正楷体_GB2312" w:cs="方正楷体_GB2312"/>
          <w:b/>
          <w:bCs/>
          <w:sz w:val="32"/>
          <w:szCs w:val="32"/>
          <w:lang w:val="en-US" w:eastAsia="zh-CN"/>
        </w:rPr>
        <w:t>（二）已出台文件及年度计划。</w:t>
      </w:r>
      <w:r>
        <w:rPr>
          <w:rFonts w:hint="eastAsia" w:ascii="方正仿宋_GB2312" w:hAnsi="方正仿宋_GB2312" w:eastAsia="方正仿宋_GB2312" w:cs="方正仿宋_GB2312"/>
          <w:sz w:val="32"/>
          <w:szCs w:val="32"/>
          <w:lang w:val="en-US" w:eastAsia="zh-CN"/>
        </w:rPr>
        <w:t>印发《关于建立文物保护利用项目动态管理机制的通知》，制定《阳泉市文物安全标准化建设指南》及评估表。2026年下半年将高质量完成四普收官与成果转化，举办四普成果专题展和《阳泉市第四次全国文物普查成果集萃》编纂成稿。同时，将结合“十五五”规划编制，系统谋划文物旅游融合发展重点项目和年度任务。</w:t>
      </w:r>
    </w:p>
    <w:p w14:paraId="0EE3588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下一步，我局将结合“十五五”规划编制和2026年度工作计划，高标准推进文物安全各项工作，持续推进考古前置与重点项目保障，集中攻坚项目开工、验收与资金支付，提升博物馆公共文化服务能级，试点推进文物资源活化利用，强化业务队伍能力建设。</w:t>
      </w:r>
    </w:p>
    <w:p w14:paraId="5535AC7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以上答复，如有不妥，请批评指正。感谢贵单位对我市文物和旅游融合发展工作的关心和支持。</w:t>
      </w:r>
    </w:p>
    <w:p w14:paraId="460A017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2312" w:hAnsi="方正仿宋_GB2312" w:eastAsia="方正仿宋_GB2312" w:cs="方正仿宋_GB2312"/>
          <w:sz w:val="32"/>
          <w:szCs w:val="32"/>
          <w:lang w:val="en-US" w:eastAsia="zh-CN"/>
        </w:rPr>
      </w:pPr>
    </w:p>
    <w:p w14:paraId="09FBC635">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负责人：</w:t>
      </w:r>
    </w:p>
    <w:p w14:paraId="6465F025">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承办人：贾凯丽</w:t>
      </w:r>
    </w:p>
    <w:p w14:paraId="3C5CE766">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联系电话：0353-2297590</w:t>
      </w:r>
    </w:p>
    <w:p w14:paraId="2071DC22">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_GB2312" w:hAnsi="方正仿宋_GB2312" w:eastAsia="方正仿宋_GB2312" w:cs="方正仿宋_GB2312"/>
          <w:sz w:val="32"/>
          <w:szCs w:val="32"/>
          <w:lang w:val="en-US" w:eastAsia="zh-CN"/>
        </w:rPr>
      </w:pPr>
    </w:p>
    <w:p w14:paraId="47DF9277">
      <w:pPr>
        <w:keepNext w:val="0"/>
        <w:keepLines w:val="0"/>
        <w:pageBreakBefore w:val="0"/>
        <w:widowControl w:val="0"/>
        <w:kinsoku/>
        <w:wordWrap w:val="0"/>
        <w:overflowPunct/>
        <w:topLinePunct w:val="0"/>
        <w:autoSpaceDE/>
        <w:autoSpaceDN/>
        <w:bidi w:val="0"/>
        <w:adjustRightInd/>
        <w:snapToGrid/>
        <w:spacing w:line="580" w:lineRule="exact"/>
        <w:jc w:val="right"/>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阳泉市文化和旅游局     </w:t>
      </w:r>
    </w:p>
    <w:p w14:paraId="64E95308">
      <w:pPr>
        <w:keepNext w:val="0"/>
        <w:keepLines w:val="0"/>
        <w:pageBreakBefore w:val="0"/>
        <w:widowControl w:val="0"/>
        <w:kinsoku/>
        <w:wordWrap w:val="0"/>
        <w:overflowPunct/>
        <w:topLinePunct w:val="0"/>
        <w:autoSpaceDE/>
        <w:autoSpaceDN/>
        <w:bidi w:val="0"/>
        <w:adjustRightInd/>
        <w:snapToGrid/>
        <w:spacing w:line="580" w:lineRule="exact"/>
        <w:jc w:val="right"/>
        <w:textAlignment w:val="auto"/>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 xml:space="preserve">2026年7月23日      </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626FEC-F452-45F8-A574-BD21A5208B9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76B2163-9BF9-4100-B9EA-FBDA13D5AD22}"/>
  </w:font>
  <w:font w:name="方正小标宋简体">
    <w:panose1 w:val="02010600010101010101"/>
    <w:charset w:val="86"/>
    <w:family w:val="auto"/>
    <w:pitch w:val="default"/>
    <w:sig w:usb0="00000001" w:usb1="080E0000" w:usb2="00000000" w:usb3="00000000" w:csb0="00040000" w:csb1="00000000"/>
    <w:embedRegular r:id="rId3" w:fontKey="{8AB41A2B-400B-4974-9875-3508FBBCB764}"/>
  </w:font>
  <w:font w:name="方正仿宋_GB2312">
    <w:panose1 w:val="02000000000000000000"/>
    <w:charset w:val="86"/>
    <w:family w:val="auto"/>
    <w:pitch w:val="default"/>
    <w:sig w:usb0="A00002BF" w:usb1="184F6CFA" w:usb2="00000012" w:usb3="00000000" w:csb0="00040001" w:csb1="00000000"/>
    <w:embedRegular r:id="rId4" w:fontKey="{2AA5CD5B-DD02-4CC0-9080-6CD78467BAFE}"/>
  </w:font>
  <w:font w:name="方正楷体_GB2312">
    <w:panose1 w:val="02000000000000000000"/>
    <w:charset w:val="86"/>
    <w:family w:val="auto"/>
    <w:pitch w:val="default"/>
    <w:sig w:usb0="A00002BF" w:usb1="184F6CFA" w:usb2="00000012" w:usb3="00000000" w:csb0="00040001" w:csb1="00000000"/>
    <w:embedRegular r:id="rId5" w:fontKey="{5F0491CD-7075-43EE-9E4D-8945768E4C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6709F">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2221DE1">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2221DE1">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06A1B62"/>
    <w:rsid w:val="748D6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1975</Words>
  <Characters>2009</Characters>
  <Lines>0</Lines>
  <Paragraphs>0</Paragraphs>
  <TotalTime>13</TotalTime>
  <ScaleCrop>false</ScaleCrop>
  <LinksUpToDate>false</LinksUpToDate>
  <CharactersWithSpaces>2020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2026-09-20T07:01:00Z</dcterms:created>
  <dc:creator>Stilwell</dc:creator>
  <cp:lastModifiedBy>小宇宙</cp:lastModifiedBy>
  <dcterms:modified xsi:type="dcterms:W3CDTF">2026-09-28T18:11:16Z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eyJoZGlkIjoiOTQ5ZGM5YmYyZGUyOWViNWMwMmY4MjAxNzcxZDI1MmIiLCJ1c2VySWQiOiIyODU5ODM1ODIifQ==</vt:lpwstr>
  </property>
  <property fmtid="{D5CDD505-2E9C-101B-9397-08002B2CF9AE}" pid="4" name="ICV">
    <vt:lpwstr>9539937529B0436D83FF002B3913C041_12</vt:lpwstr>
  </property>
</Properties>
</file>