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451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olor w:val="auto"/>
          <w:sz w:val="44"/>
          <w:szCs w:val="44"/>
        </w:rPr>
      </w:pPr>
    </w:p>
    <w:p w14:paraId="49E2AC9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olor w:val="auto"/>
          <w:sz w:val="44"/>
          <w:szCs w:val="44"/>
        </w:rPr>
      </w:pPr>
    </w:p>
    <w:p w14:paraId="6B8740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olor w:val="auto"/>
          <w:sz w:val="44"/>
          <w:szCs w:val="44"/>
        </w:rPr>
      </w:pPr>
    </w:p>
    <w:p w14:paraId="55AFC1F8">
      <w:pPr>
        <w:pStyle w:val="2"/>
        <w:rPr>
          <w:rFonts w:hint="eastAsia"/>
        </w:rPr>
      </w:pPr>
      <w:bookmarkStart w:id="0" w:name="_GoBack"/>
      <w:bookmarkEnd w:id="0"/>
    </w:p>
    <w:p w14:paraId="7BAC85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color w:val="auto"/>
          <w:sz w:val="44"/>
          <w:szCs w:val="44"/>
        </w:rPr>
        <w:t>关于对市</w:t>
      </w:r>
      <w:r>
        <w:rPr>
          <w:rFonts w:hint="eastAsia" w:ascii="方正小标宋简体" w:eastAsia="方正小标宋简体"/>
          <w:color w:val="auto"/>
          <w:sz w:val="44"/>
          <w:szCs w:val="44"/>
          <w:lang w:eastAsia="zh-CN"/>
        </w:rPr>
        <w:t>政协十四届五次会议</w:t>
      </w:r>
      <w:r>
        <w:rPr>
          <w:rFonts w:hint="eastAsia" w:ascii="方正小标宋简体" w:eastAsia="方正小标宋简体"/>
          <w:sz w:val="44"/>
          <w:szCs w:val="44"/>
          <w:lang w:val="en-US" w:eastAsia="zh-CN"/>
        </w:rPr>
        <w:t>第0233号</w:t>
      </w:r>
    </w:p>
    <w:p w14:paraId="6551958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lang w:val="en-US" w:eastAsia="zh-CN"/>
        </w:rPr>
        <w:t>提案</w:t>
      </w:r>
      <w:r>
        <w:rPr>
          <w:rFonts w:hint="eastAsia" w:ascii="方正小标宋简体" w:eastAsia="方正小标宋简体"/>
          <w:sz w:val="44"/>
          <w:szCs w:val="44"/>
        </w:rPr>
        <w:t>的答复</w:t>
      </w:r>
    </w:p>
    <w:p w14:paraId="58EBC43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auto"/>
          <w:kern w:val="2"/>
          <w:sz w:val="32"/>
          <w:szCs w:val="32"/>
          <w:highlight w:val="none"/>
          <w:rtl w:val="0"/>
          <w:lang w:val="en-US" w:eastAsia="zh-CN" w:bidi="ar-SA"/>
        </w:rPr>
      </w:pPr>
    </w:p>
    <w:p w14:paraId="4F17EF65">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尊敬的武晓芳委员：</w:t>
      </w:r>
    </w:p>
    <w:p w14:paraId="703162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您提出的《关于恢复艺术类转企改制单位事业编制促进文化传承与发展的建议》的提案收悉。经认真研究，现答复如下：</w:t>
      </w:r>
    </w:p>
    <w:p w14:paraId="225BFFA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color w:val="auto"/>
          <w:kern w:val="2"/>
          <w:sz w:val="32"/>
          <w:szCs w:val="32"/>
          <w:highlight w:val="none"/>
          <w:rtl w:val="0"/>
          <w:lang w:val="en-US" w:eastAsia="zh-CN" w:bidi="ar-SA"/>
        </w:rPr>
      </w:pPr>
      <w:r>
        <w:rPr>
          <w:rFonts w:hint="eastAsia" w:ascii="黑体" w:hAnsi="黑体" w:eastAsia="黑体" w:cs="黑体"/>
          <w:b w:val="0"/>
          <w:bCs w:val="0"/>
          <w:color w:val="auto"/>
          <w:kern w:val="2"/>
          <w:sz w:val="32"/>
          <w:szCs w:val="32"/>
          <w:highlight w:val="none"/>
          <w:rtl w:val="0"/>
          <w:lang w:val="en-US" w:eastAsia="zh-CN" w:bidi="ar-SA"/>
        </w:rPr>
        <w:t>一、对提案反映问题的核查与工作现状</w:t>
      </w:r>
    </w:p>
    <w:p w14:paraId="5F173C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近年来，我市各文艺院团在市场化运营、文艺产品创新、文旅融合发展上取得一定成效，已经成立的阳泉市戏剧和歌舞创作研究中心隶属于阳泉市文化和旅游局直属事业单位，公益二类事业单位，市委编办正式批复设立，是阳泉市内唯一市级专业戏剧、歌舞创研机构。机构改革后整合原阳泉市晋剧院、阳泉市豫剧团、阳泉市歌舞团、阳泉市艺术研究室戏剧歌舞专业力量组建，承接全市舞台艺术创作、理论研究、院团业务指导职能。依据编办核定职能与政府采购官方公示，该机构有五大核心工作：地方艺术理论研究与非遗传承，挖掘、整理阳泉本土戏剧（晋剧、豫剧、平定评说等）、民间歌舞史料；开展戏曲、歌舞艺术理论调研，保护地方戏曲非遗剧目、唱腔、表演程式，戏剧、歌舞精品原创创作，围绕时代主题、阳泉工业文化、红色文化、乡土文旅IP，创作大型戏曲、歌舞剧、小戏、小品、音乐舞蹈作品，承担全市大型晚会、文艺赛事脚本、舞台方案创编；成果转化、展演与对外文化交流，策划专题展演、惠民下乡演出、省内外文艺交流巡演，打造阳泉文化品牌剧目；运营数字舞台文艺产品制作传播；专业艺术人才培育，开展编剧、导演、作曲、舞蹈、戏曲表演骨干培训；建立本土艺术家人才档案；扶持青年文艺创作者、非遗传承人；国有演艺单位业务指导，对市属国有戏曲、歌舞演出团队进行创作方向把控、剧目打磨、演出质量督导，统筹全市舞台艺术生产运营。</w:t>
      </w:r>
    </w:p>
    <w:p w14:paraId="19B0B0A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但正如您提案所反映，院团发展中也凸显了现实难题：一是核心骨干人才流失风险加剧，传统戏曲、非遗技艺专业人才引进留存难度加大；二是院团排练演出场地、经费保障、人才激励等配套机制尚不健全，制约地方优秀传统文化传承发展。</w:t>
      </w:r>
    </w:p>
    <w:p w14:paraId="6ABF97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您提出的分类研判编制政策、加大财政扶持、深化内部改革、优化院团发展环境等建议，对夯实文化传承根基具有极强参考价值，我们将分步落实情况，积极推动文艺院团良性发展。</w:t>
      </w:r>
    </w:p>
    <w:p w14:paraId="0AD2A0E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color w:val="auto"/>
          <w:kern w:val="2"/>
          <w:sz w:val="32"/>
          <w:szCs w:val="32"/>
          <w:highlight w:val="none"/>
          <w:rtl w:val="0"/>
          <w:lang w:val="en-US" w:eastAsia="zh-CN" w:bidi="ar-SA"/>
        </w:rPr>
      </w:pPr>
      <w:r>
        <w:rPr>
          <w:rFonts w:hint="eastAsia" w:ascii="黑体" w:hAnsi="黑体" w:eastAsia="黑体" w:cs="黑体"/>
          <w:b w:val="0"/>
          <w:bCs w:val="0"/>
          <w:color w:val="auto"/>
          <w:kern w:val="2"/>
          <w:sz w:val="32"/>
          <w:szCs w:val="32"/>
          <w:highlight w:val="none"/>
          <w:rtl w:val="0"/>
          <w:lang w:val="en-US" w:eastAsia="zh-CN" w:bidi="ar-SA"/>
        </w:rPr>
        <w:t>二、针对提案建议逐项落实举措</w:t>
      </w:r>
    </w:p>
    <w:p w14:paraId="04902F6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一）对照中央、省国有文艺院团改革相关文件，对市属国有文艺院团运行成效开展全面复盘评估，重点梳理传统非遗戏曲传承、公益公共文化服务、人才队伍稳定三类核心指标。针对承担我市戏曲非遗传承、红色剧目创作、常态化惠民演出核心职能的市属专业院团，平衡文化传承与市场发展双重需求。</w:t>
      </w:r>
    </w:p>
    <w:p w14:paraId="291529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二）持续加大财政专项投入。将国有文艺院团精品创作、人才培育、非遗保护、下乡惠民演出经费足额纳入年度财政常态化预算；优化政府购买服务机制，扩容“免费送戏下乡”场次、提高单场补贴标准，稳定公益性演出资金供给，缓解院团经营性收入压力。2026年文艺院团将全年围绕重大主题、重要时间节点和本土文化IP，进行戏剧、音乐、舞蹈、器乐、戏曲晚会、戏曲展览、文艺晚会等的创作演出。原创、移植、提升晋剧、豫剧、歌舞剧等大型精品剧目16部；编排大规模精品戏曲晚会、综合文艺晚会4台；创作小型剧节目30个。2026年公共文化服务体系建设中央及省级补助资金绩效奖励部分500万元的分配方案报批，拨付省级非遗传承人补助资金26.6万元惠及38名传承人，完成“购买阳泉市戏剧和歌舞创作研究中心公共文化服务”项目招标工作，总金额2364.8万元。</w:t>
      </w:r>
    </w:p>
    <w:p w14:paraId="2F4FD2A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三）畅通紧缺艺术人才引进绿色通道部分。针对戏曲表演、舞台美术、剧本创编等稀缺专业人才，我们积极鼓励放宽学历限制、为稀缺人才创造多元发展的机会；创新多元化薪酬分配模式。灵活分配制度，打破平均主义，薪酬适当向一线表演、剧目创作、非遗传承关键岗位倾斜，为精品剧目、惠民演出、艺术赛事专项人才提供方便。</w:t>
      </w:r>
    </w:p>
    <w:p w14:paraId="63DC217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四）常态化跟踪国有文艺院团改革实施成效，定期收集院团、文艺工作者诉求；针对人才流失、经费缺口、编制保障等新问题、新堵点，及时向上级主管部门反馈，确保改革始终服务文化传承、公共文化服务长远目标。</w:t>
      </w:r>
    </w:p>
    <w:p w14:paraId="60728B8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color w:val="auto"/>
          <w:kern w:val="2"/>
          <w:sz w:val="32"/>
          <w:szCs w:val="32"/>
          <w:highlight w:val="none"/>
          <w:rtl w:val="0"/>
          <w:lang w:val="en-US" w:eastAsia="zh-CN" w:bidi="ar-SA"/>
        </w:rPr>
      </w:pPr>
      <w:r>
        <w:rPr>
          <w:rFonts w:hint="eastAsia" w:ascii="黑体" w:hAnsi="黑体" w:eastAsia="黑体" w:cs="黑体"/>
          <w:b w:val="0"/>
          <w:bCs w:val="0"/>
          <w:color w:val="auto"/>
          <w:kern w:val="2"/>
          <w:sz w:val="32"/>
          <w:szCs w:val="32"/>
          <w:highlight w:val="none"/>
          <w:rtl w:val="0"/>
          <w:lang w:val="en-US" w:eastAsia="zh-CN" w:bidi="ar-SA"/>
        </w:rPr>
        <w:t>三、下一步工作规划</w:t>
      </w:r>
    </w:p>
    <w:p w14:paraId="3167A28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下一步，我们将以“社会效益优先、社会效益与经济效益相统一”为核心原则，促进文艺院团提质发展：</w:t>
      </w:r>
    </w:p>
    <w:p w14:paraId="10F8474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一）统筹盘活场地资源，优化院团基础发展环境。统筹推进院团阵地提质工程，多渠道破解您所提的“一团一剧场”资源缺口：一是分步实施现有排练场馆改扩建、设备更新升级；二是呼吁建立党政机关、学校、公共文化场馆设施共享机制，错峰开放剧场、排练厅供院团公益排演；三是结合“十五五”市级大型演艺场馆建设规划，尽可能申请预留专业院团专属排练、展演空间，从硬件层面夯实文艺创作演出基础。</w:t>
      </w:r>
    </w:p>
    <w:p w14:paraId="70DF818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（二）拓宽多元资金补充渠道。积极引导企业、社会资本通过冠名合作、剧目联合创排、公益捐赠等方式参与文艺事业发展；落实文化产业税收减免、项目扶持政策。</w:t>
      </w:r>
    </w:p>
    <w:p w14:paraId="28101A8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（三）尽可能地争取编制政策支持，形成稳定可持续的文艺人才、经费、阵地保障体系。</w:t>
      </w:r>
    </w:p>
    <w:p w14:paraId="7FA0FF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长期目标就是要持续优化“一团一策”扶持体系，打造阳泉本土特色戏曲、红色文艺精品矩阵，全面夯实我市传统文化传承根基，丰富群众精神文化供给。</w:t>
      </w:r>
    </w:p>
    <w:p w14:paraId="6C1C66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感谢您对我市国有文艺院团改革、文化传承发展工作的关心与宝贵建言，欢迎您持续关注全市文艺事业发展，多提宝贵意见建议。</w:t>
      </w:r>
    </w:p>
    <w:p w14:paraId="67EAAF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单位负责人：</w:t>
      </w:r>
    </w:p>
    <w:p w14:paraId="6357B5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承  办  人：刘菁</w:t>
      </w:r>
    </w:p>
    <w:p w14:paraId="5BDA04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联系电话：2293053　18135546004</w:t>
      </w:r>
    </w:p>
    <w:p w14:paraId="3554B9B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　　　</w:t>
      </w:r>
    </w:p>
    <w:p w14:paraId="07565F7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right"/>
        <w:textAlignment w:val="auto"/>
        <w:rPr>
          <w:rFonts w:hint="eastAsia"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　　　　            　   阳泉市文化和旅游局</w:t>
      </w:r>
    </w:p>
    <w:p w14:paraId="228F3CE5">
      <w:pPr>
        <w:keepNext w:val="0"/>
        <w:keepLines w:val="0"/>
        <w:pageBreakBefore w:val="0"/>
        <w:widowControl w:val="0"/>
        <w:kinsoku/>
        <w:wordWrap/>
        <w:overflowPunct/>
        <w:topLinePunct w:val="0"/>
        <w:autoSpaceDE/>
        <w:autoSpaceDN/>
        <w:bidi w:val="0"/>
        <w:adjustRightInd/>
        <w:snapToGrid/>
        <w:spacing w:line="600" w:lineRule="exact"/>
        <w:ind w:firstLine="4800" w:firstLineChars="1500"/>
        <w:jc w:val="center"/>
        <w:textAlignment w:val="auto"/>
        <w:rPr>
          <w:rFonts w:hint="default" w:ascii="仿宋" w:hAnsi="仿宋" w:eastAsia="仿宋" w:cs="仿宋"/>
          <w:b w:val="0"/>
          <w:bCs w:val="0"/>
          <w:color w:val="auto"/>
          <w:kern w:val="2"/>
          <w:sz w:val="32"/>
          <w:szCs w:val="32"/>
          <w:highlight w:val="none"/>
          <w:rtl w:val="0"/>
          <w:lang w:val="en-US" w:eastAsia="zh-CN" w:bidi="ar-SA"/>
        </w:rPr>
      </w:pPr>
      <w:r>
        <w:rPr>
          <w:rFonts w:hint="eastAsia" w:ascii="仿宋" w:hAnsi="仿宋" w:eastAsia="仿宋" w:cs="仿宋"/>
          <w:b w:val="0"/>
          <w:bCs w:val="0"/>
          <w:color w:val="auto"/>
          <w:kern w:val="2"/>
          <w:sz w:val="32"/>
          <w:szCs w:val="32"/>
          <w:highlight w:val="none"/>
          <w:rtl w:val="0"/>
          <w:lang w:val="en-US" w:eastAsia="zh-CN" w:bidi="ar-SA"/>
        </w:rPr>
        <w:t xml:space="preserve">     2026年7月1日</w:t>
      </w:r>
    </w:p>
    <w:p w14:paraId="1FAF2669">
      <w:pPr>
        <w:jc w:val="right"/>
        <w:rPr>
          <w:rFonts w:hint="eastAsia" w:ascii="仿宋" w:hAnsi="仿宋" w:eastAsia="仿宋" w:cs="仿宋"/>
          <w:b w:val="0"/>
          <w:bCs w:val="0"/>
          <w:color w:val="auto"/>
          <w:kern w:val="2"/>
          <w:sz w:val="32"/>
          <w:szCs w:val="32"/>
          <w:highlight w:val="none"/>
          <w:rtl w:val="0"/>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924A37"/>
    <w:rsid w:val="034253AD"/>
    <w:rsid w:val="15891CCA"/>
    <w:rsid w:val="23D43CB0"/>
    <w:rsid w:val="2A625844"/>
    <w:rsid w:val="2BCC070B"/>
    <w:rsid w:val="2E32704A"/>
    <w:rsid w:val="311B7E73"/>
    <w:rsid w:val="55F77D8C"/>
    <w:rsid w:val="599E4741"/>
    <w:rsid w:val="6023683A"/>
    <w:rsid w:val="604C539B"/>
    <w:rsid w:val="7B8B0462"/>
    <w:rsid w:val="DFF739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rPr>
      <w:rFonts w:eastAsia="宋体"/>
      <w:szCs w:val="20"/>
    </w:rPr>
  </w:style>
  <w:style w:type="paragraph" w:styleId="4">
    <w:name w:val="envelope return"/>
    <w:basedOn w:val="1"/>
    <w:qFormat/>
    <w:uiPriority w:val="0"/>
    <w:pPr>
      <w:snapToGrid w:val="0"/>
    </w:pPr>
    <w:rPr>
      <w:rFonts w:ascii="Arial" w:hAnsi="Arial" w:eastAsia="宋体" w:cs="Times New Roman"/>
    </w:rPr>
  </w:style>
  <w:style w:type="paragraph" w:styleId="5">
    <w:name w:val="toc 1"/>
    <w:basedOn w:val="1"/>
    <w:next w:val="1"/>
    <w:unhideWhenUsed/>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2078</Words>
  <Characters>2105</Characters>
  <Lines>0</Lines>
  <Paragraphs>0</Paragraphs>
  <TotalTime>3</TotalTime>
  <ScaleCrop>false</ScaleCrop>
  <LinksUpToDate>false</LinksUpToDate>
  <CharactersWithSpaces>2105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2026-07-09T01:23:00Z</dcterms:created>
  <dc:creator>Administrator</dc:creator>
  <cp:lastModifiedBy>user</cp:lastModifiedBy>
  <cp:lastPrinted>2026-09-17T11:01:56Z</cp:lastPrinted>
  <dcterms:modified xsi:type="dcterms:W3CDTF">2026-09-17T11:02:27Z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eyJoZGlkIjoiZGE3MWFjMTFkNDdkYmNmYjExZDllMTRhYTNiZWM0ZTUiLCJ1c2VySWQiOiIyODk0OTY3MzQifQ==</vt:lpwstr>
  </property>
  <property fmtid="{D5CDD505-2E9C-101B-9397-08002B2CF9AE}" pid="4" name="ICV">
    <vt:lpwstr>C0D83F2B73F14B028077628215403AC1_12</vt:lpwstr>
  </property>
</Properties>
</file>