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738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B951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5CB5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6DD2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0246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47AE7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4728D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F8B4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魏鸿翼委员：</w:t>
      </w:r>
    </w:p>
    <w:p w14:paraId="4A8D3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您提出的《用好红色教育基地金字招牌，补齐狮脑山百团大战纪念馆文旅服务短板》收悉，结合我局工作职责，现答复如下：</w:t>
      </w:r>
    </w:p>
    <w:p w14:paraId="77DF6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一、已开展的工作</w:t>
      </w:r>
    </w:p>
    <w:p w14:paraId="13C2C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1.推动红色文创开发与落地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目前狮脑山百团大战纪念馆已设置“阳泉好礼”文创销售点位，基础红色纪念类产品已有供给。我市持续深耕红色文创赛道，整合两届红色文创大赛设计成果，深挖百团大战等本土红色资源，指导本土文创企业开发红色主题文创产品5款，目前已完成初步设计，后续可优先落地狮脑山文创店丰富品类。同时打造“阳泉好礼”统一文创品牌，将红色文创纳入品牌体系，借助中国（深圳）国际文化产业博览交易会等国家级平台展示推广，不断提升红色文创影响力。</w:t>
      </w:r>
    </w:p>
    <w:p w14:paraId="1E636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2.强化线路串联引流作用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将百团大战纪念馆作为全市红色旅游核心节点，纳入“阳泉48小时充能计划”4条红色精品线路及跨区域红色旅游线路，通过线路整合为纪念馆持续引流。</w:t>
      </w:r>
    </w:p>
    <w:p w14:paraId="5E439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3.助力红色品牌传播推广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依托“四城四景”宣传矩阵，通过新闻报道、新媒体达人探访、主题宣讲活动等形式，持续宣传推广百团大战纪念馆红色教育品牌；支持讲解员参与省级红色故事讲解大赛并获奖，持续擦亮红色宣讲名片，扩大基地知名度与影响力。</w:t>
      </w:r>
      <w:bookmarkStart w:id="0" w:name="_GoBack"/>
      <w:bookmarkEnd w:id="0"/>
    </w:p>
    <w:p w14:paraId="177F1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二、下一步工作计划</w:t>
      </w:r>
    </w:p>
    <w:p w14:paraId="294AC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推动文创产品提质升级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我局将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鼓励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本土文创企业对接纪念馆主管部门，联动设计院校，深度挖掘百团大战历史细节与阳泉煤铁文化等地域特色，开发兼具历史内涵与实用性的专属红色文创产品，提升产品辨识度与纪念意义。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协助拓展文创销售渠道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配合纪念馆主管部门优化现有文创店的陈列布局与品类结构；同时推动红色文创进A级景区、进星级酒店，拓展线下展销场景。</w:t>
      </w:r>
    </w:p>
    <w:p w14:paraId="4CE00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我局将持续做好行业联动与配合支持，共同推动红色文旅服务提质升级。</w:t>
      </w:r>
    </w:p>
    <w:p w14:paraId="4F936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592B5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75EA6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3DA44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66A5C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D1F2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1586E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6ED2D723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580ACB3-0D85-43B3-B82C-0D980748634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E6B6CEF-4BF3-4EAF-BCA2-5AFF24898D8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C657980-6B12-44C1-B692-B0F6B09B26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27A4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C55D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DC55D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5A2EAD"/>
    <w:rsid w:val="37BFA11F"/>
    <w:rsid w:val="6EFFD040"/>
    <w:rsid w:val="DEB9B72D"/>
    <w:rsid w:val="F5FB2E33"/>
    <w:rsid w:val="F7DF14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801</Words>
  <Characters>823</Characters>
  <Lines>0</Lines>
  <Paragraphs>0</Paragraphs>
  <TotalTime>0</TotalTime>
  <ScaleCrop>false</ScaleCrop>
  <LinksUpToDate>false</LinksUpToDate>
  <CharactersWithSpaces>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2026-07-03T18:31:00Z</dcterms:created>
  <dc:creator>iPhone</dc:creator>
  <cp:lastModifiedBy>妙竹</cp:lastModifiedBy>
  <dcterms:modified xsi:type="dcterms:W3CDTF">2026-09-01T08:48:40Z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