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rFonts w:ascii="宋体" w:hAnsi="宋体" w:eastAsia="宋体" w:cs="宋体"/>
          <w:sz w:val="24"/>
          <w:szCs w:val="24"/>
        </w:rPr>
      </w:pPr>
      <w:r>
        <w:rPr>
          <w:rFonts w:hint="eastAsia"/>
        </w:rPr>
        <w:t>阳泉市</w:t>
      </w:r>
      <w:r>
        <w:t>医疗保障局行政执法事项服务指南</w:t>
      </w:r>
    </w:p>
    <w:p>
      <w:pPr>
        <w:adjustRightInd/>
        <w:snapToGrid/>
        <w:spacing w:after="0"/>
        <w:ind w:firstLine="562" w:firstLineChars="200"/>
        <w:rPr>
          <w:rFonts w:ascii="宋体" w:hAnsi="宋体" w:eastAsia="宋体" w:cs="宋体"/>
          <w:b/>
          <w:sz w:val="28"/>
          <w:szCs w:val="24"/>
        </w:rPr>
      </w:pPr>
      <w:r>
        <w:rPr>
          <w:rFonts w:ascii="宋体" w:hAnsi="宋体" w:eastAsia="宋体" w:cs="宋体"/>
          <w:b/>
          <w:sz w:val="28"/>
          <w:szCs w:val="24"/>
        </w:rPr>
        <w:t>一、事项编码：</w:t>
      </w:r>
    </w:p>
    <w:p>
      <w:pPr>
        <w:adjustRightInd/>
        <w:snapToGrid/>
        <w:spacing w:after="0"/>
        <w:ind w:firstLine="563"/>
        <w:rPr>
          <w:rFonts w:ascii="宋体" w:hAnsi="宋体" w:eastAsia="宋体" w:cs="宋体"/>
          <w:b/>
          <w:sz w:val="28"/>
          <w:szCs w:val="24"/>
        </w:rPr>
      </w:pPr>
      <w:r>
        <w:rPr>
          <w:rFonts w:ascii="宋体" w:hAnsi="宋体" w:eastAsia="宋体" w:cs="宋体"/>
          <w:b/>
          <w:sz w:val="28"/>
          <w:szCs w:val="24"/>
        </w:rPr>
        <w:t>二、实施部门：</w:t>
      </w:r>
      <w:r>
        <w:rPr>
          <w:rFonts w:hint="eastAsia" w:ascii="宋体" w:hAnsi="宋体" w:eastAsia="宋体" w:cs="宋体"/>
          <w:b/>
          <w:sz w:val="28"/>
          <w:szCs w:val="24"/>
          <w:lang w:val="en-US" w:eastAsia="zh-CN"/>
        </w:rPr>
        <w:t>医药服务综合管理科</w:t>
      </w:r>
      <w:r>
        <w:rPr>
          <w:rFonts w:ascii="宋体" w:hAnsi="宋体" w:eastAsia="宋体" w:cs="宋体"/>
          <w:b/>
          <w:sz w:val="28"/>
          <w:szCs w:val="24"/>
        </w:rPr>
        <w:t>　</w:t>
      </w:r>
    </w:p>
    <w:p>
      <w:pPr>
        <w:adjustRightInd/>
        <w:snapToGrid/>
        <w:spacing w:after="0"/>
        <w:ind w:firstLine="563"/>
        <w:rPr>
          <w:rFonts w:ascii="宋体" w:hAnsi="宋体" w:eastAsia="宋体" w:cs="宋体"/>
          <w:b/>
          <w:sz w:val="28"/>
          <w:szCs w:val="24"/>
        </w:rPr>
      </w:pPr>
      <w:r>
        <w:rPr>
          <w:rFonts w:ascii="宋体" w:hAnsi="宋体" w:eastAsia="宋体" w:cs="宋体"/>
          <w:b/>
          <w:sz w:val="28"/>
          <w:szCs w:val="24"/>
        </w:rPr>
        <w:t>三、事项类别：行政处罚</w:t>
      </w:r>
    </w:p>
    <w:p>
      <w:pPr>
        <w:adjustRightInd/>
        <w:snapToGrid/>
        <w:spacing w:after="0"/>
        <w:rPr>
          <w:rFonts w:ascii="宋体" w:hAnsi="宋体" w:eastAsia="宋体" w:cs="宋体"/>
          <w:b/>
          <w:sz w:val="28"/>
          <w:szCs w:val="24"/>
        </w:rPr>
      </w:pPr>
      <w:r>
        <w:rPr>
          <w:rFonts w:ascii="宋体" w:hAnsi="宋体" w:eastAsia="宋体" w:cs="宋体"/>
          <w:b/>
          <w:sz w:val="28"/>
          <w:szCs w:val="24"/>
        </w:rPr>
        <w:t>　　四、适用范围：</w:t>
      </w:r>
    </w:p>
    <w:p>
      <w:pPr>
        <w:adjustRightInd/>
        <w:snapToGrid/>
        <w:spacing w:after="0"/>
        <w:rPr>
          <w:rFonts w:ascii="宋体" w:hAnsi="宋体" w:eastAsia="宋体" w:cs="宋体"/>
          <w:b/>
          <w:sz w:val="28"/>
          <w:szCs w:val="24"/>
        </w:rPr>
      </w:pPr>
      <w:r>
        <w:rPr>
          <w:rFonts w:ascii="宋体" w:hAnsi="宋体" w:eastAsia="宋体" w:cs="宋体"/>
          <w:b/>
          <w:sz w:val="28"/>
          <w:szCs w:val="24"/>
        </w:rPr>
        <w:t>　　（1）对社会保险服务机构、社会保险经办机构骗取医疗保险基金支出的处罚；</w:t>
      </w:r>
    </w:p>
    <w:p>
      <w:pPr>
        <w:adjustRightInd/>
        <w:snapToGrid/>
        <w:spacing w:after="0"/>
        <w:rPr>
          <w:rFonts w:ascii="宋体" w:hAnsi="宋体" w:eastAsia="宋体" w:cs="宋体"/>
          <w:b/>
          <w:sz w:val="28"/>
          <w:szCs w:val="24"/>
        </w:rPr>
      </w:pPr>
      <w:r>
        <w:rPr>
          <w:rFonts w:ascii="宋体" w:hAnsi="宋体" w:eastAsia="宋体" w:cs="宋体"/>
          <w:b/>
          <w:sz w:val="28"/>
          <w:szCs w:val="24"/>
        </w:rPr>
        <w:t>　　（2）对缴费单位、个人骗取医疗保险待遇的处罚；</w:t>
      </w:r>
    </w:p>
    <w:p>
      <w:pPr>
        <w:adjustRightInd/>
        <w:snapToGrid/>
        <w:spacing w:after="0"/>
        <w:rPr>
          <w:rFonts w:ascii="宋体" w:hAnsi="宋体" w:eastAsia="宋体" w:cs="宋体"/>
          <w:b/>
          <w:sz w:val="28"/>
          <w:szCs w:val="24"/>
        </w:rPr>
      </w:pPr>
      <w:r>
        <w:rPr>
          <w:rFonts w:ascii="宋体" w:hAnsi="宋体" w:eastAsia="宋体" w:cs="宋体"/>
          <w:b/>
          <w:sz w:val="28"/>
          <w:szCs w:val="24"/>
        </w:rPr>
        <w:t>　　（3）对</w:t>
      </w:r>
      <w:r>
        <w:rPr>
          <w:rFonts w:hint="eastAsia" w:ascii="宋体" w:hAnsi="宋体" w:eastAsia="宋体" w:cs="宋体"/>
          <w:b/>
          <w:sz w:val="28"/>
          <w:szCs w:val="24"/>
          <w:lang w:val="en-US" w:eastAsia="zh-CN"/>
        </w:rPr>
        <w:t>隐匿、转移、侵占、挪用医疗保险基金或违法进行违规投资运营等行为</w:t>
      </w:r>
      <w:r>
        <w:rPr>
          <w:rFonts w:ascii="宋体" w:hAnsi="宋体" w:eastAsia="宋体" w:cs="宋体"/>
          <w:b/>
          <w:sz w:val="28"/>
          <w:szCs w:val="24"/>
        </w:rPr>
        <w:t>的处罚；</w:t>
      </w:r>
    </w:p>
    <w:p>
      <w:pPr>
        <w:adjustRightInd/>
        <w:snapToGrid/>
        <w:spacing w:after="0"/>
        <w:rPr>
          <w:rFonts w:ascii="宋体" w:hAnsi="宋体" w:eastAsia="宋体" w:cs="宋体"/>
          <w:b/>
          <w:sz w:val="28"/>
          <w:szCs w:val="24"/>
        </w:rPr>
      </w:pPr>
      <w:r>
        <w:rPr>
          <w:rFonts w:ascii="宋体" w:hAnsi="宋体" w:eastAsia="宋体" w:cs="宋体"/>
          <w:b/>
          <w:sz w:val="28"/>
          <w:szCs w:val="24"/>
        </w:rPr>
        <w:t>　　（4）对缴费单位未按照规定办理社会保险登记、变更登记或者注销登记，或者未按照规定申报应缴纳的城镇职工医疗保险费数额的处罚；</w:t>
      </w:r>
    </w:p>
    <w:p>
      <w:pPr>
        <w:adjustRightInd/>
        <w:snapToGrid/>
        <w:spacing w:after="0"/>
        <w:rPr>
          <w:rFonts w:ascii="宋体" w:hAnsi="宋体" w:eastAsia="宋体" w:cs="宋体"/>
          <w:b/>
          <w:sz w:val="28"/>
          <w:szCs w:val="24"/>
        </w:rPr>
      </w:pPr>
      <w:r>
        <w:rPr>
          <w:rFonts w:ascii="宋体" w:hAnsi="宋体" w:eastAsia="宋体" w:cs="宋体"/>
          <w:b/>
          <w:sz w:val="28"/>
          <w:szCs w:val="24"/>
        </w:rPr>
        <w:t>　　（5）对缴费单位违反有关财务、会计、统计的法律、行政法规和国家有关规定，伪造、变造、故意毁灭有关账册、材料，或者不设账册，致使城镇职工医疗保险费缴费基数无法确定和迟延缴纳的处罚。</w:t>
      </w:r>
    </w:p>
    <w:p>
      <w:pPr>
        <w:adjustRightInd/>
        <w:snapToGrid/>
        <w:spacing w:after="0"/>
        <w:rPr>
          <w:rFonts w:ascii="宋体" w:hAnsi="宋体" w:eastAsia="宋体" w:cs="宋体"/>
          <w:b/>
          <w:sz w:val="28"/>
          <w:szCs w:val="24"/>
        </w:rPr>
      </w:pPr>
      <w:r>
        <w:rPr>
          <w:rFonts w:ascii="宋体" w:hAnsi="宋体" w:eastAsia="宋体" w:cs="宋体"/>
          <w:b/>
          <w:sz w:val="28"/>
          <w:szCs w:val="24"/>
        </w:rPr>
        <w:t>　　五、处罚依据：</w:t>
      </w:r>
    </w:p>
    <w:p>
      <w:pPr>
        <w:adjustRightInd/>
        <w:snapToGrid/>
        <w:spacing w:after="0"/>
        <w:rPr>
          <w:rFonts w:ascii="宋体" w:hAnsi="宋体" w:eastAsia="宋体" w:cs="宋体"/>
          <w:b/>
          <w:sz w:val="28"/>
          <w:szCs w:val="24"/>
        </w:rPr>
      </w:pPr>
      <w:r>
        <w:rPr>
          <w:rFonts w:ascii="宋体" w:hAnsi="宋体" w:eastAsia="宋体" w:cs="宋体"/>
          <w:b/>
          <w:sz w:val="28"/>
          <w:szCs w:val="24"/>
        </w:rPr>
        <w:t>　　《中华人民共和国社会保险法》《中华人民共和国行政处罚法》</w:t>
      </w:r>
      <w:r>
        <w:rPr>
          <w:rFonts w:hint="eastAsia" w:ascii="宋体" w:hAnsi="宋体" w:eastAsia="宋体" w:cs="宋体"/>
          <w:b/>
          <w:sz w:val="28"/>
          <w:szCs w:val="24"/>
          <w:lang w:eastAsia="zh-CN"/>
        </w:rPr>
        <w:t>《</w:t>
      </w:r>
      <w:r>
        <w:rPr>
          <w:rFonts w:hint="eastAsia" w:ascii="宋体" w:hAnsi="宋体" w:eastAsia="宋体" w:cs="宋体"/>
          <w:b/>
          <w:sz w:val="28"/>
          <w:szCs w:val="24"/>
          <w:lang w:val="en-US" w:eastAsia="zh-CN"/>
        </w:rPr>
        <w:t>医疗保障基金使用监督管理条例</w:t>
      </w:r>
      <w:r>
        <w:rPr>
          <w:rFonts w:hint="eastAsia" w:ascii="宋体" w:hAnsi="宋体" w:eastAsia="宋体" w:cs="宋体"/>
          <w:b/>
          <w:sz w:val="28"/>
          <w:szCs w:val="24"/>
          <w:lang w:eastAsia="zh-CN"/>
        </w:rPr>
        <w:t>》</w:t>
      </w:r>
      <w:r>
        <w:rPr>
          <w:rFonts w:ascii="宋体" w:hAnsi="宋体" w:eastAsia="宋体" w:cs="宋体"/>
          <w:b/>
          <w:sz w:val="28"/>
          <w:szCs w:val="24"/>
        </w:rPr>
        <w:t>《社会保险费征缴暂行条例》《实施&lt;中华人民共和国社会保险法&gt;若干规定》等。 </w:t>
      </w:r>
    </w:p>
    <w:p>
      <w:pPr>
        <w:adjustRightInd/>
        <w:snapToGrid/>
        <w:spacing w:after="0"/>
        <w:rPr>
          <w:rFonts w:ascii="宋体" w:hAnsi="宋体" w:eastAsia="宋体" w:cs="宋体"/>
          <w:b/>
          <w:sz w:val="28"/>
          <w:szCs w:val="24"/>
        </w:rPr>
      </w:pPr>
      <w:r>
        <w:rPr>
          <w:rFonts w:ascii="宋体" w:hAnsi="宋体" w:eastAsia="宋体" w:cs="宋体"/>
          <w:b/>
          <w:sz w:val="28"/>
          <w:szCs w:val="24"/>
        </w:rPr>
        <w:t>　　六、处罚流程：</w:t>
      </w:r>
    </w:p>
    <w:p>
      <w:pPr>
        <w:adjustRightInd/>
        <w:snapToGrid/>
        <w:spacing w:after="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 </w:t>
      </w:r>
    </w:p>
    <w:p>
      <w:pPr>
        <w:adjustRightInd/>
        <w:snapToGrid/>
        <w:spacing w:after="0"/>
        <w:jc w:val="center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1849755</wp:posOffset>
            </wp:positionH>
            <wp:positionV relativeFrom="paragraph">
              <wp:posOffset>-1082040</wp:posOffset>
            </wp:positionV>
            <wp:extent cx="4949190" cy="6865620"/>
            <wp:effectExtent l="19050" t="0" r="3810" b="0"/>
            <wp:wrapSquare wrapText="bothSides"/>
            <wp:docPr id="1" name="图片 1" descr="C:\Users\Administrator.USER-20141005MS\Desktop\QzpcVXNlcnNcQWRtaW5pc3RyYXRvci5VU0VSLTIwMTQxMDA1TVNcQXBwRGF0YVxSb2FtaW5nXERpbmdUYWxrXDE2NTk3MDg4Nl92MlxJbWFnZUZpbGVzXDE1ODU3OTM2NDA5NTRfVzAyMDE5MTIyNTMxMTI0NzI0NTcyNS5wbmc=_meitu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Administrator.USER-20141005MS\Desktop\QzpcVXNlcnNcQWRtaW5pc3RyYXRvci5VU0VSLTIwMTQxMDA1TVNcQXBwRGF0YVxSb2FtaW5nXERpbmdUYWxrXDE2NTk3MDg4Nl92MlxJbWFnZUZpbGVzXDE1ODU3OTM2NDA5NTRfVzAyMDE5MTIyNTMxMTI0NzI0NTcyNS5wbmc=_meitu_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49190" cy="6865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adjustRightInd/>
        <w:snapToGrid/>
        <w:spacing w:after="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 </w:t>
      </w:r>
    </w:p>
    <w:p>
      <w:pPr>
        <w:adjustRightInd/>
        <w:snapToGrid/>
        <w:spacing w:after="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　　</w:t>
      </w:r>
    </w:p>
    <w:p>
      <w:pPr>
        <w:adjustRightInd/>
        <w:snapToGrid/>
        <w:spacing w:after="0"/>
        <w:rPr>
          <w:rFonts w:ascii="宋体" w:hAnsi="宋体" w:eastAsia="宋体" w:cs="宋体"/>
          <w:sz w:val="24"/>
          <w:szCs w:val="24"/>
        </w:rPr>
      </w:pPr>
    </w:p>
    <w:p>
      <w:pPr>
        <w:adjustRightInd/>
        <w:snapToGrid/>
        <w:spacing w:after="0"/>
        <w:rPr>
          <w:rFonts w:ascii="宋体" w:hAnsi="宋体" w:eastAsia="宋体" w:cs="宋体"/>
          <w:sz w:val="24"/>
          <w:szCs w:val="24"/>
        </w:rPr>
      </w:pPr>
    </w:p>
    <w:p>
      <w:pPr>
        <w:adjustRightInd/>
        <w:snapToGrid/>
        <w:spacing w:after="0"/>
        <w:rPr>
          <w:rFonts w:ascii="宋体" w:hAnsi="宋体" w:eastAsia="宋体" w:cs="宋体"/>
          <w:sz w:val="24"/>
          <w:szCs w:val="24"/>
        </w:rPr>
      </w:pPr>
    </w:p>
    <w:p>
      <w:pPr>
        <w:adjustRightInd/>
        <w:snapToGrid/>
        <w:spacing w:after="0"/>
        <w:rPr>
          <w:rFonts w:ascii="宋体" w:hAnsi="宋体" w:eastAsia="宋体" w:cs="宋体"/>
          <w:sz w:val="24"/>
          <w:szCs w:val="24"/>
        </w:rPr>
      </w:pPr>
    </w:p>
    <w:p>
      <w:pPr>
        <w:adjustRightInd/>
        <w:snapToGrid/>
        <w:spacing w:after="0"/>
        <w:rPr>
          <w:rFonts w:ascii="宋体" w:hAnsi="宋体" w:eastAsia="宋体" w:cs="宋体"/>
          <w:sz w:val="24"/>
          <w:szCs w:val="24"/>
        </w:rPr>
      </w:pPr>
    </w:p>
    <w:p>
      <w:pPr>
        <w:adjustRightInd/>
        <w:snapToGrid/>
        <w:spacing w:after="0"/>
        <w:rPr>
          <w:rFonts w:ascii="宋体" w:hAnsi="宋体" w:eastAsia="宋体" w:cs="宋体"/>
          <w:sz w:val="24"/>
          <w:szCs w:val="24"/>
        </w:rPr>
      </w:pPr>
    </w:p>
    <w:p>
      <w:pPr>
        <w:adjustRightInd/>
        <w:snapToGrid/>
        <w:spacing w:after="0"/>
        <w:rPr>
          <w:rFonts w:ascii="宋体" w:hAnsi="宋体" w:eastAsia="宋体" w:cs="宋体"/>
          <w:sz w:val="24"/>
          <w:szCs w:val="24"/>
        </w:rPr>
      </w:pPr>
    </w:p>
    <w:p>
      <w:pPr>
        <w:adjustRightInd/>
        <w:snapToGrid/>
        <w:spacing w:after="0"/>
        <w:rPr>
          <w:rFonts w:ascii="宋体" w:hAnsi="宋体" w:eastAsia="宋体" w:cs="宋体"/>
          <w:sz w:val="24"/>
          <w:szCs w:val="24"/>
        </w:rPr>
      </w:pPr>
    </w:p>
    <w:p>
      <w:pPr>
        <w:adjustRightInd/>
        <w:snapToGrid/>
        <w:spacing w:after="0"/>
        <w:rPr>
          <w:rFonts w:ascii="宋体" w:hAnsi="宋体" w:eastAsia="宋体" w:cs="宋体"/>
          <w:sz w:val="24"/>
          <w:szCs w:val="24"/>
        </w:rPr>
      </w:pPr>
    </w:p>
    <w:p>
      <w:pPr>
        <w:adjustRightInd/>
        <w:snapToGrid/>
        <w:spacing w:after="0"/>
        <w:rPr>
          <w:rFonts w:ascii="宋体" w:hAnsi="宋体" w:eastAsia="宋体" w:cs="宋体"/>
          <w:sz w:val="24"/>
          <w:szCs w:val="24"/>
        </w:rPr>
      </w:pPr>
    </w:p>
    <w:p>
      <w:pPr>
        <w:adjustRightInd/>
        <w:snapToGrid/>
        <w:spacing w:after="0"/>
        <w:rPr>
          <w:rFonts w:ascii="宋体" w:hAnsi="宋体" w:eastAsia="宋体" w:cs="宋体"/>
          <w:sz w:val="24"/>
          <w:szCs w:val="24"/>
        </w:rPr>
      </w:pPr>
    </w:p>
    <w:p>
      <w:pPr>
        <w:adjustRightInd/>
        <w:snapToGrid/>
        <w:spacing w:after="0"/>
        <w:rPr>
          <w:rFonts w:ascii="宋体" w:hAnsi="宋体" w:eastAsia="宋体" w:cs="宋体"/>
          <w:sz w:val="24"/>
          <w:szCs w:val="24"/>
        </w:rPr>
      </w:pPr>
    </w:p>
    <w:p>
      <w:pPr>
        <w:adjustRightInd/>
        <w:snapToGrid/>
        <w:spacing w:after="0"/>
        <w:rPr>
          <w:rFonts w:ascii="宋体" w:hAnsi="宋体" w:eastAsia="宋体" w:cs="宋体"/>
          <w:sz w:val="24"/>
          <w:szCs w:val="24"/>
        </w:rPr>
      </w:pPr>
    </w:p>
    <w:p>
      <w:pPr>
        <w:adjustRightInd/>
        <w:snapToGrid/>
        <w:spacing w:after="0"/>
        <w:rPr>
          <w:rFonts w:ascii="宋体" w:hAnsi="宋体" w:eastAsia="宋体" w:cs="宋体"/>
          <w:sz w:val="24"/>
          <w:szCs w:val="24"/>
        </w:rPr>
      </w:pPr>
    </w:p>
    <w:p>
      <w:pPr>
        <w:adjustRightInd/>
        <w:snapToGrid/>
        <w:spacing w:after="0"/>
        <w:rPr>
          <w:rFonts w:ascii="宋体" w:hAnsi="宋体" w:eastAsia="宋体" w:cs="宋体"/>
          <w:sz w:val="24"/>
          <w:szCs w:val="24"/>
        </w:rPr>
      </w:pPr>
    </w:p>
    <w:p>
      <w:pPr>
        <w:adjustRightInd/>
        <w:snapToGrid/>
        <w:spacing w:after="0"/>
        <w:rPr>
          <w:rFonts w:ascii="宋体" w:hAnsi="宋体" w:eastAsia="宋体" w:cs="宋体"/>
          <w:sz w:val="24"/>
          <w:szCs w:val="24"/>
        </w:rPr>
      </w:pPr>
    </w:p>
    <w:p>
      <w:pPr>
        <w:adjustRightInd/>
        <w:snapToGrid/>
        <w:spacing w:after="0"/>
        <w:rPr>
          <w:rFonts w:ascii="宋体" w:hAnsi="宋体" w:eastAsia="宋体" w:cs="宋体"/>
          <w:sz w:val="24"/>
          <w:szCs w:val="24"/>
        </w:rPr>
      </w:pPr>
    </w:p>
    <w:p>
      <w:pPr>
        <w:adjustRightInd/>
        <w:snapToGrid/>
        <w:spacing w:after="0"/>
        <w:rPr>
          <w:rFonts w:ascii="宋体" w:hAnsi="宋体" w:eastAsia="宋体" w:cs="宋体"/>
          <w:sz w:val="24"/>
          <w:szCs w:val="24"/>
        </w:rPr>
      </w:pPr>
    </w:p>
    <w:p>
      <w:pPr>
        <w:adjustRightInd/>
        <w:snapToGrid/>
        <w:spacing w:after="0"/>
        <w:rPr>
          <w:rFonts w:ascii="宋体" w:hAnsi="宋体" w:eastAsia="宋体" w:cs="宋体"/>
          <w:sz w:val="24"/>
          <w:szCs w:val="24"/>
        </w:rPr>
      </w:pPr>
    </w:p>
    <w:p>
      <w:pPr>
        <w:adjustRightInd/>
        <w:snapToGrid/>
        <w:spacing w:after="0"/>
        <w:rPr>
          <w:rFonts w:ascii="宋体" w:hAnsi="宋体" w:eastAsia="宋体" w:cs="宋体"/>
          <w:sz w:val="24"/>
          <w:szCs w:val="24"/>
        </w:rPr>
      </w:pPr>
    </w:p>
    <w:p>
      <w:pPr>
        <w:adjustRightInd/>
        <w:snapToGrid/>
        <w:spacing w:after="0"/>
        <w:rPr>
          <w:rFonts w:ascii="宋体" w:hAnsi="宋体" w:eastAsia="宋体" w:cs="宋体"/>
          <w:sz w:val="24"/>
          <w:szCs w:val="24"/>
        </w:rPr>
      </w:pPr>
    </w:p>
    <w:p>
      <w:pPr>
        <w:adjustRightInd/>
        <w:snapToGrid/>
        <w:spacing w:after="0"/>
        <w:rPr>
          <w:rFonts w:ascii="宋体" w:hAnsi="宋体" w:eastAsia="宋体" w:cs="宋体"/>
          <w:sz w:val="24"/>
          <w:szCs w:val="24"/>
        </w:rPr>
      </w:pPr>
    </w:p>
    <w:p>
      <w:pPr>
        <w:adjustRightInd/>
        <w:snapToGrid/>
        <w:spacing w:after="0"/>
        <w:rPr>
          <w:rFonts w:ascii="宋体" w:hAnsi="宋体" w:eastAsia="宋体" w:cs="宋体"/>
          <w:sz w:val="24"/>
          <w:szCs w:val="24"/>
        </w:rPr>
      </w:pPr>
    </w:p>
    <w:p>
      <w:pPr>
        <w:adjustRightInd/>
        <w:snapToGrid/>
        <w:spacing w:after="0"/>
        <w:ind w:firstLine="562" w:firstLineChars="200"/>
        <w:rPr>
          <w:rFonts w:ascii="宋体" w:hAnsi="宋体" w:eastAsia="宋体" w:cs="宋体"/>
          <w:b/>
          <w:sz w:val="28"/>
          <w:szCs w:val="24"/>
        </w:rPr>
      </w:pPr>
      <w:r>
        <w:rPr>
          <w:rFonts w:ascii="宋体" w:hAnsi="宋体" w:eastAsia="宋体" w:cs="宋体"/>
          <w:b/>
          <w:sz w:val="28"/>
          <w:szCs w:val="24"/>
        </w:rPr>
        <w:t xml:space="preserve">七、办理时限： </w:t>
      </w:r>
    </w:p>
    <w:p>
      <w:pPr>
        <w:adjustRightInd/>
        <w:snapToGrid/>
        <w:spacing w:after="0"/>
        <w:rPr>
          <w:rFonts w:ascii="宋体" w:hAnsi="宋体" w:eastAsia="宋体" w:cs="宋体"/>
          <w:b/>
          <w:sz w:val="28"/>
          <w:szCs w:val="24"/>
        </w:rPr>
      </w:pPr>
      <w:r>
        <w:rPr>
          <w:rFonts w:ascii="宋体" w:hAnsi="宋体" w:eastAsia="宋体" w:cs="宋体"/>
          <w:b/>
          <w:sz w:val="28"/>
          <w:szCs w:val="24"/>
        </w:rPr>
        <w:t>　　（1）自受理之日7日内立案</w:t>
      </w:r>
      <w:r>
        <w:rPr>
          <w:rFonts w:hint="eastAsia" w:ascii="宋体" w:hAnsi="宋体" w:eastAsia="宋体" w:cs="宋体"/>
          <w:b/>
          <w:sz w:val="28"/>
          <w:szCs w:val="24"/>
          <w:lang w:eastAsia="zh-CN"/>
        </w:rPr>
        <w:t>，</w:t>
      </w:r>
      <w:r>
        <w:rPr>
          <w:rFonts w:ascii="宋体" w:hAnsi="宋体" w:eastAsia="宋体" w:cs="宋体"/>
          <w:b/>
          <w:sz w:val="28"/>
          <w:szCs w:val="24"/>
        </w:rPr>
        <w:t>3</w:t>
      </w:r>
      <w:r>
        <w:rPr>
          <w:rFonts w:hint="eastAsia" w:ascii="宋体" w:hAnsi="宋体" w:eastAsia="宋体" w:cs="宋体"/>
          <w:b/>
          <w:sz w:val="28"/>
          <w:szCs w:val="24"/>
          <w:lang w:val="en-US" w:eastAsia="zh-CN"/>
        </w:rPr>
        <w:t>0</w:t>
      </w:r>
      <w:r>
        <w:rPr>
          <w:rFonts w:ascii="宋体" w:hAnsi="宋体" w:eastAsia="宋体" w:cs="宋体"/>
          <w:b/>
          <w:sz w:val="28"/>
          <w:szCs w:val="24"/>
        </w:rPr>
        <w:t>个</w:t>
      </w:r>
      <w:r>
        <w:rPr>
          <w:rFonts w:hint="eastAsia" w:ascii="宋体" w:hAnsi="宋体" w:eastAsia="宋体" w:cs="宋体"/>
          <w:b/>
          <w:sz w:val="28"/>
          <w:szCs w:val="24"/>
          <w:lang w:val="en-US" w:eastAsia="zh-CN"/>
        </w:rPr>
        <w:t>工作日内</w:t>
      </w:r>
      <w:r>
        <w:rPr>
          <w:rFonts w:ascii="宋体" w:hAnsi="宋体" w:eastAsia="宋体" w:cs="宋体"/>
          <w:b/>
          <w:sz w:val="28"/>
          <w:szCs w:val="24"/>
        </w:rPr>
        <w:t>作出行政处罚决定。需要延长办案时限的，应当在期限届满10日前报请上级行政机关批准，延长期限一般不超过</w:t>
      </w:r>
      <w:r>
        <w:rPr>
          <w:rFonts w:hint="eastAsia" w:ascii="宋体" w:hAnsi="宋体" w:eastAsia="宋体" w:cs="宋体"/>
          <w:b/>
          <w:sz w:val="28"/>
          <w:szCs w:val="24"/>
          <w:lang w:val="en-US" w:eastAsia="zh-CN"/>
        </w:rPr>
        <w:t>2</w:t>
      </w:r>
      <w:r>
        <w:rPr>
          <w:rFonts w:ascii="宋体" w:hAnsi="宋体" w:eastAsia="宋体" w:cs="宋体"/>
          <w:b/>
          <w:sz w:val="28"/>
          <w:szCs w:val="24"/>
        </w:rPr>
        <w:t>个月。</w:t>
      </w:r>
    </w:p>
    <w:p>
      <w:pPr>
        <w:adjustRightInd/>
        <w:snapToGrid/>
        <w:spacing w:after="0"/>
        <w:rPr>
          <w:rFonts w:ascii="宋体" w:hAnsi="宋体" w:eastAsia="宋体" w:cs="宋体"/>
          <w:b/>
          <w:sz w:val="28"/>
          <w:szCs w:val="24"/>
        </w:rPr>
      </w:pPr>
      <w:r>
        <w:rPr>
          <w:rFonts w:ascii="宋体" w:hAnsi="宋体" w:eastAsia="宋体" w:cs="宋体"/>
          <w:b/>
          <w:sz w:val="28"/>
          <w:szCs w:val="24"/>
        </w:rPr>
        <w:t>　　（2）证据先行登记保存时限7天，查封扣押期限30天，情况复杂需要延长的，经行政机关负责人批准可延长30日。</w:t>
      </w:r>
    </w:p>
    <w:p>
      <w:pPr>
        <w:adjustRightInd/>
        <w:snapToGrid/>
        <w:spacing w:after="0"/>
        <w:rPr>
          <w:rFonts w:ascii="宋体" w:hAnsi="宋体" w:eastAsia="宋体" w:cs="宋体"/>
          <w:b/>
          <w:sz w:val="28"/>
          <w:szCs w:val="24"/>
        </w:rPr>
      </w:pPr>
      <w:r>
        <w:rPr>
          <w:rFonts w:ascii="宋体" w:hAnsi="宋体" w:eastAsia="宋体" w:cs="宋体"/>
          <w:b/>
          <w:sz w:val="28"/>
          <w:szCs w:val="24"/>
        </w:rPr>
        <w:t>　　（3）直接送达的文书7日内送达，公告送达时限60天。</w:t>
      </w:r>
    </w:p>
    <w:p>
      <w:pPr>
        <w:adjustRightInd/>
        <w:snapToGrid/>
        <w:spacing w:after="0"/>
        <w:rPr>
          <w:rFonts w:ascii="宋体" w:hAnsi="宋体" w:eastAsia="宋体" w:cs="宋体"/>
          <w:b/>
          <w:sz w:val="28"/>
          <w:szCs w:val="24"/>
        </w:rPr>
      </w:pPr>
      <w:r>
        <w:rPr>
          <w:rFonts w:ascii="宋体" w:hAnsi="宋体" w:eastAsia="宋体" w:cs="宋体"/>
          <w:b/>
          <w:sz w:val="28"/>
          <w:szCs w:val="24"/>
        </w:rPr>
        <w:t>　　八、收费依据及标准：不收费</w:t>
      </w:r>
    </w:p>
    <w:p>
      <w:pPr>
        <w:adjustRightInd/>
        <w:snapToGrid/>
        <w:spacing w:after="0"/>
        <w:rPr>
          <w:rFonts w:ascii="宋体" w:hAnsi="宋体" w:eastAsia="宋体" w:cs="宋体"/>
          <w:b/>
          <w:sz w:val="28"/>
          <w:szCs w:val="24"/>
        </w:rPr>
      </w:pPr>
      <w:r>
        <w:rPr>
          <w:rFonts w:ascii="宋体" w:hAnsi="宋体" w:eastAsia="宋体" w:cs="宋体"/>
          <w:b/>
          <w:sz w:val="28"/>
          <w:szCs w:val="24"/>
        </w:rPr>
        <w:t>　　九、结果送达：</w:t>
      </w:r>
    </w:p>
    <w:p>
      <w:pPr>
        <w:adjustRightInd/>
        <w:snapToGrid/>
        <w:spacing w:after="0"/>
        <w:rPr>
          <w:rFonts w:ascii="宋体" w:hAnsi="宋体" w:eastAsia="宋体" w:cs="宋体"/>
          <w:b/>
          <w:sz w:val="28"/>
          <w:szCs w:val="24"/>
        </w:rPr>
      </w:pPr>
      <w:r>
        <w:rPr>
          <w:rFonts w:ascii="宋体" w:hAnsi="宋体" w:eastAsia="宋体" w:cs="宋体"/>
          <w:b/>
          <w:sz w:val="28"/>
          <w:szCs w:val="24"/>
        </w:rPr>
        <w:t>　　（1）执法人员当场作出行政处罚决定的，应当向当事人出示执法身份证件，填写预定格式、编有号码的行政处罚决定书。行政处罚决定书应当当场交付当事人。执法人员当场作出的行政处罚决定，必须报所属行政机关备案。</w:t>
      </w:r>
    </w:p>
    <w:p>
      <w:pPr>
        <w:adjustRightInd/>
        <w:snapToGrid/>
        <w:spacing w:after="0"/>
        <w:rPr>
          <w:rFonts w:ascii="宋体" w:hAnsi="宋体" w:eastAsia="宋体" w:cs="宋体"/>
          <w:b/>
          <w:sz w:val="28"/>
          <w:szCs w:val="24"/>
        </w:rPr>
      </w:pPr>
      <w:r>
        <w:rPr>
          <w:rFonts w:ascii="宋体" w:hAnsi="宋体" w:eastAsia="宋体" w:cs="宋体"/>
          <w:b/>
          <w:sz w:val="28"/>
          <w:szCs w:val="24"/>
        </w:rPr>
        <w:t>　　（2）依一般程序作出的行政处罚决定书应当在宣告后当场交付当事人；当事人不在场的，行政机关应当在七日内依照民事诉讼法的有关规定，将行政处罚决定书送达当事人。</w:t>
      </w:r>
    </w:p>
    <w:p>
      <w:pPr>
        <w:adjustRightInd/>
        <w:snapToGrid/>
        <w:spacing w:after="0"/>
        <w:rPr>
          <w:rFonts w:ascii="宋体" w:hAnsi="宋体" w:eastAsia="宋体" w:cs="宋体"/>
          <w:b/>
          <w:sz w:val="28"/>
          <w:szCs w:val="24"/>
        </w:rPr>
      </w:pPr>
      <w:r>
        <w:rPr>
          <w:rFonts w:ascii="宋体" w:hAnsi="宋体" w:eastAsia="宋体" w:cs="宋体"/>
          <w:b/>
          <w:sz w:val="28"/>
          <w:szCs w:val="24"/>
        </w:rPr>
        <w:t>　　十、行政救济途径及方式：向作出行政处罚决定的行政执法部门申请进行听证、陈述申辩；</w:t>
      </w:r>
      <w:r>
        <w:rPr>
          <w:rFonts w:hint="eastAsia" w:ascii="宋体" w:hAnsi="宋体" w:eastAsia="宋体" w:cs="宋体"/>
          <w:b/>
          <w:sz w:val="28"/>
          <w:szCs w:val="24"/>
          <w:lang w:val="en-US" w:eastAsia="zh-CN"/>
        </w:rPr>
        <w:t>向</w:t>
      </w:r>
      <w:r>
        <w:rPr>
          <w:rFonts w:ascii="宋体" w:hAnsi="宋体" w:eastAsia="宋体" w:cs="宋体"/>
          <w:b/>
          <w:sz w:val="28"/>
          <w:szCs w:val="24"/>
        </w:rPr>
        <w:t>相关部门提出行政复议；向有管辖权的人民法院提起行政诉讼。</w:t>
      </w:r>
    </w:p>
    <w:p>
      <w:pPr>
        <w:adjustRightInd/>
        <w:snapToGrid/>
        <w:spacing w:after="0"/>
        <w:rPr>
          <w:rFonts w:ascii="宋体" w:hAnsi="宋体" w:eastAsia="宋体" w:cs="宋体"/>
          <w:b/>
          <w:sz w:val="28"/>
          <w:szCs w:val="24"/>
        </w:rPr>
      </w:pPr>
      <w:r>
        <w:rPr>
          <w:rFonts w:ascii="宋体" w:hAnsi="宋体" w:eastAsia="宋体" w:cs="宋体"/>
          <w:b/>
          <w:sz w:val="28"/>
          <w:szCs w:val="24"/>
        </w:rPr>
        <w:t>　　十一、咨询</w:t>
      </w:r>
      <w:r>
        <w:rPr>
          <w:rFonts w:hint="eastAsia" w:ascii="宋体" w:hAnsi="宋体" w:eastAsia="宋体" w:cs="宋体"/>
          <w:b/>
          <w:sz w:val="28"/>
          <w:szCs w:val="24"/>
          <w:lang w:val="en-US" w:eastAsia="zh-CN"/>
        </w:rPr>
        <w:t>联系电话</w:t>
      </w:r>
      <w:r>
        <w:rPr>
          <w:rFonts w:ascii="宋体" w:hAnsi="宋体" w:eastAsia="宋体" w:cs="宋体"/>
          <w:b/>
          <w:sz w:val="28"/>
          <w:szCs w:val="24"/>
        </w:rPr>
        <w:t>：</w:t>
      </w:r>
    </w:p>
    <w:p>
      <w:pPr>
        <w:adjustRightInd/>
        <w:snapToGrid/>
        <w:spacing w:after="0"/>
        <w:ind w:firstLine="562" w:firstLineChars="200"/>
        <w:rPr>
          <w:rFonts w:ascii="宋体" w:hAnsi="宋体" w:eastAsia="宋体" w:cs="宋体"/>
          <w:b/>
          <w:sz w:val="28"/>
          <w:szCs w:val="24"/>
        </w:rPr>
      </w:pPr>
      <w:r>
        <w:rPr>
          <w:rFonts w:hint="eastAsia" w:ascii="宋体" w:hAnsi="宋体" w:eastAsia="宋体" w:cs="宋体"/>
          <w:b/>
          <w:sz w:val="28"/>
          <w:szCs w:val="24"/>
          <w:lang w:val="en-US" w:eastAsia="zh-CN"/>
        </w:rPr>
        <w:t>医药服务综合管理科</w:t>
      </w:r>
      <w:r>
        <w:rPr>
          <w:rFonts w:ascii="宋体" w:hAnsi="宋体" w:eastAsia="宋体" w:cs="宋体"/>
          <w:b/>
          <w:sz w:val="28"/>
          <w:szCs w:val="24"/>
        </w:rPr>
        <w:t xml:space="preserve"> </w:t>
      </w:r>
      <w:r>
        <w:rPr>
          <w:rFonts w:hint="eastAsia" w:ascii="宋体" w:hAnsi="宋体" w:eastAsia="宋体" w:cs="宋体"/>
          <w:b/>
          <w:sz w:val="28"/>
          <w:szCs w:val="24"/>
          <w:lang w:val="en-US" w:eastAsia="zh-CN"/>
        </w:rPr>
        <w:t xml:space="preserve">      </w:t>
      </w:r>
      <w:r>
        <w:rPr>
          <w:rFonts w:ascii="宋体" w:hAnsi="宋体" w:eastAsia="宋体" w:cs="宋体"/>
          <w:b/>
          <w:sz w:val="28"/>
          <w:szCs w:val="24"/>
        </w:rPr>
        <w:t>  035</w:t>
      </w:r>
      <w:r>
        <w:rPr>
          <w:rFonts w:hint="eastAsia" w:ascii="宋体" w:hAnsi="宋体" w:eastAsia="宋体" w:cs="宋体"/>
          <w:b/>
          <w:sz w:val="28"/>
          <w:szCs w:val="24"/>
        </w:rPr>
        <w:t>3</w:t>
      </w:r>
      <w:r>
        <w:rPr>
          <w:rFonts w:ascii="宋体" w:hAnsi="宋体" w:eastAsia="宋体" w:cs="宋体"/>
          <w:b/>
          <w:sz w:val="28"/>
          <w:szCs w:val="24"/>
        </w:rPr>
        <w:t>-</w:t>
      </w:r>
      <w:r>
        <w:rPr>
          <w:rFonts w:hint="eastAsia" w:ascii="宋体" w:hAnsi="宋体" w:eastAsia="宋体" w:cs="宋体"/>
          <w:b/>
          <w:sz w:val="28"/>
          <w:szCs w:val="24"/>
          <w:lang w:val="en-US" w:eastAsia="zh-CN"/>
        </w:rPr>
        <w:t xml:space="preserve">2296187    </w:t>
      </w:r>
      <w:r>
        <w:rPr>
          <w:rFonts w:ascii="宋体" w:hAnsi="宋体" w:eastAsia="宋体" w:cs="宋体"/>
          <w:b/>
          <w:sz w:val="28"/>
          <w:szCs w:val="24"/>
        </w:rPr>
        <w:t xml:space="preserve"> </w:t>
      </w:r>
    </w:p>
    <w:p>
      <w:pPr>
        <w:adjustRightInd/>
        <w:snapToGrid/>
        <w:spacing w:after="0"/>
        <w:rPr>
          <w:rFonts w:ascii="宋体" w:hAnsi="宋体" w:eastAsia="宋体" w:cs="宋体"/>
          <w:b/>
          <w:sz w:val="28"/>
          <w:szCs w:val="24"/>
        </w:rPr>
      </w:pPr>
      <w:bookmarkStart w:id="0" w:name="_GoBack"/>
      <w:bookmarkEnd w:id="0"/>
      <w:r>
        <w:rPr>
          <w:rFonts w:ascii="宋体" w:hAnsi="宋体" w:eastAsia="宋体" w:cs="宋体"/>
          <w:b/>
          <w:sz w:val="28"/>
          <w:szCs w:val="24"/>
        </w:rPr>
        <w:t>　　</w:t>
      </w:r>
      <w:r>
        <w:rPr>
          <w:rFonts w:hint="eastAsia" w:ascii="宋体" w:hAnsi="宋体" w:eastAsia="宋体" w:cs="宋体"/>
          <w:b/>
          <w:sz w:val="28"/>
          <w:szCs w:val="24"/>
          <w:lang w:val="en-US" w:eastAsia="zh-CN"/>
        </w:rPr>
        <w:t>十二</w:t>
      </w:r>
      <w:r>
        <w:rPr>
          <w:rFonts w:ascii="宋体" w:hAnsi="宋体" w:eastAsia="宋体" w:cs="宋体"/>
          <w:b/>
          <w:sz w:val="28"/>
          <w:szCs w:val="24"/>
        </w:rPr>
        <w:t>、结果查询：自案件结案之日起20个工作日，通过</w:t>
      </w:r>
      <w:r>
        <w:rPr>
          <w:rFonts w:hint="eastAsia" w:ascii="宋体" w:hAnsi="宋体" w:eastAsia="宋体" w:cs="宋体"/>
          <w:b/>
          <w:sz w:val="28"/>
          <w:szCs w:val="24"/>
        </w:rPr>
        <w:t>阳泉市</w:t>
      </w:r>
      <w:r>
        <w:rPr>
          <w:rFonts w:hint="eastAsia" w:ascii="宋体" w:hAnsi="宋体" w:eastAsia="宋体" w:cs="宋体"/>
          <w:b/>
          <w:sz w:val="28"/>
          <w:szCs w:val="24"/>
          <w:lang w:val="en-US" w:eastAsia="zh-CN"/>
        </w:rPr>
        <w:t>人民政府</w:t>
      </w:r>
      <w:r>
        <w:rPr>
          <w:rFonts w:ascii="宋体" w:hAnsi="宋体" w:eastAsia="宋体" w:cs="宋体"/>
          <w:b/>
          <w:sz w:val="28"/>
          <w:szCs w:val="24"/>
        </w:rPr>
        <w:t>门户网站查询状态及结果。</w:t>
      </w:r>
    </w:p>
    <w:p>
      <w:pPr>
        <w:adjustRightInd/>
        <w:snapToGrid/>
        <w:spacing w:before="100" w:beforeAutospacing="1" w:after="100" w:afterAutospacing="1"/>
        <w:rPr>
          <w:rFonts w:hint="eastAsia" w:ascii="宋体" w:hAnsi="宋体" w:eastAsia="宋体" w:cs="宋体"/>
          <w:b/>
          <w:sz w:val="28"/>
          <w:szCs w:val="24"/>
          <w:lang w:val="en-US" w:eastAsia="zh-CN"/>
        </w:rPr>
      </w:pPr>
      <w:r>
        <w:rPr>
          <w:rFonts w:ascii="宋体" w:hAnsi="宋体" w:eastAsia="宋体" w:cs="宋体"/>
          <w:b/>
          <w:sz w:val="28"/>
          <w:szCs w:val="24"/>
        </w:rPr>
        <w:t> </w:t>
      </w:r>
      <w:r>
        <w:rPr>
          <w:rFonts w:hint="eastAsia" w:ascii="宋体" w:hAnsi="宋体" w:eastAsia="宋体" w:cs="宋体"/>
          <w:b/>
          <w:sz w:val="28"/>
          <w:szCs w:val="24"/>
          <w:lang w:val="en-US" w:eastAsia="zh-CN"/>
        </w:rPr>
        <w:t xml:space="preserve"> </w:t>
      </w:r>
    </w:p>
    <w:sectPr>
      <w:pgSz w:w="16838" w:h="11906" w:orient="landscape"/>
      <w:pgMar w:top="1800" w:right="1440" w:bottom="180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docVars>
    <w:docVar w:name="commondata" w:val="eyJoZGlkIjoiMzgyOTQyMjE1OTVkY2RkM2I2OTFhMDRjMjk4YWU4M2IifQ=="/>
  </w:docVars>
  <w:rsids>
    <w:rsidRoot w:val="00D31D50"/>
    <w:rsid w:val="00131862"/>
    <w:rsid w:val="002379F5"/>
    <w:rsid w:val="00323B43"/>
    <w:rsid w:val="00343CA5"/>
    <w:rsid w:val="003B22C4"/>
    <w:rsid w:val="003D37D8"/>
    <w:rsid w:val="00426133"/>
    <w:rsid w:val="004358AB"/>
    <w:rsid w:val="006D5D5D"/>
    <w:rsid w:val="006E1AE9"/>
    <w:rsid w:val="008B7726"/>
    <w:rsid w:val="00931096"/>
    <w:rsid w:val="00964007"/>
    <w:rsid w:val="00B62056"/>
    <w:rsid w:val="00CA2177"/>
    <w:rsid w:val="00D31D50"/>
    <w:rsid w:val="00D344E2"/>
    <w:rsid w:val="00E81EB7"/>
    <w:rsid w:val="00F77CC7"/>
    <w:rsid w:val="044E5E91"/>
    <w:rsid w:val="0A8653B4"/>
    <w:rsid w:val="0D7D12D3"/>
    <w:rsid w:val="148E2BC8"/>
    <w:rsid w:val="225A332F"/>
    <w:rsid w:val="2366189C"/>
    <w:rsid w:val="23CC25EE"/>
    <w:rsid w:val="2E3A5DFF"/>
    <w:rsid w:val="309A3817"/>
    <w:rsid w:val="30E315B2"/>
    <w:rsid w:val="3A0F6C0C"/>
    <w:rsid w:val="3D8A08F4"/>
    <w:rsid w:val="3E88424F"/>
    <w:rsid w:val="40387C54"/>
    <w:rsid w:val="45EA7CB3"/>
    <w:rsid w:val="5AE70A12"/>
    <w:rsid w:val="5DE36CA9"/>
    <w:rsid w:val="64DD3383"/>
    <w:rsid w:val="6AE3441C"/>
    <w:rsid w:val="6DDE7E44"/>
    <w:rsid w:val="70A5392A"/>
    <w:rsid w:val="7A21765E"/>
    <w:rsid w:val="7C031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8"/>
    <w:semiHidden/>
    <w:unhideWhenUsed/>
    <w:qFormat/>
    <w:uiPriority w:val="99"/>
    <w:pPr>
      <w:spacing w:after="0"/>
    </w:pPr>
    <w:rPr>
      <w:sz w:val="18"/>
      <w:szCs w:val="18"/>
    </w:rPr>
  </w:style>
  <w:style w:type="paragraph" w:styleId="4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8">
    <w:name w:val="批注框文本 Char"/>
    <w:basedOn w:val="7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9">
    <w:name w:val="页眉 Char"/>
    <w:basedOn w:val="7"/>
    <w:link w:val="5"/>
    <w:qFormat/>
    <w:uiPriority w:val="99"/>
    <w:rPr>
      <w:rFonts w:ascii="Tahoma" w:hAnsi="Tahoma"/>
      <w:sz w:val="18"/>
      <w:szCs w:val="18"/>
    </w:rPr>
  </w:style>
  <w:style w:type="character" w:customStyle="1" w:styleId="10">
    <w:name w:val="页脚 Char"/>
    <w:basedOn w:val="7"/>
    <w:link w:val="4"/>
    <w:semiHidden/>
    <w:qFormat/>
    <w:uiPriority w:val="99"/>
    <w:rPr>
      <w:rFonts w:ascii="Tahoma" w:hAnsi="Tahoma"/>
      <w:sz w:val="18"/>
      <w:szCs w:val="18"/>
    </w:rPr>
  </w:style>
  <w:style w:type="character" w:customStyle="1" w:styleId="11">
    <w:name w:val="标题 1 Char"/>
    <w:basedOn w:val="7"/>
    <w:link w:val="2"/>
    <w:qFormat/>
    <w:uiPriority w:val="9"/>
    <w:rPr>
      <w:rFonts w:ascii="Tahoma" w:hAnsi="Tahoma"/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898</Words>
  <Characters>926</Characters>
  <Lines>7</Lines>
  <Paragraphs>2</Paragraphs>
  <TotalTime>2</TotalTime>
  <ScaleCrop>false</ScaleCrop>
  <LinksUpToDate>false</LinksUpToDate>
  <CharactersWithSpaces>989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2020-04-03T07:48:00Z</dcterms:created>
  <dc:creator>Administrator</dc:creator>
  <cp:lastModifiedBy>Lenovo</cp:lastModifiedBy>
  <cp:lastPrinted>2020-05-12T01:49:00Z</cp:lastPrinted>
  <dcterms:modified xsi:type="dcterms:W3CDTF">2022-10-25T03:05:32Z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F9C069CE166541DB876FB3C0DB627DD3</vt:lpwstr>
  </property>
</Properties>
</file>