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/>
        </w:rPr>
        <w:t>阳泉市</w:t>
      </w:r>
      <w:r>
        <w:t>医疗保障局行政执法事项服务指南</w:t>
      </w:r>
    </w:p>
    <w:p>
      <w:pPr>
        <w:adjustRightInd/>
        <w:snapToGrid/>
        <w:spacing w:after="0"/>
        <w:ind w:firstLine="562" w:firstLineChars="20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一、事项编码：</w:t>
      </w:r>
    </w:p>
    <w:p>
      <w:pPr>
        <w:adjustRightInd/>
        <w:snapToGrid/>
        <w:spacing w:after="0"/>
        <w:ind w:firstLine="563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二、实施部门：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医药服务综合管理科</w:t>
      </w:r>
      <w:r>
        <w:rPr>
          <w:rFonts w:ascii="宋体" w:hAnsi="宋体" w:eastAsia="宋体" w:cs="宋体"/>
          <w:b/>
          <w:sz w:val="28"/>
          <w:szCs w:val="24"/>
        </w:rPr>
        <w:t>　</w:t>
      </w:r>
    </w:p>
    <w:p>
      <w:pPr>
        <w:adjustRightInd/>
        <w:snapToGrid/>
        <w:spacing w:after="0"/>
        <w:ind w:firstLine="563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三、事项类别：行政处罚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四、适用范围：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（1）对社会保险服务机构、社会保险经办机构骗取医疗保险基金支出的处罚；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（2）对缴费单位、个人骗取医疗保险待遇的处罚；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（3）对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隐匿、转移、侵占、挪用医疗保险基金或违法进行违规投资运营等行为</w:t>
      </w:r>
      <w:r>
        <w:rPr>
          <w:rFonts w:ascii="宋体" w:hAnsi="宋体" w:eastAsia="宋体" w:cs="宋体"/>
          <w:b/>
          <w:sz w:val="28"/>
          <w:szCs w:val="24"/>
        </w:rPr>
        <w:t>的处罚；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（4）对缴费单位未按照规定办理社会保险登记、变更登记或者注销登记，或者未按照规定申报应缴纳的城镇职工医疗保险费数额的处罚；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（5）对缴费单位违反有关财务、会计、统计的法律、行政法规和国家有关规定，伪造、变造、故意毁灭有关账册、材料，或者不设账册，致使城镇职工医疗保险费缴费基数无法确定和迟延缴纳的处罚。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五、处罚依据：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《中华人民共和国社会保险法》《中华人民共和国行政处罚法》</w:t>
      </w:r>
      <w:r>
        <w:rPr>
          <w:rFonts w:hint="eastAsia" w:ascii="宋体" w:hAnsi="宋体" w:eastAsia="宋体" w:cs="宋体"/>
          <w:b/>
          <w:sz w:val="28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医疗保障基金使用监督管理条例</w:t>
      </w:r>
      <w:r>
        <w:rPr>
          <w:rFonts w:hint="eastAsia" w:ascii="宋体" w:hAnsi="宋体" w:eastAsia="宋体" w:cs="宋体"/>
          <w:b/>
          <w:sz w:val="28"/>
          <w:szCs w:val="24"/>
          <w:lang w:eastAsia="zh-CN"/>
        </w:rPr>
        <w:t>》</w:t>
      </w:r>
      <w:r>
        <w:rPr>
          <w:rFonts w:ascii="宋体" w:hAnsi="宋体" w:eastAsia="宋体" w:cs="宋体"/>
          <w:b/>
          <w:sz w:val="28"/>
          <w:szCs w:val="24"/>
        </w:rPr>
        <w:t>《社会保险费征缴暂行条例》《实施&lt;中华人民共和国社会保险法&gt;若干规定》等。 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六、处罚流程：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</w:p>
    <w:p>
      <w:pPr>
        <w:adjustRightInd/>
        <w:snapToGrid/>
        <w:spacing w:after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-1082040</wp:posOffset>
            </wp:positionV>
            <wp:extent cx="4949190" cy="6865620"/>
            <wp:effectExtent l="19050" t="0" r="3810" b="0"/>
            <wp:wrapSquare wrapText="bothSides"/>
            <wp:docPr id="1" name="图片 1" descr="C:\Users\Administrator.USER-20141005MS\Desktop\QzpcVXNlcnNcQWRtaW5pc3RyYXRvci5VU0VSLTIwMTQxMDA1TVNcQXBwRGF0YVxSb2FtaW5nXERpbmdUYWxrXDE2NTk3MDg4Nl92MlxJbWFnZUZpbGVzXDE1ODU3OTM2NDA5NTRfVzAyMDE5MTIyNTMxMTI0NzI0NTcyNS5wbmc=_meitu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.USER-20141005MS\Desktop\QzpcVXNlcnNcQWRtaW5pc3RyYXRvci5VU0VSLTIwMTQxMDA1TVNcQXBwRGF0YVxSb2FtaW5nXERpbmdUYWxrXDE2NTk3MDg4Nl92MlxJbWFnZUZpbGVzXDE1ODU3OTM2NDA5NTRfVzAyMDE5MTIyNTMxMTI0NzI0NTcyNS5wbmc=_meitu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686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　　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after="0"/>
        <w:ind w:firstLine="562" w:firstLineChars="20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 xml:space="preserve">七、办理时限： 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（1）自受理之日7日内立案</w:t>
      </w:r>
      <w:r>
        <w:rPr>
          <w:rFonts w:hint="eastAsia" w:ascii="宋体" w:hAnsi="宋体" w:eastAsia="宋体" w:cs="宋体"/>
          <w:b/>
          <w:sz w:val="28"/>
          <w:szCs w:val="24"/>
          <w:lang w:eastAsia="zh-CN"/>
        </w:rPr>
        <w:t>，</w:t>
      </w:r>
      <w:r>
        <w:rPr>
          <w:rFonts w:ascii="宋体" w:hAnsi="宋体" w:eastAsia="宋体" w:cs="宋体"/>
          <w:b/>
          <w:sz w:val="28"/>
          <w:szCs w:val="24"/>
        </w:rPr>
        <w:t>3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0</w:t>
      </w:r>
      <w:r>
        <w:rPr>
          <w:rFonts w:ascii="宋体" w:hAnsi="宋体" w:eastAsia="宋体" w:cs="宋体"/>
          <w:b/>
          <w:sz w:val="28"/>
          <w:szCs w:val="24"/>
        </w:rPr>
        <w:t>个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工作日内</w:t>
      </w:r>
      <w:r>
        <w:rPr>
          <w:rFonts w:ascii="宋体" w:hAnsi="宋体" w:eastAsia="宋体" w:cs="宋体"/>
          <w:b/>
          <w:sz w:val="28"/>
          <w:szCs w:val="24"/>
        </w:rPr>
        <w:t>作出行政处罚决定。需要延长办案时限的，应当在期限届满10日前报请上级行政机关批准，延长期限一般不超过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2</w:t>
      </w:r>
      <w:r>
        <w:rPr>
          <w:rFonts w:ascii="宋体" w:hAnsi="宋体" w:eastAsia="宋体" w:cs="宋体"/>
          <w:b/>
          <w:sz w:val="28"/>
          <w:szCs w:val="24"/>
        </w:rPr>
        <w:t>个月。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（2）证据先行登记保存时限7天，查封扣押期限30天，情况复杂需要延长的，经行政机关负责人批准可延长30日。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（3）直接送达的文书7日内送达，公告送达时限60天。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八、收费依据及标准：不收费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九、结果送达：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1）执法人员当场作出行政处罚决定的，应当向当事人出示执法身份证件，填写预定格式、编有号码的行政处罚决定书。行政处罚决定书应当当场交付当事人。执法人员当场作出的行政处罚决定，必须报所属行政机关备案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（2）依一般程序作出的行政处罚决定书应当在宣告后当场交付当事人；当事人不在场的，行政机关应当在七日内依照民事诉讼法的有关规定，将行政处罚决定书送达当事人。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十、行政救济途径及方式：向作出行政处罚决定的行政执法部门申请进行听证、陈述申辩；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向</w:t>
      </w:r>
      <w:r>
        <w:rPr>
          <w:rFonts w:ascii="宋体" w:hAnsi="宋体" w:eastAsia="宋体" w:cs="宋体"/>
          <w:b/>
          <w:sz w:val="28"/>
          <w:szCs w:val="24"/>
        </w:rPr>
        <w:t>相关部门提出行政复议；向有管辖权的人民法院提起行政诉讼。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r>
        <w:rPr>
          <w:rFonts w:ascii="宋体" w:hAnsi="宋体" w:eastAsia="宋体" w:cs="宋体"/>
          <w:b/>
          <w:sz w:val="28"/>
          <w:szCs w:val="24"/>
        </w:rPr>
        <w:t>　　十一、咨询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联系电话</w:t>
      </w:r>
      <w:r>
        <w:rPr>
          <w:rFonts w:ascii="宋体" w:hAnsi="宋体" w:eastAsia="宋体" w:cs="宋体"/>
          <w:b/>
          <w:sz w:val="28"/>
          <w:szCs w:val="24"/>
        </w:rPr>
        <w:t>：</w:t>
      </w:r>
    </w:p>
    <w:p>
      <w:pPr>
        <w:adjustRightInd/>
        <w:snapToGrid/>
        <w:spacing w:after="0"/>
        <w:ind w:firstLine="562" w:firstLineChars="200"/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医药服务综合管理科</w:t>
      </w:r>
      <w:r>
        <w:rPr>
          <w:rFonts w:ascii="宋体" w:hAnsi="宋体" w:eastAsia="宋体" w:cs="宋体"/>
          <w:b/>
          <w:sz w:val="28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sz w:val="28"/>
          <w:szCs w:val="24"/>
        </w:rPr>
        <w:t>  035</w:t>
      </w:r>
      <w:r>
        <w:rPr>
          <w:rFonts w:hint="eastAsia" w:ascii="宋体" w:hAnsi="宋体" w:eastAsia="宋体" w:cs="宋体"/>
          <w:b/>
          <w:sz w:val="28"/>
          <w:szCs w:val="24"/>
        </w:rPr>
        <w:t>3</w:t>
      </w:r>
      <w:r>
        <w:rPr>
          <w:rFonts w:ascii="宋体" w:hAnsi="宋体" w:eastAsia="宋体" w:cs="宋体"/>
          <w:b/>
          <w:sz w:val="28"/>
          <w:szCs w:val="24"/>
        </w:rPr>
        <w:t>-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 xml:space="preserve">2296187    </w:t>
      </w:r>
      <w:r>
        <w:rPr>
          <w:rFonts w:ascii="宋体" w:hAnsi="宋体" w:eastAsia="宋体" w:cs="宋体"/>
          <w:b/>
          <w:sz w:val="28"/>
          <w:szCs w:val="24"/>
        </w:rPr>
        <w:t xml:space="preserve"> </w:t>
      </w:r>
    </w:p>
    <w:p>
      <w:pPr>
        <w:adjustRightInd/>
        <w:snapToGrid/>
        <w:spacing w:after="0"/>
        <w:rPr>
          <w:rFonts w:ascii="宋体" w:hAnsi="宋体" w:eastAsia="宋体" w:cs="宋体"/>
          <w:b/>
          <w:sz w:val="28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sz w:val="28"/>
          <w:szCs w:val="24"/>
        </w:rPr>
        <w:t>　　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十二</w:t>
      </w:r>
      <w:r>
        <w:rPr>
          <w:rFonts w:ascii="宋体" w:hAnsi="宋体" w:eastAsia="宋体" w:cs="宋体"/>
          <w:b/>
          <w:sz w:val="28"/>
          <w:szCs w:val="24"/>
        </w:rPr>
        <w:t>、结果查询：自案件结案之日起20个工作日，通过</w:t>
      </w:r>
      <w:r>
        <w:rPr>
          <w:rFonts w:hint="eastAsia" w:ascii="宋体" w:hAnsi="宋体" w:eastAsia="宋体" w:cs="宋体"/>
          <w:b/>
          <w:sz w:val="28"/>
          <w:szCs w:val="24"/>
        </w:rPr>
        <w:t>阳泉市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>人民政府</w:t>
      </w:r>
      <w:r>
        <w:rPr>
          <w:rFonts w:ascii="宋体" w:hAnsi="宋体" w:eastAsia="宋体" w:cs="宋体"/>
          <w:b/>
          <w:sz w:val="28"/>
          <w:szCs w:val="24"/>
        </w:rPr>
        <w:t>门户网站查询状态及结果。</w:t>
      </w:r>
    </w:p>
    <w:p>
      <w:pPr>
        <w:adjustRightInd/>
        <w:snapToGrid/>
        <w:spacing w:before="100" w:beforeAutospacing="1" w:after="100" w:afterAutospacing="1"/>
        <w:rPr>
          <w:rFonts w:hint="eastAsia" w:ascii="宋体" w:hAnsi="宋体" w:eastAsia="宋体" w:cs="宋体"/>
          <w:b/>
          <w:sz w:val="28"/>
          <w:szCs w:val="24"/>
          <w:lang w:val="en-US" w:eastAsia="zh-CN"/>
        </w:rPr>
      </w:pPr>
      <w:r>
        <w:rPr>
          <w:rFonts w:ascii="宋体" w:hAnsi="宋体" w:eastAsia="宋体" w:cs="宋体"/>
          <w:b/>
          <w:sz w:val="28"/>
          <w:szCs w:val="24"/>
        </w:rPr>
        <w:t> </w:t>
      </w:r>
      <w:r>
        <w:rPr>
          <w:rFonts w:hint="eastAsia" w:ascii="宋体" w:hAnsi="宋体" w:eastAsia="宋体" w:cs="宋体"/>
          <w:b/>
          <w:sz w:val="28"/>
          <w:szCs w:val="24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gyOTQyMjE1OTVkY2RkM2I2OTFhMDRjMjk4YWU4M2IifQ=="/>
  </w:docVars>
  <w:rsids>
    <w:rsidRoot w:val="00D31D50"/>
    <w:rsid w:val="00131862"/>
    <w:rsid w:val="002379F5"/>
    <w:rsid w:val="00323B43"/>
    <w:rsid w:val="00343CA5"/>
    <w:rsid w:val="003B22C4"/>
    <w:rsid w:val="003D37D8"/>
    <w:rsid w:val="00426133"/>
    <w:rsid w:val="004358AB"/>
    <w:rsid w:val="006D5D5D"/>
    <w:rsid w:val="006E1AE9"/>
    <w:rsid w:val="008B7726"/>
    <w:rsid w:val="00931096"/>
    <w:rsid w:val="00964007"/>
    <w:rsid w:val="00B62056"/>
    <w:rsid w:val="00CA2177"/>
    <w:rsid w:val="00D31D50"/>
    <w:rsid w:val="00D344E2"/>
    <w:rsid w:val="00E81EB7"/>
    <w:rsid w:val="00F77CC7"/>
    <w:rsid w:val="044E5E91"/>
    <w:rsid w:val="0A8653B4"/>
    <w:rsid w:val="0D7D12D3"/>
    <w:rsid w:val="148E2BC8"/>
    <w:rsid w:val="225A332F"/>
    <w:rsid w:val="2366189C"/>
    <w:rsid w:val="23CC25EE"/>
    <w:rsid w:val="2E3A5DFF"/>
    <w:rsid w:val="309A3817"/>
    <w:rsid w:val="30E315B2"/>
    <w:rsid w:val="3A0F6C0C"/>
    <w:rsid w:val="3D8A08F4"/>
    <w:rsid w:val="3E88424F"/>
    <w:rsid w:val="40387C54"/>
    <w:rsid w:val="45EA7CB3"/>
    <w:rsid w:val="5AE70A12"/>
    <w:rsid w:val="5DE36CA9"/>
    <w:rsid w:val="64DD3383"/>
    <w:rsid w:val="6AE3441C"/>
    <w:rsid w:val="6DDE7E44"/>
    <w:rsid w:val="70A5392A"/>
    <w:rsid w:val="7A21765E"/>
    <w:rsid w:val="7C03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926</Characters>
  <Lines>7</Lines>
  <Paragraphs>2</Paragraphs>
  <TotalTime>2</TotalTime>
  <ScaleCrop>false</ScaleCrop>
  <LinksUpToDate>false</LinksUpToDate>
  <CharactersWithSpaces>989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2020-04-03T07:48:00Z</dcterms:created>
  <dc:creator>Administrator</dc:creator>
  <cp:lastModifiedBy>Lenovo</cp:lastModifiedBy>
  <cp:lastPrinted>2020-05-12T01:49:00Z</cp:lastPrinted>
  <dcterms:modified xsi:type="dcterms:W3CDTF">2022-10-25T03:05:32Z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F9C069CE166541DB876FB3C0DB627DD3</vt:lpwstr>
  </property>
</Properties>
</file>