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300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 xml:space="preserve"> </w:t>
      </w:r>
      <w:bookmarkStart w:id="0" w:name="_GoBack"/>
      <w:bookmarkEnd w:id="0"/>
      <w:r>
        <w:rPr>
          <w:rFonts w:hint="eastAsia" w:ascii="方正小标宋简体" w:hAnsi="方正小标宋简体" w:eastAsia="方正小标宋简体" w:cs="方正小标宋简体"/>
          <w:b w:val="0"/>
          <w:bCs w:val="0"/>
          <w:sz w:val="44"/>
          <w:szCs w:val="44"/>
          <w:lang w:eastAsia="zh-CN"/>
        </w:rPr>
        <w:t>高新区社会事务管理中心</w:t>
      </w:r>
      <w:r>
        <w:rPr>
          <w:rFonts w:hint="eastAsia" w:ascii="方正小标宋简体" w:hAnsi="方正小标宋简体" w:eastAsia="方正小标宋简体" w:cs="方正小标宋简体"/>
          <w:b w:val="0"/>
          <w:bCs w:val="0"/>
          <w:sz w:val="44"/>
          <w:szCs w:val="44"/>
        </w:rPr>
        <w:t>福利彩票公益金使用管理办法</w:t>
      </w:r>
    </w:p>
    <w:p w14:paraId="735E5B1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323BE6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为进一步规范福利彩票公益金的使用和管理，明确责任，规范程序，提高资金使用效益</w:t>
      </w:r>
      <w:r>
        <w:rPr>
          <w:rFonts w:hint="eastAsia" w:ascii="仿宋" w:hAnsi="仿宋" w:eastAsia="仿宋" w:cs="仿宋"/>
          <w:sz w:val="32"/>
          <w:szCs w:val="32"/>
          <w:lang w:eastAsia="zh-CN"/>
        </w:rPr>
        <w:t>。</w:t>
      </w:r>
      <w:r>
        <w:rPr>
          <w:rFonts w:hint="eastAsia" w:ascii="仿宋" w:hAnsi="仿宋" w:eastAsia="仿宋" w:cs="仿宋"/>
          <w:sz w:val="32"/>
          <w:szCs w:val="32"/>
        </w:rPr>
        <w:t>根据国家和省、市民政、财政部门的有关福利彩票公益金使用管理的规定，结合</w:t>
      </w:r>
      <w:r>
        <w:rPr>
          <w:rFonts w:hint="eastAsia" w:ascii="仿宋" w:hAnsi="仿宋" w:eastAsia="仿宋" w:cs="仿宋"/>
          <w:sz w:val="32"/>
          <w:szCs w:val="32"/>
          <w:lang w:eastAsia="zh-CN"/>
        </w:rPr>
        <w:t>高新区实际</w:t>
      </w:r>
      <w:r>
        <w:rPr>
          <w:rFonts w:hint="eastAsia" w:ascii="仿宋" w:hAnsi="仿宋" w:eastAsia="仿宋" w:cs="仿宋"/>
          <w:sz w:val="32"/>
          <w:szCs w:val="32"/>
        </w:rPr>
        <w:t>，特制定福利彩票公益金资金使用管理办法。</w:t>
      </w:r>
    </w:p>
    <w:p w14:paraId="5687EA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一、明确资金用途</w:t>
      </w:r>
    </w:p>
    <w:p w14:paraId="16B92E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福利彩票公益金(以下简称“公益金”)的使用，要严格遵循“扶老、助残、救孤、济困”的宗旨，专项用于老年人福利、残疾人福利、儿童福利、社会公益四个方面。</w:t>
      </w:r>
    </w:p>
    <w:p w14:paraId="3B5A1B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益金资助项目，按照轻重缓急进行排序，优先考虑可行、急需和有示范引领作用、社会效益好的项目。同时，要确保每年将50%以上的公益金用于支持发展养老服务业，并逐步提高投入比例;每年用于社会公益方面的公益金，应控制在年度公益金使用额度的10%以内。</w:t>
      </w:r>
    </w:p>
    <w:p w14:paraId="308BB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二、严格申报程序</w:t>
      </w:r>
    </w:p>
    <w:p w14:paraId="29330C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申请公益金资助的项目，应由申报单位(含公办、民办的机构、组织，下同)向</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(提交《项目申报书》，说明项目概况，包括:项目名称、内容，项目实施的必要性、可行性，进度安排，经济社会效益，投资预算、资金来源及已筹集资金情况，申请资助额度等，同时报送必需的其他相关资料。</w:t>
      </w:r>
    </w:p>
    <w:p w14:paraId="510068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社会事务管理中心</w:t>
      </w:r>
      <w:r>
        <w:rPr>
          <w:rFonts w:hint="eastAsia" w:ascii="仿宋" w:hAnsi="仿宋" w:eastAsia="仿宋" w:cs="仿宋"/>
          <w:sz w:val="32"/>
          <w:szCs w:val="32"/>
        </w:rPr>
        <w:t>分别对本级所辖申报项目的基本情况、必要性和可行性、申报资料的真实性及完整性等进行审核，提出意见。以正式文件向市民政局提交公益金资助项目申请报告。同时，应按照项目的不同性质，同时提交相关资料。</w:t>
      </w:r>
    </w:p>
    <w:p w14:paraId="38DC5F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1.属于基本建设项目的，上报下列资料:</w:t>
      </w:r>
    </w:p>
    <w:p w14:paraId="421CF3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在发改部门立项的项目，同时提交发改部门的可研批复和规划、国土、住建等部门的审批文件资料。</w:t>
      </w:r>
    </w:p>
    <w:p w14:paraId="4C3777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不在发改部门立项的日常建设、维修、改造项目，申请资助额度较小的(一般为5万元以下)，应提交工程明细和投资预算;投资额度较大的(一般为10万元以上)，项目单位应聘请有资质的第三方工程造价编制机构出具工程预算报告。</w:t>
      </w:r>
    </w:p>
    <w:p w14:paraId="559730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2.属于购置类项目的，上报购置设备、物品清单价格明细。</w:t>
      </w:r>
    </w:p>
    <w:p w14:paraId="14986D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3.属于服务类项目的，上报服务项目设计(实施)方案。</w:t>
      </w:r>
    </w:p>
    <w:p w14:paraId="679704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三、规范资金管理</w:t>
      </w:r>
    </w:p>
    <w:p w14:paraId="242EBA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(一)定向使用资金</w:t>
      </w:r>
    </w:p>
    <w:p w14:paraId="1EB7E8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受资助项目单位，必须严格按下拨公益金时所确定的方向和用途使用资金</w:t>
      </w:r>
      <w:r>
        <w:rPr>
          <w:rFonts w:hint="eastAsia" w:ascii="仿宋" w:hAnsi="仿宋" w:eastAsia="仿宋" w:cs="仿宋"/>
          <w:sz w:val="32"/>
          <w:szCs w:val="32"/>
          <w:lang w:eastAsia="zh-CN"/>
        </w:rPr>
        <w:t>：</w:t>
      </w:r>
    </w:p>
    <w:p w14:paraId="0961D5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下拨公益金明确为建设补助的，要专项用于与服务对象相关项目的新建、改扩建、维修改造、设施配套建设投资</w:t>
      </w:r>
      <w:r>
        <w:rPr>
          <w:rFonts w:hint="eastAsia" w:ascii="仿宋" w:hAnsi="仿宋" w:eastAsia="仿宋" w:cs="仿宋"/>
          <w:sz w:val="32"/>
          <w:szCs w:val="32"/>
          <w:lang w:eastAsia="zh-CN"/>
        </w:rPr>
        <w:t>；</w:t>
      </w:r>
    </w:p>
    <w:p w14:paraId="31281FF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明确为购置补助的，要专项用于服务对象所必需的设备、器械、用品购置</w:t>
      </w:r>
      <w:r>
        <w:rPr>
          <w:rFonts w:hint="eastAsia" w:ascii="仿宋" w:hAnsi="仿宋" w:eastAsia="仿宋" w:cs="仿宋"/>
          <w:sz w:val="32"/>
          <w:szCs w:val="32"/>
          <w:lang w:eastAsia="zh-CN"/>
        </w:rPr>
        <w:t>；</w:t>
      </w:r>
      <w:r>
        <w:rPr>
          <w:rFonts w:hint="eastAsia" w:ascii="仿宋" w:hAnsi="仿宋" w:eastAsia="仿宋" w:cs="仿宋"/>
          <w:sz w:val="32"/>
          <w:szCs w:val="32"/>
        </w:rPr>
        <w:t>明确为运营补助的(适宜小额资助且仅限于乡中心敬老院、日间照料中心、小型民办养老机构等)，可用于服务对象基本生活、医疗、护理等方面费用的补充。</w:t>
      </w:r>
    </w:p>
    <w:p w14:paraId="720551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公益金资助的服务类项目，属于政府采购范围的，按照政府采购相关规定，通过公开招标、邀请招标、竞争性谈判、询价、单一来源采购等方式组织采购，并注重考察承接主体的服务价格和服务质量</w:t>
      </w:r>
      <w:r>
        <w:rPr>
          <w:rFonts w:hint="eastAsia" w:ascii="仿宋" w:hAnsi="仿宋" w:eastAsia="仿宋" w:cs="仿宋"/>
          <w:sz w:val="32"/>
          <w:szCs w:val="32"/>
          <w:lang w:eastAsia="zh-CN"/>
        </w:rPr>
        <w:t>；</w:t>
      </w:r>
      <w:r>
        <w:rPr>
          <w:rFonts w:hint="eastAsia" w:ascii="仿宋" w:hAnsi="仿宋" w:eastAsia="仿宋" w:cs="仿宋"/>
          <w:sz w:val="32"/>
          <w:szCs w:val="32"/>
        </w:rPr>
        <w:t>不属于政府采购范围的项目，应充分引进竞争机制参照政府采购程序实施采购</w:t>
      </w:r>
      <w:r>
        <w:rPr>
          <w:rFonts w:hint="eastAsia" w:ascii="仿宋" w:hAnsi="仿宋" w:eastAsia="仿宋" w:cs="仿宋"/>
          <w:sz w:val="32"/>
          <w:szCs w:val="32"/>
          <w:lang w:eastAsia="zh-CN"/>
        </w:rPr>
        <w:t>。</w:t>
      </w:r>
      <w:r>
        <w:rPr>
          <w:rFonts w:hint="eastAsia" w:ascii="仿宋" w:hAnsi="仿宋" w:eastAsia="仿宋" w:cs="仿宋"/>
          <w:sz w:val="32"/>
          <w:szCs w:val="32"/>
        </w:rPr>
        <w:t>项目承接单位按照</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审核批准的项目设计(实施)方案使用资金。(参见《民政部关于民政部门利用福利彩票公益金向社会力量购买服务的指导意见》&lt;民发〔2014〕219号&gt;)</w:t>
      </w:r>
    </w:p>
    <w:p w14:paraId="584CC8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3.建设工程前期补助资金，按照项目进展、公益金使用规定和有关财务制度使用。</w:t>
      </w:r>
    </w:p>
    <w:p w14:paraId="0F023A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4.资助老年人和儿童福利护理人员技术培训、慈善事业人才培训与慈善宣传工作的公益金按照</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批准的培训计划使用。</w:t>
      </w:r>
    </w:p>
    <w:p w14:paraId="47E1EE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(二)加强财务管理</w:t>
      </w:r>
    </w:p>
    <w:p w14:paraId="158382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受公益金资助的项目单位，要严格执行财务制度和会计核算办法，实行专账(科目)管理、专款专用。</w:t>
      </w:r>
    </w:p>
    <w:p w14:paraId="133801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项目单位不得擅自改变公益金的使用方向和用途;不得挤占、挪用和超范围支出</w:t>
      </w:r>
      <w:r>
        <w:rPr>
          <w:rFonts w:hint="eastAsia" w:ascii="仿宋" w:hAnsi="仿宋" w:eastAsia="仿宋" w:cs="仿宋"/>
          <w:sz w:val="32"/>
          <w:szCs w:val="32"/>
          <w:lang w:eastAsia="zh-CN"/>
        </w:rPr>
        <w:t>；</w:t>
      </w:r>
      <w:r>
        <w:rPr>
          <w:rFonts w:hint="eastAsia" w:ascii="仿宋" w:hAnsi="仿宋" w:eastAsia="仿宋" w:cs="仿宋"/>
          <w:sz w:val="32"/>
          <w:szCs w:val="32"/>
        </w:rPr>
        <w:t>不得将公益金和其他资金“混账”核算、管理和使用</w:t>
      </w:r>
      <w:r>
        <w:rPr>
          <w:rFonts w:hint="eastAsia" w:ascii="仿宋" w:hAnsi="仿宋" w:eastAsia="仿宋" w:cs="仿宋"/>
          <w:sz w:val="32"/>
          <w:szCs w:val="32"/>
          <w:lang w:eastAsia="zh-CN"/>
        </w:rPr>
        <w:t>；</w:t>
      </w:r>
      <w:r>
        <w:rPr>
          <w:rFonts w:hint="eastAsia" w:ascii="仿宋" w:hAnsi="仿宋" w:eastAsia="仿宋" w:cs="仿宋"/>
          <w:sz w:val="32"/>
          <w:szCs w:val="32"/>
        </w:rPr>
        <w:t>不得将公益金以白条(收据)下账列支</w:t>
      </w:r>
      <w:r>
        <w:rPr>
          <w:rFonts w:hint="eastAsia" w:ascii="仿宋" w:hAnsi="仿宋" w:eastAsia="仿宋" w:cs="仿宋"/>
          <w:sz w:val="32"/>
          <w:szCs w:val="32"/>
          <w:lang w:eastAsia="zh-CN"/>
        </w:rPr>
        <w:t>；</w:t>
      </w:r>
      <w:r>
        <w:rPr>
          <w:rFonts w:hint="eastAsia" w:ascii="仿宋" w:hAnsi="仿宋" w:eastAsia="仿宋" w:cs="仿宋"/>
          <w:sz w:val="32"/>
          <w:szCs w:val="32"/>
        </w:rPr>
        <w:t>不得将公益金长期在账户滞留闲置</w:t>
      </w:r>
      <w:r>
        <w:rPr>
          <w:rFonts w:hint="eastAsia" w:ascii="仿宋" w:hAnsi="仿宋" w:eastAsia="仿宋" w:cs="仿宋"/>
          <w:sz w:val="32"/>
          <w:szCs w:val="32"/>
          <w:lang w:eastAsia="zh-CN"/>
        </w:rPr>
        <w:t>。</w:t>
      </w:r>
      <w:r>
        <w:rPr>
          <w:rFonts w:hint="eastAsia" w:ascii="仿宋" w:hAnsi="仿宋" w:eastAsia="仿宋" w:cs="仿宋"/>
          <w:sz w:val="32"/>
          <w:szCs w:val="32"/>
        </w:rPr>
        <w:t>公益金不得用于机关事业单位办公、维修等基本支出以及房屋场地租赁费用</w:t>
      </w:r>
      <w:r>
        <w:rPr>
          <w:rFonts w:hint="eastAsia" w:ascii="仿宋" w:hAnsi="仿宋" w:eastAsia="仿宋" w:cs="仿宋"/>
          <w:sz w:val="32"/>
          <w:szCs w:val="32"/>
          <w:lang w:eastAsia="zh-CN"/>
        </w:rPr>
        <w:t>；</w:t>
      </w:r>
      <w:r>
        <w:rPr>
          <w:rFonts w:hint="eastAsia" w:ascii="仿宋" w:hAnsi="仿宋" w:eastAsia="仿宋" w:cs="仿宋"/>
          <w:sz w:val="32"/>
          <w:szCs w:val="32"/>
        </w:rPr>
        <w:t>不得用于机构人员工资、福利、津补贴、差旅费等开支</w:t>
      </w:r>
      <w:r>
        <w:rPr>
          <w:rFonts w:hint="eastAsia" w:ascii="仿宋" w:hAnsi="仿宋" w:eastAsia="仿宋" w:cs="仿宋"/>
          <w:sz w:val="32"/>
          <w:szCs w:val="32"/>
          <w:lang w:eastAsia="zh-CN"/>
        </w:rPr>
        <w:t>；</w:t>
      </w:r>
      <w:r>
        <w:rPr>
          <w:rFonts w:hint="eastAsia" w:ascii="仿宋" w:hAnsi="仿宋" w:eastAsia="仿宋" w:cs="仿宋"/>
          <w:sz w:val="32"/>
          <w:szCs w:val="32"/>
        </w:rPr>
        <w:t>不得用于以营利为目的的活动。</w:t>
      </w:r>
    </w:p>
    <w:p w14:paraId="6581F0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项目单位应根据项目实施进度和实际需要使用公益金。原则上，公益金应按年度使用。对无正当理由长期在账户滞留闲置的公益金，由</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w:t>
      </w:r>
      <w:r>
        <w:rPr>
          <w:rFonts w:hint="eastAsia" w:ascii="仿宋" w:hAnsi="仿宋" w:eastAsia="仿宋" w:cs="仿宋"/>
          <w:sz w:val="32"/>
          <w:szCs w:val="32"/>
          <w:lang w:eastAsia="zh-CN"/>
        </w:rPr>
        <w:t>市</w:t>
      </w:r>
      <w:r>
        <w:rPr>
          <w:rFonts w:hint="eastAsia" w:ascii="仿宋" w:hAnsi="仿宋" w:eastAsia="仿宋" w:cs="仿宋"/>
          <w:sz w:val="32"/>
          <w:szCs w:val="32"/>
        </w:rPr>
        <w:t>民政局收回重新安排使用。由于客观原因确需变更公益金使用方向和额度的，应逐级上报市民政局审核提出意见</w:t>
      </w:r>
      <w:r>
        <w:rPr>
          <w:rFonts w:hint="eastAsia" w:ascii="仿宋" w:hAnsi="仿宋" w:eastAsia="仿宋" w:cs="仿宋"/>
          <w:sz w:val="32"/>
          <w:szCs w:val="32"/>
          <w:lang w:eastAsia="zh-CN"/>
        </w:rPr>
        <w:t>，</w:t>
      </w:r>
      <w:r>
        <w:rPr>
          <w:rFonts w:hint="eastAsia" w:ascii="仿宋" w:hAnsi="仿宋" w:eastAsia="仿宋" w:cs="仿宋"/>
          <w:sz w:val="32"/>
          <w:szCs w:val="32"/>
        </w:rPr>
        <w:t>经市财政局批准后调整变更。</w:t>
      </w:r>
    </w:p>
    <w:p w14:paraId="7CB351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除大型重点工程、有特殊急需的项目外，其他项目在一个年度内一般只享受一次公益金资助。</w:t>
      </w:r>
    </w:p>
    <w:p w14:paraId="1295E2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四、鼓励社会参与</w:t>
      </w:r>
    </w:p>
    <w:p w14:paraId="08299D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对社会力量参与社会福利和社会公益服务的项目，择优给予公益金资助。</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应加强对项目的考察、筛选、审核，坚持公益金使用方向，考虑项目实施的资金需求和实际困难，注重项目的公益性、示范性和服务对象的满意度、社会公认度。同时，对项目实施全过程实施跟踪监督。</w:t>
      </w:r>
    </w:p>
    <w:p w14:paraId="36B44F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依法在民政部门登记成立的社会组织和公办福利机构合作建设项目(如公建民营项目、PPP项目等)给予资助的，公益金资助部分所形成的固定资产属国有资产。在项目竣工后，应及时进行决算审计，按规定进行资产界定并做好财务登记。</w:t>
      </w:r>
    </w:p>
    <w:p w14:paraId="13657A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五、明确监管责任</w:t>
      </w:r>
    </w:p>
    <w:p w14:paraId="355257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社会事务管理中心</w:t>
      </w:r>
      <w:r>
        <w:rPr>
          <w:rFonts w:hint="eastAsia" w:ascii="仿宋" w:hAnsi="仿宋" w:eastAsia="仿宋" w:cs="仿宋"/>
          <w:sz w:val="32"/>
          <w:szCs w:val="32"/>
        </w:rPr>
        <w:t>、乡</w:t>
      </w:r>
      <w:r>
        <w:rPr>
          <w:rFonts w:hint="eastAsia" w:ascii="仿宋" w:hAnsi="仿宋" w:eastAsia="仿宋" w:cs="仿宋"/>
          <w:sz w:val="32"/>
          <w:szCs w:val="32"/>
          <w:lang w:eastAsia="zh-CN"/>
        </w:rPr>
        <w:t>（中心）</w:t>
      </w:r>
      <w:r>
        <w:rPr>
          <w:rFonts w:hint="eastAsia" w:ascii="仿宋" w:hAnsi="仿宋" w:eastAsia="仿宋" w:cs="仿宋"/>
          <w:sz w:val="32"/>
          <w:szCs w:val="32"/>
        </w:rPr>
        <w:t>、项目单位要切实贯彻“分级负责、属地管理”、“管业务必须管项目”和“谁使用、谁管理、谁负责”的原则，履行好公益金使用管理的相关职责。制定公益金使用管理制度，规范财务管理。</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对本级管辖的公益金资助项目的实施和资金使用情况负总责，承担主体监管责任。受公益金资助的社会力量和公办福利机构合作建设项目，公办福利机构对公益金的使用管理负具体监管责任</w:t>
      </w:r>
      <w:r>
        <w:rPr>
          <w:rFonts w:hint="eastAsia" w:ascii="仿宋" w:hAnsi="仿宋" w:eastAsia="仿宋" w:cs="仿宋"/>
          <w:sz w:val="32"/>
          <w:szCs w:val="32"/>
          <w:lang w:eastAsia="zh-CN"/>
        </w:rPr>
        <w:t>；</w:t>
      </w:r>
      <w:r>
        <w:rPr>
          <w:rFonts w:hint="eastAsia" w:ascii="仿宋" w:hAnsi="仿宋" w:eastAsia="仿宋" w:cs="仿宋"/>
          <w:sz w:val="32"/>
          <w:szCs w:val="32"/>
        </w:rPr>
        <w:t>受公益金资助的乡中心敬老院、城乡老年人日间照料中心，所在乡人民政府(</w:t>
      </w:r>
      <w:r>
        <w:rPr>
          <w:rFonts w:hint="eastAsia" w:ascii="仿宋" w:hAnsi="仿宋" w:eastAsia="仿宋" w:cs="仿宋"/>
          <w:sz w:val="32"/>
          <w:szCs w:val="32"/>
          <w:lang w:eastAsia="zh-CN"/>
        </w:rPr>
        <w:t>管理服务中心</w:t>
      </w:r>
      <w:r>
        <w:rPr>
          <w:rFonts w:hint="eastAsia" w:ascii="仿宋" w:hAnsi="仿宋" w:eastAsia="仿宋" w:cs="仿宋"/>
          <w:sz w:val="32"/>
          <w:szCs w:val="32"/>
        </w:rPr>
        <w:t>)对公益金的使用管理负具体监管责任。受公益金资助项目单位对公益金的使用管理负直接责任。</w:t>
      </w:r>
    </w:p>
    <w:p w14:paraId="4DB40D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每次下拨公益金时，拨款文件同时下发乡人民政府(</w:t>
      </w:r>
      <w:r>
        <w:rPr>
          <w:rFonts w:hint="eastAsia" w:ascii="仿宋" w:hAnsi="仿宋" w:eastAsia="仿宋" w:cs="仿宋"/>
          <w:sz w:val="32"/>
          <w:szCs w:val="32"/>
          <w:lang w:eastAsia="zh-CN"/>
        </w:rPr>
        <w:t>管理服务中心</w:t>
      </w:r>
      <w:r>
        <w:rPr>
          <w:rFonts w:hint="eastAsia" w:ascii="仿宋" w:hAnsi="仿宋" w:eastAsia="仿宋" w:cs="仿宋"/>
          <w:sz w:val="32"/>
          <w:szCs w:val="32"/>
        </w:rPr>
        <w:t>)。受资助项目单位，要按照《阳泉市民政局关于进一步加强市级福利彩票公益金使用管理工作的若干意见》（阳民字〔2017〕50号）及本办法精神，作出加强公益金使用管理的书面承诺。</w:t>
      </w:r>
    </w:p>
    <w:p w14:paraId="4E4E38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六、严格跟踪问效</w:t>
      </w:r>
    </w:p>
    <w:p w14:paraId="021B6D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公益金资助项目，属于建设项目的，在项目完成后应委托有资质的第三方机构及时进行竣工决算审计，并申请</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进行验收。决算审计和验收报告报</w:t>
      </w:r>
      <w:r>
        <w:rPr>
          <w:rFonts w:hint="eastAsia" w:ascii="仿宋" w:hAnsi="仿宋" w:eastAsia="仿宋" w:cs="仿宋"/>
          <w:sz w:val="32"/>
          <w:szCs w:val="32"/>
          <w:lang w:eastAsia="zh-CN"/>
        </w:rPr>
        <w:t>市</w:t>
      </w:r>
      <w:r>
        <w:rPr>
          <w:rFonts w:hint="eastAsia" w:ascii="仿宋" w:hAnsi="仿宋" w:eastAsia="仿宋" w:cs="仿宋"/>
          <w:sz w:val="32"/>
          <w:szCs w:val="32"/>
        </w:rPr>
        <w:t>民政局备案。属于购置项目的，应完善采购、管理、使用的财务手续，接受</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的检查、抽查。属于服务项目的，</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应加强跟踪监督，组织中期评估，并在项目完成后进行验收。</w:t>
      </w:r>
    </w:p>
    <w:p w14:paraId="784FD3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社会事务管理中心</w:t>
      </w:r>
      <w:r>
        <w:rPr>
          <w:rFonts w:hint="eastAsia" w:ascii="仿宋" w:hAnsi="仿宋" w:eastAsia="仿宋" w:cs="仿宋"/>
          <w:sz w:val="32"/>
          <w:szCs w:val="32"/>
        </w:rPr>
        <w:t>要定期不定期对公益金使用管理情况进行督查。原则上，</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对资助项目的督查要全部覆盖。</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要在每年3月底之前，对所属公益金资助项目的实施和资金使用情况，通过实地查看验收、考核等方式进行绩效评估和总结，汇总报市民政局。</w:t>
      </w:r>
    </w:p>
    <w:p w14:paraId="4B65E8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对公益金资助的重点项目，</w:t>
      </w:r>
      <w:r>
        <w:rPr>
          <w:rFonts w:hint="eastAsia" w:ascii="仿宋" w:hAnsi="仿宋" w:eastAsia="仿宋" w:cs="仿宋"/>
          <w:sz w:val="32"/>
          <w:szCs w:val="32"/>
          <w:lang w:eastAsia="zh-CN"/>
        </w:rPr>
        <w:t>社会事务管理中心</w:t>
      </w:r>
      <w:r>
        <w:rPr>
          <w:rFonts w:hint="eastAsia" w:ascii="仿宋" w:hAnsi="仿宋" w:eastAsia="仿宋" w:cs="仿宋"/>
          <w:sz w:val="32"/>
          <w:szCs w:val="32"/>
        </w:rPr>
        <w:t>应会同财政、审计部门进行重点督查以及跟踪宙计、延伸审计。</w:t>
      </w:r>
    </w:p>
    <w:p w14:paraId="45EAD5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受公益金资助的项目单位应主动接受各级财政、审计部门和纪检、监察机关的监督检查。</w:t>
      </w:r>
    </w:p>
    <w:p w14:paraId="197F9A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七、加强信息公开</w:t>
      </w:r>
    </w:p>
    <w:p w14:paraId="555C17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公益金资助的基本建设设施、设备、社会福利服务项目及其他社会公益活动等，应当依据有关规定以显著方式标明资助标识。</w:t>
      </w:r>
    </w:p>
    <w:p w14:paraId="47D9AD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社会事务管理中心</w:t>
      </w:r>
      <w:r>
        <w:rPr>
          <w:rFonts w:hint="eastAsia" w:ascii="仿宋" w:hAnsi="仿宋" w:eastAsia="仿宋" w:cs="仿宋"/>
          <w:sz w:val="32"/>
          <w:szCs w:val="32"/>
        </w:rPr>
        <w:t>每年通过官网主动向社会公开上一年度公益金使用管理情况，接受社会监督。</w:t>
      </w:r>
    </w:p>
    <w:p w14:paraId="43F1C4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八、严肃责任追究</w:t>
      </w:r>
    </w:p>
    <w:p w14:paraId="3CC45D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对违反规定，截留、挤占、挪用</w:t>
      </w:r>
      <w:r>
        <w:rPr>
          <w:rFonts w:hint="eastAsia" w:ascii="仿宋" w:hAnsi="仿宋" w:eastAsia="仿宋" w:cs="仿宋"/>
          <w:sz w:val="32"/>
          <w:szCs w:val="32"/>
          <w:lang w:eastAsia="zh-CN"/>
        </w:rPr>
        <w:t>公益金</w:t>
      </w:r>
      <w:r>
        <w:rPr>
          <w:rFonts w:hint="eastAsia" w:ascii="仿宋" w:hAnsi="仿宋" w:eastAsia="仿宋" w:cs="仿宋"/>
          <w:sz w:val="32"/>
          <w:szCs w:val="32"/>
        </w:rPr>
        <w:t>的，弄虚作假，虚报、虚列公益金支出的，消极懈怠，长期滞留闲置公益金的，敷衍塞责，不认真履行监管责任的，要严肃追究相关单位和负责人的责任。</w:t>
      </w:r>
    </w:p>
    <w:p w14:paraId="07BD46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603EA553">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月10日</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728B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F998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1F998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A85B2">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xMzY1OTBlODgxMDZmNWRlM2VhYmI0NmFmMjk1ZjQifQ=="/>
  </w:docVars>
  <w:rsids>
    <w:rsidRoot w:val="00000000"/>
    <w:rsid w:val="156102B8"/>
    <w:rsid w:val="2536631F"/>
    <w:rsid w:val="2A386057"/>
    <w:rsid w:val="2D540D38"/>
    <w:rsid w:val="2E905A9E"/>
    <w:rsid w:val="4990559D"/>
    <w:rsid w:val="4D1B3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2909</Words>
  <Characters>2937</Characters>
  <Lines>0</Lines>
  <Paragraphs>0</Paragraphs>
  <TotalTime>11</TotalTime>
  <ScaleCrop>false</ScaleCrop>
  <LinksUpToDate>false</LinksUpToDate>
  <CharactersWithSpaces>2937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2023-06-27T03:16:00Z</dcterms:created>
  <dc:creator>Administrator</dc:creator>
  <cp:lastModifiedBy>久久</cp:lastModifiedBy>
  <cp:lastPrinted>2025-07-03T10:28:51Z</cp:lastPrinted>
  <dcterms:modified xsi:type="dcterms:W3CDTF">2025-07-03T10:37:47Z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D95FE172DDB54C4AB2401AF6D1335C62_12</vt:lpwstr>
  </property>
  <property fmtid="{D5CDD505-2E9C-101B-9397-08002B2CF9AE}" pid="4" name="KSOTemplateDocerSaveRecord">
    <vt:lpwstr>eyJoZGlkIjoiODYxMzY1OTBlODgxMDZmNWRlM2VhYmI0NmFmMjk1ZjQiLCJ1c2VySWQiOiI0NDU2NzU2ODcifQ==</vt:lpwstr>
  </property>
</Properties>
</file>