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560" w:hanging="640" w:hanging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560" w:hanging="640" w:hanging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自觉遵守国家法律、法规及政策，建立健全企业制度体系，保证在安全生产、环保、消防、应急、市场规范、审批和纳税等方面，遵守省、市、区的各项规章制度。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640" w:firstLine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填报的《阳泉高新技术产业开发区政策兑现事项申请表(普惠类)》中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涉及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信息及所提供的材料均真实、准确、有效，对所提供材料依法承担法律责任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，若申报材料中有虚假、伪造等违规情况，自愿取消申报资格或按要求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退回相应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奖补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640" w:firstLine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收到的奖励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将按照国家有关财务会计制度及时做好账务处理，保证专款专用，不用于其他用途。严格遵守高新区的各项管理规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，按时完成高新区管委会的资金使用情况追踪，每季度报回相应情况。如产生任何经济和法律责任均由本公司承担。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firstLine="640" w:firstLineChars="200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、上年度未受到环保、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应急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部门的行政处罚，未被工商部门列入经营异常名录，且并无不良信用记录和违规营业行为。</w:t>
      </w: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contextualSpacing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contextualSpacing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项目单位或企业公章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contextualSpacing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jE5MzQ1ZDk0NDBjYWFlMjg0YzEwOTA4NjIxZWEifQ=="/>
  </w:docVars>
  <w:rsids>
    <w:rsidRoot w:val="1C515B03"/>
    <w:rsid w:val="1C5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eastAsia="黑体"/>
      <w:bCs/>
      <w:sz w:val="36"/>
      <w:szCs w:val="30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2023-09-05T11:04:00Z</dcterms:created>
  <dc:creator>Administrator</dc:creator>
  <cp:lastModifiedBy>Administrator</cp:lastModifiedBy>
  <dcterms:modified xsi:type="dcterms:W3CDTF">2023-09-05T11:04:49Z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2052-12.1.0.15351</vt:lpwstr>
  </property>
  <property fmtid="{D5CDD505-2E9C-101B-9397-08002B2CF9AE}" pid="3" name="ICV">
    <vt:lpwstr>9A82CE6AC24B4BD4BB4C69D8EE286F0E_11</vt:lpwstr>
  </property>
</Properties>
</file>