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Times New Roman" w:hAnsi="Times New Roman" w:eastAsia="楷体_GB2312" w:cs="Times New Roman"/>
          <w:b/>
          <w:bCs/>
          <w:sz w:val="36"/>
          <w:szCs w:val="36"/>
        </w:rPr>
      </w:pPr>
      <w:r>
        <w:rPr>
          <w:rFonts w:hint="eastAsia" w:ascii="Times New Roman" w:hAnsi="Times New Roman" w:eastAsia="楷体_GB2312" w:cs="Times New Roman"/>
          <w:b/>
          <w:bCs/>
          <w:sz w:val="36"/>
          <w:szCs w:val="36"/>
        </w:rPr>
        <w:t xml:space="preserve"> </w:t>
      </w:r>
    </w:p>
    <w:p>
      <w:pPr>
        <w:jc w:val="right"/>
        <w:rPr>
          <w:rFonts w:ascii="Times New Roman" w:hAnsi="Times New Roman" w:eastAsia="楷体_GB2312" w:cs="Times New Roman"/>
          <w:b/>
          <w:bCs/>
          <w:szCs w:val="21"/>
        </w:rPr>
      </w:pPr>
    </w:p>
    <w:p>
      <w:pPr>
        <w:spacing w:line="580" w:lineRule="exact"/>
        <w:jc w:val="center"/>
        <w:rPr>
          <w:rFonts w:ascii="Times New Roman" w:hAnsi="Times New Roman" w:eastAsia="方正小标宋简体" w:cs="Times New Roman"/>
          <w:sz w:val="44"/>
          <w:szCs w:val="44"/>
        </w:rPr>
      </w:pPr>
    </w:p>
    <w:p>
      <w:pPr>
        <w:spacing w:line="700" w:lineRule="exact"/>
        <w:jc w:val="center"/>
        <w:rPr>
          <w:rFonts w:ascii="Times New Roman" w:hAnsi="Times New Roman" w:eastAsia="方正小标宋简体" w:cs="Times New Roman"/>
          <w:sz w:val="44"/>
          <w:szCs w:val="44"/>
        </w:rPr>
      </w:pPr>
    </w:p>
    <w:p>
      <w:pPr>
        <w:spacing w:line="7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阳泉市“十四五”教育事业发展规划</w:t>
      </w:r>
    </w:p>
    <w:p>
      <w:pPr>
        <w:jc w:val="center"/>
        <w:rPr>
          <w:rFonts w:ascii="Times New Roman" w:hAnsi="Times New Roman" w:eastAsia="方正小标宋简体" w:cs="Times New Roman"/>
          <w:b/>
          <w:bCs/>
          <w:sz w:val="36"/>
          <w:szCs w:val="36"/>
        </w:rPr>
      </w:pPr>
    </w:p>
    <w:p>
      <w:pPr>
        <w:pStyle w:val="2"/>
        <w:rPr>
          <w:rFonts w:ascii="Times New Roman" w:hAnsi="Times New Roman" w:eastAsia="方正小标宋简体"/>
          <w:b/>
          <w:bCs/>
          <w:sz w:val="36"/>
          <w:szCs w:val="36"/>
        </w:rPr>
      </w:pPr>
    </w:p>
    <w:p>
      <w:pPr>
        <w:pStyle w:val="4"/>
        <w:rPr>
          <w:rFonts w:ascii="Times New Roman" w:hAnsi="Times New Roman" w:eastAsia="方正小标宋简体"/>
          <w:b/>
          <w:bCs/>
          <w:sz w:val="36"/>
          <w:szCs w:val="36"/>
        </w:rPr>
      </w:pPr>
    </w:p>
    <w:p>
      <w:pPr>
        <w:pStyle w:val="4"/>
        <w:rPr>
          <w:rFonts w:ascii="Times New Roman" w:hAnsi="Times New Roman" w:eastAsia="方正小标宋简体"/>
          <w:b/>
          <w:bCs/>
          <w:sz w:val="36"/>
          <w:szCs w:val="36"/>
        </w:rPr>
      </w:pPr>
    </w:p>
    <w:p>
      <w:pPr>
        <w:pStyle w:val="4"/>
        <w:rPr>
          <w:rFonts w:ascii="Times New Roman" w:hAnsi="Times New Roman" w:eastAsia="方正小标宋简体"/>
          <w:b/>
          <w:bCs/>
          <w:sz w:val="36"/>
          <w:szCs w:val="36"/>
        </w:rPr>
      </w:pPr>
    </w:p>
    <w:p>
      <w:pPr>
        <w:pStyle w:val="5"/>
        <w:rPr>
          <w:rFonts w:ascii="Times New Roman" w:hAnsi="Times New Roman"/>
        </w:rPr>
      </w:pPr>
    </w:p>
    <w:p>
      <w:pPr>
        <w:pStyle w:val="4"/>
        <w:ind w:left="0" w:leftChars="0"/>
        <w:rPr>
          <w:rFonts w:ascii="Times New Roman" w:hAnsi="Times New Roman" w:eastAsia="方正小标宋简体"/>
          <w:b/>
          <w:bCs/>
          <w:sz w:val="36"/>
          <w:szCs w:val="36"/>
        </w:rPr>
      </w:pPr>
    </w:p>
    <w:p>
      <w:pPr>
        <w:pStyle w:val="5"/>
        <w:ind w:left="0" w:leftChars="0" w:firstLine="0" w:firstLineChars="0"/>
        <w:rPr>
          <w:rFonts w:ascii="Times New Roman" w:hAnsi="Times New Roman"/>
        </w:rPr>
      </w:pPr>
    </w:p>
    <w:p>
      <w:pPr>
        <w:pStyle w:val="4"/>
        <w:rPr>
          <w:rFonts w:ascii="Times New Roman" w:hAnsi="Times New Roman" w:eastAsia="方正小标宋简体"/>
          <w:b/>
          <w:bCs/>
          <w:sz w:val="36"/>
          <w:szCs w:val="36"/>
        </w:rPr>
      </w:pPr>
    </w:p>
    <w:p>
      <w:pPr>
        <w:pStyle w:val="5"/>
        <w:rPr>
          <w:rFonts w:ascii="Times New Roman" w:hAnsi="Times New Roman"/>
        </w:rPr>
      </w:pPr>
    </w:p>
    <w:p>
      <w:pPr>
        <w:pStyle w:val="4"/>
        <w:rPr>
          <w:rFonts w:ascii="Times New Roman" w:hAnsi="Times New Roman" w:eastAsia="方正小标宋简体"/>
          <w:b/>
          <w:bCs/>
          <w:sz w:val="36"/>
          <w:szCs w:val="36"/>
        </w:rPr>
      </w:pPr>
    </w:p>
    <w:p>
      <w:pPr>
        <w:pStyle w:val="5"/>
        <w:rPr>
          <w:rFonts w:ascii="Times New Roman" w:hAnsi="Times New Roman"/>
        </w:rPr>
      </w:pPr>
    </w:p>
    <w:p>
      <w:pPr>
        <w:pStyle w:val="4"/>
        <w:rPr>
          <w:rFonts w:ascii="Times New Roman" w:hAnsi="Times New Roman" w:eastAsia="楷体_GB2312"/>
          <w:b/>
          <w:bCs/>
          <w:sz w:val="36"/>
          <w:szCs w:val="36"/>
        </w:rPr>
      </w:pPr>
    </w:p>
    <w:p>
      <w:pPr>
        <w:spacing w:line="580" w:lineRule="exact"/>
        <w:jc w:val="center"/>
        <w:rPr>
          <w:rFonts w:ascii="Times New Roman" w:hAnsi="Times New Roman" w:eastAsia="楷体_GB2312" w:cs="Times New Roman"/>
          <w:b/>
          <w:bCs/>
          <w:sz w:val="36"/>
          <w:szCs w:val="36"/>
        </w:rPr>
      </w:pPr>
      <w:r>
        <w:rPr>
          <w:rFonts w:ascii="Times New Roman" w:hAnsi="Times New Roman" w:eastAsia="楷体_GB2312" w:cs="Times New Roman"/>
          <w:b/>
          <w:bCs/>
          <w:sz w:val="36"/>
          <w:szCs w:val="36"/>
        </w:rPr>
        <w:t>二</w:t>
      </w:r>
      <w:r>
        <w:rPr>
          <w:rFonts w:ascii="Times New Roman" w:hAnsi="Times New Roman" w:eastAsia="微软雅黑" w:cs="Times New Roman"/>
          <w:b/>
          <w:bCs/>
          <w:sz w:val="36"/>
          <w:szCs w:val="36"/>
        </w:rPr>
        <w:t>〇</w:t>
      </w:r>
      <w:r>
        <w:rPr>
          <w:rFonts w:ascii="Times New Roman" w:hAnsi="Times New Roman" w:eastAsia="楷体_GB2312" w:cs="Times New Roman"/>
          <w:b/>
          <w:bCs/>
          <w:sz w:val="36"/>
          <w:szCs w:val="36"/>
        </w:rPr>
        <w:t>二二年四月</w:t>
      </w:r>
    </w:p>
    <w:p>
      <w:pPr>
        <w:jc w:val="center"/>
        <w:rPr>
          <w:rFonts w:ascii="Times New Roman" w:hAnsi="Times New Roman" w:cs="Times New Roman"/>
          <w:sz w:val="28"/>
          <w:szCs w:val="28"/>
        </w:rPr>
        <w:sectPr>
          <w:headerReference r:id="rId3" w:type="default"/>
          <w:headerReference r:id="rId4" w:type="even"/>
          <w:pgSz w:w="11906" w:h="16838"/>
          <w:pgMar w:top="2098" w:right="1587" w:bottom="1984" w:left="1587" w:header="851" w:footer="992" w:gutter="0"/>
          <w:cols w:space="720" w:num="1"/>
          <w:docGrid w:type="lines" w:linePitch="312" w:charSpace="0"/>
        </w:sectPr>
      </w:pPr>
    </w:p>
    <w:p>
      <w:pPr>
        <w:spacing w:after="156" w:afterLines="50" w:line="660" w:lineRule="exact"/>
        <w:ind w:firstLine="880" w:firstLineChars="200"/>
        <w:rPr>
          <w:rFonts w:ascii="Times New Roman" w:hAnsi="Times New Roman" w:eastAsia="方正小标宋简体" w:cs="Times New Roman"/>
          <w:sz w:val="44"/>
          <w:szCs w:val="44"/>
        </w:rPr>
        <w:sectPr>
          <w:footerReference r:id="rId5" w:type="default"/>
          <w:pgSz w:w="11906" w:h="16838"/>
          <w:pgMar w:top="1871" w:right="1701" w:bottom="1701" w:left="1701" w:header="851" w:footer="992" w:gutter="0"/>
          <w:cols w:space="425" w:num="1"/>
          <w:docGrid w:type="lines" w:linePitch="312" w:charSpace="0"/>
        </w:sectPr>
      </w:pPr>
    </w:p>
    <w:sdt>
      <w:sdtPr>
        <w:rPr>
          <w:rFonts w:ascii="Times New Roman" w:hAnsi="Times New Roman" w:cs="Times New Roman" w:eastAsiaTheme="minorEastAsia"/>
          <w:b w:val="0"/>
          <w:bCs w:val="0"/>
          <w:color w:val="auto"/>
          <w:kern w:val="2"/>
          <w:sz w:val="21"/>
          <w:szCs w:val="22"/>
          <w:lang w:val="zh-CN"/>
        </w:rPr>
        <w:id w:val="11530490"/>
        <w:docPartObj>
          <w:docPartGallery w:val="Table of Contents"/>
          <w:docPartUnique/>
        </w:docPartObj>
      </w:sdtPr>
      <w:sdtEndPr>
        <w:rPr>
          <w:rFonts w:ascii="Times New Roman" w:hAnsi="Times New Roman" w:cs="Times New Roman" w:eastAsiaTheme="minorEastAsia"/>
          <w:b w:val="0"/>
          <w:bCs w:val="0"/>
          <w:color w:val="auto"/>
          <w:kern w:val="2"/>
          <w:sz w:val="30"/>
          <w:szCs w:val="30"/>
          <w:lang w:val="en-US"/>
        </w:rPr>
      </w:sdtEndPr>
      <w:sdtContent>
        <w:p>
          <w:pPr>
            <w:pStyle w:val="36"/>
            <w:jc w:val="center"/>
            <w:rPr>
              <w:rFonts w:ascii="Times New Roman" w:hAnsi="Times New Roman" w:cs="Times New Roman"/>
            </w:rPr>
          </w:pPr>
          <w:r>
            <w:rPr>
              <w:rFonts w:ascii="Times New Roman" w:hAnsi="Times New Roman" w:eastAsia="黑体" w:cs="Times New Roman"/>
              <w:b w:val="0"/>
              <w:color w:val="auto"/>
              <w:sz w:val="44"/>
              <w:szCs w:val="44"/>
              <w:lang w:val="zh-CN"/>
            </w:rPr>
            <w:t>目录</w:t>
          </w:r>
        </w:p>
        <w:p>
          <w:pPr>
            <w:pStyle w:val="16"/>
            <w:tabs>
              <w:tab w:val="right" w:leader="dot" w:pos="8494"/>
            </w:tabs>
            <w:rPr>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TOC \o "1-3" \h \z \u </w:instrText>
          </w:r>
          <w:r>
            <w:rPr>
              <w:rFonts w:ascii="Times New Roman" w:hAnsi="Times New Roman" w:cs="Times New Roman"/>
              <w:sz w:val="28"/>
              <w:szCs w:val="28"/>
            </w:rPr>
            <w:fldChar w:fldCharType="separate"/>
          </w:r>
          <w:r>
            <w:fldChar w:fldCharType="begin"/>
          </w:r>
          <w:r>
            <w:instrText xml:space="preserve"> HYPERLINK \l "_Toc99381120" </w:instrText>
          </w:r>
          <w:r>
            <w:fldChar w:fldCharType="separate"/>
          </w:r>
          <w:r>
            <w:rPr>
              <w:rStyle w:val="24"/>
              <w:rFonts w:hint="eastAsia" w:ascii="Times New Roman" w:hAnsi="Times New Roman" w:eastAsia="黑体" w:cs="Times New Roman"/>
              <w:sz w:val="28"/>
              <w:szCs w:val="28"/>
            </w:rPr>
            <w:t>一、发展基础和面临形势</w:t>
          </w:r>
          <w:r>
            <w:rPr>
              <w:sz w:val="28"/>
              <w:szCs w:val="28"/>
            </w:rPr>
            <w:tab/>
          </w:r>
          <w:r>
            <w:rPr>
              <w:sz w:val="28"/>
              <w:szCs w:val="28"/>
            </w:rPr>
            <w:fldChar w:fldCharType="begin"/>
          </w:r>
          <w:r>
            <w:rPr>
              <w:sz w:val="28"/>
              <w:szCs w:val="28"/>
            </w:rPr>
            <w:instrText xml:space="preserve"> PAGEREF _Toc99381120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17"/>
            <w:tabs>
              <w:tab w:val="right" w:leader="dot" w:pos="8494"/>
            </w:tabs>
            <w:rPr>
              <w:sz w:val="28"/>
              <w:szCs w:val="28"/>
            </w:rPr>
          </w:pPr>
          <w:r>
            <w:fldChar w:fldCharType="begin"/>
          </w:r>
          <w:r>
            <w:instrText xml:space="preserve"> HYPERLINK \l "_Toc99381121" </w:instrText>
          </w:r>
          <w:r>
            <w:fldChar w:fldCharType="separate"/>
          </w:r>
          <w:r>
            <w:rPr>
              <w:rStyle w:val="24"/>
              <w:rFonts w:hint="eastAsia" w:ascii="Times New Roman" w:hAnsi="Times New Roman" w:eastAsia="楷体_GB2312" w:cs="Times New Roman"/>
              <w:sz w:val="28"/>
              <w:szCs w:val="28"/>
            </w:rPr>
            <w:t>（一）</w:t>
          </w:r>
          <w:r>
            <w:rPr>
              <w:rStyle w:val="24"/>
              <w:rFonts w:ascii="Times New Roman" w:hAnsi="Times New Roman" w:eastAsia="楷体_GB2312" w:cs="Times New Roman"/>
              <w:sz w:val="28"/>
              <w:szCs w:val="28"/>
            </w:rPr>
            <w:t>“</w:t>
          </w:r>
          <w:r>
            <w:rPr>
              <w:rStyle w:val="24"/>
              <w:rFonts w:hint="eastAsia" w:ascii="Times New Roman" w:hAnsi="Times New Roman" w:eastAsia="楷体_GB2312" w:cs="Times New Roman"/>
              <w:sz w:val="28"/>
              <w:szCs w:val="28"/>
            </w:rPr>
            <w:t>十三五</w:t>
          </w:r>
          <w:r>
            <w:rPr>
              <w:rStyle w:val="24"/>
              <w:rFonts w:ascii="Times New Roman" w:hAnsi="Times New Roman" w:eastAsia="楷体_GB2312" w:cs="Times New Roman"/>
              <w:sz w:val="28"/>
              <w:szCs w:val="28"/>
            </w:rPr>
            <w:t>”</w:t>
          </w:r>
          <w:r>
            <w:rPr>
              <w:rStyle w:val="24"/>
              <w:rFonts w:hint="eastAsia" w:ascii="Times New Roman" w:hAnsi="Times New Roman" w:eastAsia="楷体_GB2312" w:cs="Times New Roman"/>
              <w:sz w:val="28"/>
              <w:szCs w:val="28"/>
            </w:rPr>
            <w:t>发展基础</w:t>
          </w:r>
          <w:r>
            <w:rPr>
              <w:sz w:val="28"/>
              <w:szCs w:val="28"/>
            </w:rPr>
            <w:tab/>
          </w:r>
          <w:r>
            <w:rPr>
              <w:sz w:val="28"/>
              <w:szCs w:val="28"/>
            </w:rPr>
            <w:fldChar w:fldCharType="begin"/>
          </w:r>
          <w:r>
            <w:rPr>
              <w:sz w:val="28"/>
              <w:szCs w:val="28"/>
            </w:rPr>
            <w:instrText xml:space="preserve"> PAGEREF _Toc99381121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17"/>
            <w:tabs>
              <w:tab w:val="right" w:leader="dot" w:pos="8494"/>
            </w:tabs>
            <w:rPr>
              <w:sz w:val="28"/>
              <w:szCs w:val="28"/>
            </w:rPr>
          </w:pPr>
          <w:r>
            <w:fldChar w:fldCharType="begin"/>
          </w:r>
          <w:r>
            <w:instrText xml:space="preserve"> HYPERLINK \l "_Toc99381122" </w:instrText>
          </w:r>
          <w:r>
            <w:fldChar w:fldCharType="separate"/>
          </w:r>
          <w:r>
            <w:rPr>
              <w:rStyle w:val="24"/>
              <w:rFonts w:hint="eastAsia" w:ascii="Times New Roman" w:hAnsi="Times New Roman" w:eastAsia="楷体_GB2312" w:cs="Times New Roman"/>
              <w:sz w:val="28"/>
              <w:szCs w:val="28"/>
            </w:rPr>
            <w:t>（二）</w:t>
          </w:r>
          <w:r>
            <w:rPr>
              <w:rStyle w:val="24"/>
              <w:rFonts w:ascii="Times New Roman" w:hAnsi="Times New Roman" w:eastAsia="楷体_GB2312" w:cs="Times New Roman"/>
              <w:sz w:val="28"/>
              <w:szCs w:val="28"/>
            </w:rPr>
            <w:t>“</w:t>
          </w:r>
          <w:r>
            <w:rPr>
              <w:rStyle w:val="24"/>
              <w:rFonts w:hint="eastAsia" w:ascii="Times New Roman" w:hAnsi="Times New Roman" w:eastAsia="楷体_GB2312" w:cs="Times New Roman"/>
              <w:sz w:val="28"/>
              <w:szCs w:val="28"/>
            </w:rPr>
            <w:t>十四五</w:t>
          </w:r>
          <w:r>
            <w:rPr>
              <w:rStyle w:val="24"/>
              <w:rFonts w:ascii="Times New Roman" w:hAnsi="Times New Roman" w:eastAsia="楷体_GB2312" w:cs="Times New Roman"/>
              <w:sz w:val="28"/>
              <w:szCs w:val="28"/>
            </w:rPr>
            <w:t>”</w:t>
          </w:r>
          <w:r>
            <w:rPr>
              <w:rStyle w:val="24"/>
              <w:rFonts w:hint="eastAsia" w:ascii="Times New Roman" w:hAnsi="Times New Roman" w:eastAsia="楷体_GB2312" w:cs="Times New Roman"/>
              <w:sz w:val="28"/>
              <w:szCs w:val="28"/>
            </w:rPr>
            <w:t>面临形势</w:t>
          </w:r>
          <w:r>
            <w:rPr>
              <w:sz w:val="28"/>
              <w:szCs w:val="28"/>
            </w:rPr>
            <w:tab/>
          </w:r>
          <w:r>
            <w:rPr>
              <w:sz w:val="28"/>
              <w:szCs w:val="28"/>
            </w:rPr>
            <w:fldChar w:fldCharType="begin"/>
          </w:r>
          <w:r>
            <w:rPr>
              <w:sz w:val="28"/>
              <w:szCs w:val="28"/>
            </w:rPr>
            <w:instrText xml:space="preserve"> PAGEREF _Toc99381122 \h </w:instrText>
          </w:r>
          <w:r>
            <w:rPr>
              <w:sz w:val="28"/>
              <w:szCs w:val="28"/>
            </w:rPr>
            <w:fldChar w:fldCharType="separate"/>
          </w:r>
          <w:r>
            <w:rPr>
              <w:sz w:val="28"/>
              <w:szCs w:val="28"/>
            </w:rPr>
            <w:t>7</w:t>
          </w:r>
          <w:r>
            <w:rPr>
              <w:sz w:val="28"/>
              <w:szCs w:val="28"/>
            </w:rPr>
            <w:fldChar w:fldCharType="end"/>
          </w:r>
          <w:r>
            <w:rPr>
              <w:sz w:val="28"/>
              <w:szCs w:val="28"/>
            </w:rPr>
            <w:fldChar w:fldCharType="end"/>
          </w:r>
        </w:p>
        <w:p>
          <w:pPr>
            <w:pStyle w:val="16"/>
            <w:tabs>
              <w:tab w:val="right" w:leader="dot" w:pos="8494"/>
            </w:tabs>
            <w:rPr>
              <w:sz w:val="28"/>
              <w:szCs w:val="28"/>
            </w:rPr>
          </w:pPr>
          <w:r>
            <w:fldChar w:fldCharType="begin"/>
          </w:r>
          <w:r>
            <w:instrText xml:space="preserve"> HYPERLINK \l "_Toc99381123" </w:instrText>
          </w:r>
          <w:r>
            <w:fldChar w:fldCharType="separate"/>
          </w:r>
          <w:r>
            <w:rPr>
              <w:rStyle w:val="24"/>
              <w:rFonts w:hint="eastAsia" w:ascii="Times New Roman" w:hAnsi="Times New Roman" w:eastAsia="黑体" w:cs="Times New Roman"/>
              <w:sz w:val="28"/>
              <w:szCs w:val="28"/>
            </w:rPr>
            <w:t>二、发展思路</w:t>
          </w:r>
          <w:r>
            <w:rPr>
              <w:sz w:val="28"/>
              <w:szCs w:val="28"/>
            </w:rPr>
            <w:tab/>
          </w:r>
          <w:r>
            <w:rPr>
              <w:sz w:val="28"/>
              <w:szCs w:val="28"/>
            </w:rPr>
            <w:fldChar w:fldCharType="begin"/>
          </w:r>
          <w:r>
            <w:rPr>
              <w:sz w:val="28"/>
              <w:szCs w:val="28"/>
            </w:rPr>
            <w:instrText xml:space="preserve"> PAGEREF _Toc99381123 \h </w:instrText>
          </w:r>
          <w:r>
            <w:rPr>
              <w:sz w:val="28"/>
              <w:szCs w:val="28"/>
            </w:rPr>
            <w:fldChar w:fldCharType="separate"/>
          </w:r>
          <w:r>
            <w:rPr>
              <w:sz w:val="28"/>
              <w:szCs w:val="28"/>
            </w:rPr>
            <w:t>8</w:t>
          </w:r>
          <w:r>
            <w:rPr>
              <w:sz w:val="28"/>
              <w:szCs w:val="28"/>
            </w:rPr>
            <w:fldChar w:fldCharType="end"/>
          </w:r>
          <w:r>
            <w:rPr>
              <w:sz w:val="28"/>
              <w:szCs w:val="28"/>
            </w:rPr>
            <w:fldChar w:fldCharType="end"/>
          </w:r>
        </w:p>
        <w:p>
          <w:pPr>
            <w:pStyle w:val="17"/>
            <w:tabs>
              <w:tab w:val="right" w:leader="dot" w:pos="8494"/>
            </w:tabs>
            <w:rPr>
              <w:sz w:val="28"/>
              <w:szCs w:val="28"/>
            </w:rPr>
          </w:pPr>
          <w:r>
            <w:fldChar w:fldCharType="begin"/>
          </w:r>
          <w:r>
            <w:instrText xml:space="preserve"> HYPERLINK \l "_Toc99381124" </w:instrText>
          </w:r>
          <w:r>
            <w:fldChar w:fldCharType="separate"/>
          </w:r>
          <w:r>
            <w:rPr>
              <w:rStyle w:val="24"/>
              <w:rFonts w:hint="eastAsia" w:ascii="Times New Roman" w:hAnsi="Times New Roman" w:eastAsia="楷体_GB2312" w:cs="Times New Roman"/>
              <w:sz w:val="28"/>
              <w:szCs w:val="28"/>
            </w:rPr>
            <w:t>（一）指导思想</w:t>
          </w:r>
          <w:r>
            <w:rPr>
              <w:sz w:val="28"/>
              <w:szCs w:val="28"/>
            </w:rPr>
            <w:tab/>
          </w:r>
          <w:r>
            <w:rPr>
              <w:sz w:val="28"/>
              <w:szCs w:val="28"/>
            </w:rPr>
            <w:fldChar w:fldCharType="begin"/>
          </w:r>
          <w:r>
            <w:rPr>
              <w:sz w:val="28"/>
              <w:szCs w:val="28"/>
            </w:rPr>
            <w:instrText xml:space="preserve"> PAGEREF _Toc99381124 \h </w:instrText>
          </w:r>
          <w:r>
            <w:rPr>
              <w:sz w:val="28"/>
              <w:szCs w:val="28"/>
            </w:rPr>
            <w:fldChar w:fldCharType="separate"/>
          </w:r>
          <w:r>
            <w:rPr>
              <w:sz w:val="28"/>
              <w:szCs w:val="28"/>
            </w:rPr>
            <w:t>8</w:t>
          </w:r>
          <w:r>
            <w:rPr>
              <w:sz w:val="28"/>
              <w:szCs w:val="28"/>
            </w:rPr>
            <w:fldChar w:fldCharType="end"/>
          </w:r>
          <w:r>
            <w:rPr>
              <w:sz w:val="28"/>
              <w:szCs w:val="28"/>
            </w:rPr>
            <w:fldChar w:fldCharType="end"/>
          </w:r>
        </w:p>
        <w:p>
          <w:pPr>
            <w:pStyle w:val="17"/>
            <w:tabs>
              <w:tab w:val="right" w:leader="dot" w:pos="8494"/>
            </w:tabs>
            <w:rPr>
              <w:sz w:val="28"/>
              <w:szCs w:val="28"/>
            </w:rPr>
          </w:pPr>
          <w:r>
            <w:fldChar w:fldCharType="begin"/>
          </w:r>
          <w:r>
            <w:instrText xml:space="preserve"> HYPERLINK \l "_Toc99381125" </w:instrText>
          </w:r>
          <w:r>
            <w:fldChar w:fldCharType="separate"/>
          </w:r>
          <w:r>
            <w:rPr>
              <w:rStyle w:val="24"/>
              <w:rFonts w:hint="eastAsia" w:ascii="Times New Roman" w:hAnsi="Times New Roman" w:eastAsia="楷体_GB2312" w:cs="Times New Roman"/>
              <w:sz w:val="28"/>
              <w:szCs w:val="28"/>
            </w:rPr>
            <w:t>（二）基本原则</w:t>
          </w:r>
          <w:r>
            <w:rPr>
              <w:sz w:val="28"/>
              <w:szCs w:val="28"/>
            </w:rPr>
            <w:tab/>
          </w:r>
          <w:r>
            <w:rPr>
              <w:sz w:val="28"/>
              <w:szCs w:val="28"/>
            </w:rPr>
            <w:fldChar w:fldCharType="begin"/>
          </w:r>
          <w:r>
            <w:rPr>
              <w:sz w:val="28"/>
              <w:szCs w:val="28"/>
            </w:rPr>
            <w:instrText xml:space="preserve"> PAGEREF _Toc99381125 \h </w:instrText>
          </w:r>
          <w:r>
            <w:rPr>
              <w:sz w:val="28"/>
              <w:szCs w:val="28"/>
            </w:rPr>
            <w:fldChar w:fldCharType="separate"/>
          </w:r>
          <w:r>
            <w:rPr>
              <w:sz w:val="28"/>
              <w:szCs w:val="28"/>
            </w:rPr>
            <w:t>9</w:t>
          </w:r>
          <w:r>
            <w:rPr>
              <w:sz w:val="28"/>
              <w:szCs w:val="28"/>
            </w:rPr>
            <w:fldChar w:fldCharType="end"/>
          </w:r>
          <w:r>
            <w:rPr>
              <w:sz w:val="28"/>
              <w:szCs w:val="28"/>
            </w:rPr>
            <w:fldChar w:fldCharType="end"/>
          </w:r>
        </w:p>
        <w:p>
          <w:pPr>
            <w:pStyle w:val="17"/>
            <w:tabs>
              <w:tab w:val="right" w:leader="dot" w:pos="8494"/>
            </w:tabs>
            <w:rPr>
              <w:sz w:val="28"/>
              <w:szCs w:val="28"/>
            </w:rPr>
          </w:pPr>
          <w:r>
            <w:fldChar w:fldCharType="begin"/>
          </w:r>
          <w:r>
            <w:instrText xml:space="preserve"> HYPERLINK \l "_Toc99381126" </w:instrText>
          </w:r>
          <w:r>
            <w:fldChar w:fldCharType="separate"/>
          </w:r>
          <w:r>
            <w:rPr>
              <w:rStyle w:val="24"/>
              <w:rFonts w:hint="eastAsia" w:ascii="Times New Roman" w:hAnsi="Times New Roman" w:eastAsia="楷体_GB2312" w:cs="Times New Roman"/>
              <w:sz w:val="28"/>
              <w:szCs w:val="28"/>
            </w:rPr>
            <w:t>（三）主要目标</w:t>
          </w:r>
          <w:r>
            <w:rPr>
              <w:sz w:val="28"/>
              <w:szCs w:val="28"/>
            </w:rPr>
            <w:tab/>
          </w:r>
          <w:r>
            <w:rPr>
              <w:sz w:val="28"/>
              <w:szCs w:val="28"/>
            </w:rPr>
            <w:fldChar w:fldCharType="begin"/>
          </w:r>
          <w:r>
            <w:rPr>
              <w:sz w:val="28"/>
              <w:szCs w:val="28"/>
            </w:rPr>
            <w:instrText xml:space="preserve"> PAGEREF _Toc99381126 \h </w:instrText>
          </w:r>
          <w:r>
            <w:rPr>
              <w:sz w:val="28"/>
              <w:szCs w:val="28"/>
            </w:rPr>
            <w:fldChar w:fldCharType="separate"/>
          </w:r>
          <w:r>
            <w:rPr>
              <w:sz w:val="28"/>
              <w:szCs w:val="28"/>
            </w:rPr>
            <w:t>10</w:t>
          </w:r>
          <w:r>
            <w:rPr>
              <w:sz w:val="28"/>
              <w:szCs w:val="28"/>
            </w:rPr>
            <w:fldChar w:fldCharType="end"/>
          </w:r>
          <w:r>
            <w:rPr>
              <w:sz w:val="28"/>
              <w:szCs w:val="28"/>
            </w:rPr>
            <w:fldChar w:fldCharType="end"/>
          </w:r>
        </w:p>
        <w:p>
          <w:pPr>
            <w:pStyle w:val="16"/>
            <w:tabs>
              <w:tab w:val="right" w:leader="dot" w:pos="8494"/>
            </w:tabs>
            <w:rPr>
              <w:sz w:val="28"/>
              <w:szCs w:val="28"/>
            </w:rPr>
          </w:pPr>
          <w:r>
            <w:fldChar w:fldCharType="begin"/>
          </w:r>
          <w:r>
            <w:instrText xml:space="preserve"> HYPERLINK \l "_Toc99381127" </w:instrText>
          </w:r>
          <w:r>
            <w:fldChar w:fldCharType="separate"/>
          </w:r>
          <w:r>
            <w:rPr>
              <w:rStyle w:val="24"/>
              <w:rFonts w:hint="eastAsia" w:ascii="Times New Roman" w:hAnsi="Times New Roman" w:eastAsia="黑体" w:cs="Times New Roman"/>
              <w:sz w:val="28"/>
              <w:szCs w:val="28"/>
            </w:rPr>
            <w:t>三、切实加强党对教育工作的全面领导</w:t>
          </w:r>
          <w:r>
            <w:rPr>
              <w:sz w:val="28"/>
              <w:szCs w:val="28"/>
            </w:rPr>
            <w:tab/>
          </w:r>
          <w:r>
            <w:rPr>
              <w:sz w:val="28"/>
              <w:szCs w:val="28"/>
            </w:rPr>
            <w:fldChar w:fldCharType="begin"/>
          </w:r>
          <w:r>
            <w:rPr>
              <w:sz w:val="28"/>
              <w:szCs w:val="28"/>
            </w:rPr>
            <w:instrText xml:space="preserve"> PAGEREF _Toc99381127 \h </w:instrText>
          </w:r>
          <w:r>
            <w:rPr>
              <w:sz w:val="28"/>
              <w:szCs w:val="28"/>
            </w:rPr>
            <w:fldChar w:fldCharType="separate"/>
          </w:r>
          <w:r>
            <w:rPr>
              <w:sz w:val="28"/>
              <w:szCs w:val="28"/>
            </w:rPr>
            <w:t>12</w:t>
          </w:r>
          <w:r>
            <w:rPr>
              <w:sz w:val="28"/>
              <w:szCs w:val="28"/>
            </w:rPr>
            <w:fldChar w:fldCharType="end"/>
          </w:r>
          <w:r>
            <w:rPr>
              <w:sz w:val="28"/>
              <w:szCs w:val="28"/>
            </w:rPr>
            <w:fldChar w:fldCharType="end"/>
          </w:r>
        </w:p>
        <w:p>
          <w:pPr>
            <w:pStyle w:val="17"/>
            <w:tabs>
              <w:tab w:val="right" w:leader="dot" w:pos="8494"/>
            </w:tabs>
            <w:rPr>
              <w:sz w:val="28"/>
              <w:szCs w:val="28"/>
            </w:rPr>
          </w:pPr>
          <w:r>
            <w:fldChar w:fldCharType="begin"/>
          </w:r>
          <w:r>
            <w:instrText xml:space="preserve"> HYPERLINK \l "_Toc99381128" </w:instrText>
          </w:r>
          <w:r>
            <w:fldChar w:fldCharType="separate"/>
          </w:r>
          <w:r>
            <w:rPr>
              <w:rStyle w:val="24"/>
              <w:rFonts w:hint="eastAsia" w:ascii="Times New Roman" w:hAnsi="Times New Roman" w:eastAsia="楷体_GB2312" w:cs="Times New Roman"/>
              <w:sz w:val="28"/>
              <w:szCs w:val="28"/>
            </w:rPr>
            <w:t>（一）牢牢掌握党对教育工作的领导权</w:t>
          </w:r>
          <w:r>
            <w:rPr>
              <w:sz w:val="28"/>
              <w:szCs w:val="28"/>
            </w:rPr>
            <w:tab/>
          </w:r>
          <w:r>
            <w:rPr>
              <w:sz w:val="28"/>
              <w:szCs w:val="28"/>
            </w:rPr>
            <w:fldChar w:fldCharType="begin"/>
          </w:r>
          <w:r>
            <w:rPr>
              <w:sz w:val="28"/>
              <w:szCs w:val="28"/>
            </w:rPr>
            <w:instrText xml:space="preserve"> PAGEREF _Toc99381128 \h </w:instrText>
          </w:r>
          <w:r>
            <w:rPr>
              <w:sz w:val="28"/>
              <w:szCs w:val="28"/>
            </w:rPr>
            <w:fldChar w:fldCharType="separate"/>
          </w:r>
          <w:r>
            <w:rPr>
              <w:sz w:val="28"/>
              <w:szCs w:val="28"/>
            </w:rPr>
            <w:t>13</w:t>
          </w:r>
          <w:r>
            <w:rPr>
              <w:sz w:val="28"/>
              <w:szCs w:val="28"/>
            </w:rPr>
            <w:fldChar w:fldCharType="end"/>
          </w:r>
          <w:r>
            <w:rPr>
              <w:sz w:val="28"/>
              <w:szCs w:val="28"/>
            </w:rPr>
            <w:fldChar w:fldCharType="end"/>
          </w:r>
        </w:p>
        <w:p>
          <w:pPr>
            <w:pStyle w:val="17"/>
            <w:tabs>
              <w:tab w:val="right" w:leader="dot" w:pos="8494"/>
            </w:tabs>
            <w:rPr>
              <w:sz w:val="28"/>
              <w:szCs w:val="28"/>
            </w:rPr>
          </w:pPr>
          <w:r>
            <w:fldChar w:fldCharType="begin"/>
          </w:r>
          <w:r>
            <w:instrText xml:space="preserve"> HYPERLINK \l "_Toc99381129" </w:instrText>
          </w:r>
          <w:r>
            <w:fldChar w:fldCharType="separate"/>
          </w:r>
          <w:r>
            <w:rPr>
              <w:rStyle w:val="24"/>
              <w:rFonts w:hint="eastAsia" w:ascii="Times New Roman" w:hAnsi="Times New Roman" w:eastAsia="楷体_GB2312" w:cs="Times New Roman"/>
              <w:sz w:val="28"/>
              <w:szCs w:val="28"/>
            </w:rPr>
            <w:t>（二）全面加强教育系统党的建设</w:t>
          </w:r>
          <w:r>
            <w:rPr>
              <w:sz w:val="28"/>
              <w:szCs w:val="28"/>
            </w:rPr>
            <w:tab/>
          </w:r>
          <w:r>
            <w:rPr>
              <w:sz w:val="28"/>
              <w:szCs w:val="28"/>
            </w:rPr>
            <w:fldChar w:fldCharType="begin"/>
          </w:r>
          <w:r>
            <w:rPr>
              <w:sz w:val="28"/>
              <w:szCs w:val="28"/>
            </w:rPr>
            <w:instrText xml:space="preserve"> PAGEREF _Toc99381129 \h </w:instrText>
          </w:r>
          <w:r>
            <w:rPr>
              <w:sz w:val="28"/>
              <w:szCs w:val="28"/>
            </w:rPr>
            <w:fldChar w:fldCharType="separate"/>
          </w:r>
          <w:r>
            <w:rPr>
              <w:sz w:val="28"/>
              <w:szCs w:val="28"/>
            </w:rPr>
            <w:t>13</w:t>
          </w:r>
          <w:r>
            <w:rPr>
              <w:sz w:val="28"/>
              <w:szCs w:val="28"/>
            </w:rPr>
            <w:fldChar w:fldCharType="end"/>
          </w:r>
          <w:r>
            <w:rPr>
              <w:sz w:val="28"/>
              <w:szCs w:val="28"/>
            </w:rPr>
            <w:fldChar w:fldCharType="end"/>
          </w:r>
        </w:p>
        <w:p>
          <w:pPr>
            <w:pStyle w:val="17"/>
            <w:tabs>
              <w:tab w:val="right" w:leader="dot" w:pos="8494"/>
            </w:tabs>
            <w:rPr>
              <w:sz w:val="28"/>
              <w:szCs w:val="28"/>
            </w:rPr>
          </w:pPr>
          <w:r>
            <w:fldChar w:fldCharType="begin"/>
          </w:r>
          <w:r>
            <w:instrText xml:space="preserve"> HYPERLINK \l "_Toc99381130" </w:instrText>
          </w:r>
          <w:r>
            <w:fldChar w:fldCharType="separate"/>
          </w:r>
          <w:r>
            <w:rPr>
              <w:rStyle w:val="24"/>
              <w:rFonts w:hint="eastAsia" w:ascii="Times New Roman" w:hAnsi="Times New Roman" w:eastAsia="楷体_GB2312" w:cs="Times New Roman"/>
              <w:sz w:val="28"/>
              <w:szCs w:val="28"/>
            </w:rPr>
            <w:t>（三）坚定不移全面从严治党</w:t>
          </w:r>
          <w:r>
            <w:rPr>
              <w:sz w:val="28"/>
              <w:szCs w:val="28"/>
            </w:rPr>
            <w:tab/>
          </w:r>
          <w:r>
            <w:rPr>
              <w:sz w:val="28"/>
              <w:szCs w:val="28"/>
            </w:rPr>
            <w:fldChar w:fldCharType="begin"/>
          </w:r>
          <w:r>
            <w:rPr>
              <w:sz w:val="28"/>
              <w:szCs w:val="28"/>
            </w:rPr>
            <w:instrText xml:space="preserve"> PAGEREF _Toc99381130 \h </w:instrText>
          </w:r>
          <w:r>
            <w:rPr>
              <w:sz w:val="28"/>
              <w:szCs w:val="28"/>
            </w:rPr>
            <w:fldChar w:fldCharType="separate"/>
          </w:r>
          <w:r>
            <w:rPr>
              <w:sz w:val="28"/>
              <w:szCs w:val="28"/>
            </w:rPr>
            <w:t>14</w:t>
          </w:r>
          <w:r>
            <w:rPr>
              <w:sz w:val="28"/>
              <w:szCs w:val="28"/>
            </w:rPr>
            <w:fldChar w:fldCharType="end"/>
          </w:r>
          <w:r>
            <w:rPr>
              <w:sz w:val="28"/>
              <w:szCs w:val="28"/>
            </w:rPr>
            <w:fldChar w:fldCharType="end"/>
          </w:r>
        </w:p>
        <w:p>
          <w:pPr>
            <w:pStyle w:val="16"/>
            <w:tabs>
              <w:tab w:val="right" w:leader="dot" w:pos="8494"/>
            </w:tabs>
            <w:rPr>
              <w:sz w:val="28"/>
              <w:szCs w:val="28"/>
            </w:rPr>
          </w:pPr>
          <w:r>
            <w:fldChar w:fldCharType="begin"/>
          </w:r>
          <w:r>
            <w:instrText xml:space="preserve"> HYPERLINK \l "_Toc99381131" </w:instrText>
          </w:r>
          <w:r>
            <w:fldChar w:fldCharType="separate"/>
          </w:r>
          <w:r>
            <w:rPr>
              <w:rStyle w:val="24"/>
              <w:rFonts w:hint="eastAsia" w:ascii="Times New Roman" w:hAnsi="Times New Roman" w:eastAsia="黑体" w:cs="Times New Roman"/>
              <w:sz w:val="28"/>
              <w:szCs w:val="28"/>
            </w:rPr>
            <w:t>四、全面落实立德树人，大力发展素质教育</w:t>
          </w:r>
          <w:r>
            <w:rPr>
              <w:sz w:val="28"/>
              <w:szCs w:val="28"/>
            </w:rPr>
            <w:tab/>
          </w:r>
          <w:r>
            <w:rPr>
              <w:sz w:val="28"/>
              <w:szCs w:val="28"/>
            </w:rPr>
            <w:fldChar w:fldCharType="begin"/>
          </w:r>
          <w:r>
            <w:rPr>
              <w:sz w:val="28"/>
              <w:szCs w:val="28"/>
            </w:rPr>
            <w:instrText xml:space="preserve"> PAGEREF _Toc99381131 \h </w:instrText>
          </w:r>
          <w:r>
            <w:rPr>
              <w:sz w:val="28"/>
              <w:szCs w:val="28"/>
            </w:rPr>
            <w:fldChar w:fldCharType="separate"/>
          </w:r>
          <w:r>
            <w:rPr>
              <w:sz w:val="28"/>
              <w:szCs w:val="28"/>
            </w:rPr>
            <w:t>14</w:t>
          </w:r>
          <w:r>
            <w:rPr>
              <w:sz w:val="28"/>
              <w:szCs w:val="28"/>
            </w:rPr>
            <w:fldChar w:fldCharType="end"/>
          </w:r>
          <w:r>
            <w:rPr>
              <w:sz w:val="28"/>
              <w:szCs w:val="28"/>
            </w:rPr>
            <w:fldChar w:fldCharType="end"/>
          </w:r>
        </w:p>
        <w:p>
          <w:pPr>
            <w:pStyle w:val="17"/>
            <w:tabs>
              <w:tab w:val="right" w:leader="dot" w:pos="8494"/>
            </w:tabs>
            <w:rPr>
              <w:sz w:val="28"/>
              <w:szCs w:val="28"/>
            </w:rPr>
          </w:pPr>
          <w:r>
            <w:fldChar w:fldCharType="begin"/>
          </w:r>
          <w:r>
            <w:instrText xml:space="preserve"> HYPERLINK \l "_Toc99381132" </w:instrText>
          </w:r>
          <w:r>
            <w:fldChar w:fldCharType="separate"/>
          </w:r>
          <w:r>
            <w:rPr>
              <w:rStyle w:val="24"/>
              <w:rFonts w:hint="eastAsia" w:ascii="Times New Roman" w:hAnsi="Times New Roman" w:eastAsia="楷体_GB2312" w:cs="Times New Roman"/>
              <w:sz w:val="28"/>
              <w:szCs w:val="28"/>
            </w:rPr>
            <w:t>（一）培育区域特色德育品牌</w:t>
          </w:r>
          <w:r>
            <w:rPr>
              <w:sz w:val="28"/>
              <w:szCs w:val="28"/>
            </w:rPr>
            <w:tab/>
          </w:r>
          <w:r>
            <w:rPr>
              <w:sz w:val="28"/>
              <w:szCs w:val="28"/>
            </w:rPr>
            <w:fldChar w:fldCharType="begin"/>
          </w:r>
          <w:r>
            <w:rPr>
              <w:sz w:val="28"/>
              <w:szCs w:val="28"/>
            </w:rPr>
            <w:instrText xml:space="preserve"> PAGEREF _Toc99381132 \h </w:instrText>
          </w:r>
          <w:r>
            <w:rPr>
              <w:sz w:val="28"/>
              <w:szCs w:val="28"/>
            </w:rPr>
            <w:fldChar w:fldCharType="separate"/>
          </w:r>
          <w:r>
            <w:rPr>
              <w:sz w:val="28"/>
              <w:szCs w:val="28"/>
            </w:rPr>
            <w:t>14</w:t>
          </w:r>
          <w:r>
            <w:rPr>
              <w:sz w:val="28"/>
              <w:szCs w:val="28"/>
            </w:rPr>
            <w:fldChar w:fldCharType="end"/>
          </w:r>
          <w:r>
            <w:rPr>
              <w:sz w:val="28"/>
              <w:szCs w:val="28"/>
            </w:rPr>
            <w:fldChar w:fldCharType="end"/>
          </w:r>
        </w:p>
        <w:p>
          <w:pPr>
            <w:pStyle w:val="17"/>
            <w:tabs>
              <w:tab w:val="right" w:leader="dot" w:pos="8494"/>
            </w:tabs>
            <w:rPr>
              <w:sz w:val="28"/>
              <w:szCs w:val="28"/>
            </w:rPr>
          </w:pPr>
          <w:r>
            <w:fldChar w:fldCharType="begin"/>
          </w:r>
          <w:r>
            <w:instrText xml:space="preserve"> HYPERLINK \l "_Toc99381133" </w:instrText>
          </w:r>
          <w:r>
            <w:fldChar w:fldCharType="separate"/>
          </w:r>
          <w:r>
            <w:rPr>
              <w:rStyle w:val="24"/>
              <w:rFonts w:hint="eastAsia" w:ascii="Times New Roman" w:hAnsi="Times New Roman" w:eastAsia="楷体_GB2312" w:cs="Times New Roman"/>
              <w:sz w:val="28"/>
              <w:szCs w:val="28"/>
            </w:rPr>
            <w:t>（二）一体推进思想政治教育</w:t>
          </w:r>
          <w:r>
            <w:rPr>
              <w:sz w:val="28"/>
              <w:szCs w:val="28"/>
            </w:rPr>
            <w:tab/>
          </w:r>
          <w:r>
            <w:rPr>
              <w:sz w:val="28"/>
              <w:szCs w:val="28"/>
            </w:rPr>
            <w:fldChar w:fldCharType="begin"/>
          </w:r>
          <w:r>
            <w:rPr>
              <w:sz w:val="28"/>
              <w:szCs w:val="28"/>
            </w:rPr>
            <w:instrText xml:space="preserve"> PAGEREF _Toc99381133 \h </w:instrText>
          </w:r>
          <w:r>
            <w:rPr>
              <w:sz w:val="28"/>
              <w:szCs w:val="28"/>
            </w:rPr>
            <w:fldChar w:fldCharType="separate"/>
          </w:r>
          <w:r>
            <w:rPr>
              <w:sz w:val="28"/>
              <w:szCs w:val="28"/>
            </w:rPr>
            <w:t>15</w:t>
          </w:r>
          <w:r>
            <w:rPr>
              <w:sz w:val="28"/>
              <w:szCs w:val="28"/>
            </w:rPr>
            <w:fldChar w:fldCharType="end"/>
          </w:r>
          <w:r>
            <w:rPr>
              <w:sz w:val="28"/>
              <w:szCs w:val="28"/>
            </w:rPr>
            <w:fldChar w:fldCharType="end"/>
          </w:r>
        </w:p>
        <w:p>
          <w:pPr>
            <w:pStyle w:val="17"/>
            <w:tabs>
              <w:tab w:val="right" w:leader="dot" w:pos="8494"/>
            </w:tabs>
            <w:rPr>
              <w:sz w:val="28"/>
              <w:szCs w:val="28"/>
            </w:rPr>
          </w:pPr>
          <w:r>
            <w:fldChar w:fldCharType="begin"/>
          </w:r>
          <w:r>
            <w:instrText xml:space="preserve"> HYPERLINK \l "_Toc99381135" </w:instrText>
          </w:r>
          <w:r>
            <w:fldChar w:fldCharType="separate"/>
          </w:r>
          <w:r>
            <w:rPr>
              <w:rStyle w:val="24"/>
              <w:rFonts w:hint="eastAsia" w:ascii="Times New Roman" w:hAnsi="Times New Roman" w:eastAsia="楷体_GB2312" w:cs="Times New Roman"/>
              <w:sz w:val="28"/>
              <w:szCs w:val="28"/>
            </w:rPr>
            <w:t>（三）构建劳动实践教育体系</w:t>
          </w:r>
          <w:r>
            <w:rPr>
              <w:sz w:val="28"/>
              <w:szCs w:val="28"/>
            </w:rPr>
            <w:tab/>
          </w:r>
          <w:r>
            <w:rPr>
              <w:sz w:val="28"/>
              <w:szCs w:val="28"/>
            </w:rPr>
            <w:fldChar w:fldCharType="begin"/>
          </w:r>
          <w:r>
            <w:rPr>
              <w:sz w:val="28"/>
              <w:szCs w:val="28"/>
            </w:rPr>
            <w:instrText xml:space="preserve"> PAGEREF _Toc99381135 \h </w:instrText>
          </w:r>
          <w:r>
            <w:rPr>
              <w:sz w:val="28"/>
              <w:szCs w:val="28"/>
            </w:rPr>
            <w:fldChar w:fldCharType="separate"/>
          </w:r>
          <w:r>
            <w:rPr>
              <w:sz w:val="28"/>
              <w:szCs w:val="28"/>
            </w:rPr>
            <w:t>16</w:t>
          </w:r>
          <w:r>
            <w:rPr>
              <w:sz w:val="28"/>
              <w:szCs w:val="28"/>
            </w:rPr>
            <w:fldChar w:fldCharType="end"/>
          </w:r>
          <w:r>
            <w:rPr>
              <w:sz w:val="28"/>
              <w:szCs w:val="28"/>
            </w:rPr>
            <w:fldChar w:fldCharType="end"/>
          </w:r>
        </w:p>
        <w:p>
          <w:pPr>
            <w:pStyle w:val="17"/>
            <w:tabs>
              <w:tab w:val="right" w:leader="dot" w:pos="8494"/>
            </w:tabs>
            <w:rPr>
              <w:sz w:val="28"/>
              <w:szCs w:val="28"/>
            </w:rPr>
          </w:pPr>
          <w:r>
            <w:fldChar w:fldCharType="begin"/>
          </w:r>
          <w:r>
            <w:instrText xml:space="preserve"> HYPERLINK \l "_Toc99381136" </w:instrText>
          </w:r>
          <w:r>
            <w:fldChar w:fldCharType="separate"/>
          </w:r>
          <w:r>
            <w:rPr>
              <w:rStyle w:val="24"/>
              <w:rFonts w:hint="eastAsia" w:ascii="Times New Roman" w:hAnsi="Times New Roman" w:eastAsia="楷体_GB2312" w:cs="Times New Roman"/>
              <w:sz w:val="28"/>
              <w:szCs w:val="28"/>
            </w:rPr>
            <w:t>（四）全面推进体育美育工作</w:t>
          </w:r>
          <w:r>
            <w:rPr>
              <w:sz w:val="28"/>
              <w:szCs w:val="28"/>
            </w:rPr>
            <w:tab/>
          </w:r>
          <w:r>
            <w:rPr>
              <w:sz w:val="28"/>
              <w:szCs w:val="28"/>
            </w:rPr>
            <w:fldChar w:fldCharType="begin"/>
          </w:r>
          <w:r>
            <w:rPr>
              <w:sz w:val="28"/>
              <w:szCs w:val="28"/>
            </w:rPr>
            <w:instrText xml:space="preserve"> PAGEREF _Toc99381136 \h </w:instrText>
          </w:r>
          <w:r>
            <w:rPr>
              <w:sz w:val="28"/>
              <w:szCs w:val="28"/>
            </w:rPr>
            <w:fldChar w:fldCharType="separate"/>
          </w:r>
          <w:r>
            <w:rPr>
              <w:sz w:val="28"/>
              <w:szCs w:val="28"/>
            </w:rPr>
            <w:t>17</w:t>
          </w:r>
          <w:r>
            <w:rPr>
              <w:sz w:val="28"/>
              <w:szCs w:val="28"/>
            </w:rPr>
            <w:fldChar w:fldCharType="end"/>
          </w:r>
          <w:r>
            <w:rPr>
              <w:sz w:val="28"/>
              <w:szCs w:val="28"/>
            </w:rPr>
            <w:fldChar w:fldCharType="end"/>
          </w:r>
        </w:p>
        <w:p>
          <w:pPr>
            <w:pStyle w:val="17"/>
            <w:tabs>
              <w:tab w:val="right" w:leader="dot" w:pos="8494"/>
            </w:tabs>
            <w:rPr>
              <w:sz w:val="28"/>
              <w:szCs w:val="28"/>
            </w:rPr>
          </w:pPr>
          <w:r>
            <w:fldChar w:fldCharType="begin"/>
          </w:r>
          <w:r>
            <w:instrText xml:space="preserve"> HYPERLINK \l "_Toc99381138" </w:instrText>
          </w:r>
          <w:r>
            <w:fldChar w:fldCharType="separate"/>
          </w:r>
          <w:r>
            <w:rPr>
              <w:rStyle w:val="24"/>
              <w:rFonts w:hint="eastAsia" w:ascii="Times New Roman" w:hAnsi="Times New Roman" w:eastAsia="楷体_GB2312" w:cs="Times New Roman"/>
              <w:sz w:val="28"/>
              <w:szCs w:val="28"/>
            </w:rPr>
            <w:t>（五）深化法治国防生态教育</w:t>
          </w:r>
          <w:r>
            <w:rPr>
              <w:sz w:val="28"/>
              <w:szCs w:val="28"/>
            </w:rPr>
            <w:tab/>
          </w:r>
          <w:r>
            <w:rPr>
              <w:sz w:val="28"/>
              <w:szCs w:val="28"/>
            </w:rPr>
            <w:fldChar w:fldCharType="begin"/>
          </w:r>
          <w:r>
            <w:rPr>
              <w:sz w:val="28"/>
              <w:szCs w:val="28"/>
            </w:rPr>
            <w:instrText xml:space="preserve"> PAGEREF _Toc99381138 \h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17"/>
            <w:tabs>
              <w:tab w:val="right" w:leader="dot" w:pos="8494"/>
            </w:tabs>
            <w:rPr>
              <w:sz w:val="28"/>
              <w:szCs w:val="28"/>
            </w:rPr>
          </w:pPr>
          <w:r>
            <w:fldChar w:fldCharType="begin"/>
          </w:r>
          <w:r>
            <w:instrText xml:space="preserve"> HYPERLINK \l "_Toc99381139" </w:instrText>
          </w:r>
          <w:r>
            <w:fldChar w:fldCharType="separate"/>
          </w:r>
          <w:r>
            <w:rPr>
              <w:rStyle w:val="24"/>
              <w:rFonts w:hint="eastAsia" w:ascii="Times New Roman" w:hAnsi="Times New Roman" w:eastAsia="楷体_GB2312" w:cs="Times New Roman"/>
              <w:sz w:val="28"/>
              <w:szCs w:val="28"/>
            </w:rPr>
            <w:t>（六）健全多元协同育人机制</w:t>
          </w:r>
          <w:r>
            <w:rPr>
              <w:sz w:val="28"/>
              <w:szCs w:val="28"/>
            </w:rPr>
            <w:tab/>
          </w:r>
          <w:r>
            <w:rPr>
              <w:sz w:val="28"/>
              <w:szCs w:val="28"/>
            </w:rPr>
            <w:fldChar w:fldCharType="begin"/>
          </w:r>
          <w:r>
            <w:rPr>
              <w:sz w:val="28"/>
              <w:szCs w:val="28"/>
            </w:rPr>
            <w:instrText xml:space="preserve"> PAGEREF _Toc99381139 \h </w:instrText>
          </w:r>
          <w:r>
            <w:rPr>
              <w:sz w:val="28"/>
              <w:szCs w:val="28"/>
            </w:rPr>
            <w:fldChar w:fldCharType="separate"/>
          </w:r>
          <w:r>
            <w:rPr>
              <w:sz w:val="28"/>
              <w:szCs w:val="28"/>
            </w:rPr>
            <w:t>19</w:t>
          </w:r>
          <w:r>
            <w:rPr>
              <w:sz w:val="28"/>
              <w:szCs w:val="28"/>
            </w:rPr>
            <w:fldChar w:fldCharType="end"/>
          </w:r>
          <w:r>
            <w:rPr>
              <w:sz w:val="28"/>
              <w:szCs w:val="28"/>
            </w:rPr>
            <w:fldChar w:fldCharType="end"/>
          </w:r>
        </w:p>
        <w:p>
          <w:pPr>
            <w:pStyle w:val="16"/>
            <w:tabs>
              <w:tab w:val="right" w:leader="dot" w:pos="8494"/>
            </w:tabs>
            <w:rPr>
              <w:sz w:val="28"/>
              <w:szCs w:val="28"/>
            </w:rPr>
          </w:pPr>
          <w:r>
            <w:fldChar w:fldCharType="begin"/>
          </w:r>
          <w:r>
            <w:instrText xml:space="preserve"> HYPERLINK \l "_Toc99381140" </w:instrText>
          </w:r>
          <w:r>
            <w:fldChar w:fldCharType="separate"/>
          </w:r>
          <w:r>
            <w:rPr>
              <w:rStyle w:val="24"/>
              <w:rFonts w:hint="eastAsia" w:ascii="Times New Roman" w:hAnsi="Times New Roman" w:eastAsia="黑体" w:cs="Times New Roman"/>
              <w:sz w:val="28"/>
              <w:szCs w:val="28"/>
            </w:rPr>
            <w:t>五、坚持公平优质发展，提升基础教育质量</w:t>
          </w:r>
          <w:r>
            <w:rPr>
              <w:sz w:val="28"/>
              <w:szCs w:val="28"/>
            </w:rPr>
            <w:tab/>
          </w:r>
          <w:r>
            <w:rPr>
              <w:sz w:val="28"/>
              <w:szCs w:val="28"/>
            </w:rPr>
            <w:fldChar w:fldCharType="begin"/>
          </w:r>
          <w:r>
            <w:rPr>
              <w:sz w:val="28"/>
              <w:szCs w:val="28"/>
            </w:rPr>
            <w:instrText xml:space="preserve"> PAGEREF _Toc99381140 \h </w:instrText>
          </w:r>
          <w:r>
            <w:rPr>
              <w:sz w:val="28"/>
              <w:szCs w:val="28"/>
            </w:rPr>
            <w:fldChar w:fldCharType="separate"/>
          </w:r>
          <w:r>
            <w:rPr>
              <w:sz w:val="28"/>
              <w:szCs w:val="28"/>
            </w:rPr>
            <w:t>20</w:t>
          </w:r>
          <w:r>
            <w:rPr>
              <w:sz w:val="28"/>
              <w:szCs w:val="28"/>
            </w:rPr>
            <w:fldChar w:fldCharType="end"/>
          </w:r>
          <w:r>
            <w:rPr>
              <w:sz w:val="28"/>
              <w:szCs w:val="28"/>
            </w:rPr>
            <w:fldChar w:fldCharType="end"/>
          </w:r>
        </w:p>
        <w:p>
          <w:pPr>
            <w:pStyle w:val="17"/>
            <w:tabs>
              <w:tab w:val="right" w:leader="dot" w:pos="8494"/>
            </w:tabs>
            <w:rPr>
              <w:sz w:val="28"/>
              <w:szCs w:val="28"/>
            </w:rPr>
          </w:pPr>
          <w:r>
            <w:fldChar w:fldCharType="begin"/>
          </w:r>
          <w:r>
            <w:instrText xml:space="preserve"> HYPERLINK \l "_Toc99381141" </w:instrText>
          </w:r>
          <w:r>
            <w:fldChar w:fldCharType="separate"/>
          </w:r>
          <w:r>
            <w:rPr>
              <w:rStyle w:val="24"/>
              <w:rFonts w:hint="eastAsia" w:ascii="Times New Roman" w:hAnsi="Times New Roman" w:eastAsia="楷体_GB2312" w:cs="Times New Roman"/>
              <w:sz w:val="28"/>
              <w:szCs w:val="28"/>
            </w:rPr>
            <w:t>（一）推进“双减”政策持续落地见效</w:t>
          </w:r>
          <w:r>
            <w:rPr>
              <w:sz w:val="28"/>
              <w:szCs w:val="28"/>
            </w:rPr>
            <w:tab/>
          </w:r>
          <w:r>
            <w:rPr>
              <w:sz w:val="28"/>
              <w:szCs w:val="28"/>
            </w:rPr>
            <w:fldChar w:fldCharType="begin"/>
          </w:r>
          <w:r>
            <w:rPr>
              <w:sz w:val="28"/>
              <w:szCs w:val="28"/>
            </w:rPr>
            <w:instrText xml:space="preserve"> PAGEREF _Toc99381141 \h </w:instrText>
          </w:r>
          <w:r>
            <w:rPr>
              <w:sz w:val="28"/>
              <w:szCs w:val="28"/>
            </w:rPr>
            <w:fldChar w:fldCharType="separate"/>
          </w:r>
          <w:r>
            <w:rPr>
              <w:sz w:val="28"/>
              <w:szCs w:val="28"/>
            </w:rPr>
            <w:t>20</w:t>
          </w:r>
          <w:r>
            <w:rPr>
              <w:sz w:val="28"/>
              <w:szCs w:val="28"/>
            </w:rPr>
            <w:fldChar w:fldCharType="end"/>
          </w:r>
          <w:r>
            <w:rPr>
              <w:sz w:val="28"/>
              <w:szCs w:val="28"/>
            </w:rPr>
            <w:fldChar w:fldCharType="end"/>
          </w:r>
        </w:p>
        <w:p>
          <w:pPr>
            <w:pStyle w:val="17"/>
            <w:tabs>
              <w:tab w:val="right" w:leader="dot" w:pos="8494"/>
            </w:tabs>
            <w:rPr>
              <w:sz w:val="28"/>
              <w:szCs w:val="28"/>
            </w:rPr>
          </w:pPr>
          <w:r>
            <w:fldChar w:fldCharType="begin"/>
          </w:r>
          <w:r>
            <w:instrText xml:space="preserve"> HYPERLINK \l "_Toc99381143" </w:instrText>
          </w:r>
          <w:r>
            <w:fldChar w:fldCharType="separate"/>
          </w:r>
          <w:r>
            <w:rPr>
              <w:rStyle w:val="24"/>
              <w:rFonts w:hint="eastAsia" w:ascii="Times New Roman" w:hAnsi="Times New Roman" w:eastAsia="楷体_GB2312" w:cs="Times New Roman"/>
              <w:sz w:val="28"/>
              <w:szCs w:val="28"/>
            </w:rPr>
            <w:t>（三）推进义务教育优质均衡发展</w:t>
          </w:r>
          <w:r>
            <w:rPr>
              <w:sz w:val="28"/>
              <w:szCs w:val="28"/>
            </w:rPr>
            <w:tab/>
          </w:r>
          <w:r>
            <w:rPr>
              <w:sz w:val="28"/>
              <w:szCs w:val="28"/>
            </w:rPr>
            <w:fldChar w:fldCharType="begin"/>
          </w:r>
          <w:r>
            <w:rPr>
              <w:sz w:val="28"/>
              <w:szCs w:val="28"/>
            </w:rPr>
            <w:instrText xml:space="preserve"> PAGEREF _Toc99381143 \h </w:instrText>
          </w:r>
          <w:r>
            <w:rPr>
              <w:sz w:val="28"/>
              <w:szCs w:val="28"/>
            </w:rPr>
            <w:fldChar w:fldCharType="separate"/>
          </w:r>
          <w:r>
            <w:rPr>
              <w:sz w:val="28"/>
              <w:szCs w:val="28"/>
            </w:rPr>
            <w:t>21</w:t>
          </w:r>
          <w:r>
            <w:rPr>
              <w:sz w:val="28"/>
              <w:szCs w:val="28"/>
            </w:rPr>
            <w:fldChar w:fldCharType="end"/>
          </w:r>
          <w:r>
            <w:rPr>
              <w:sz w:val="28"/>
              <w:szCs w:val="28"/>
            </w:rPr>
            <w:fldChar w:fldCharType="end"/>
          </w:r>
        </w:p>
        <w:p>
          <w:pPr>
            <w:pStyle w:val="17"/>
            <w:tabs>
              <w:tab w:val="right" w:leader="dot" w:pos="8494"/>
            </w:tabs>
            <w:rPr>
              <w:sz w:val="28"/>
              <w:szCs w:val="28"/>
            </w:rPr>
          </w:pPr>
          <w:r>
            <w:fldChar w:fldCharType="begin"/>
          </w:r>
          <w:r>
            <w:instrText xml:space="preserve"> HYPERLINK \l "_Toc99381144" </w:instrText>
          </w:r>
          <w:r>
            <w:fldChar w:fldCharType="separate"/>
          </w:r>
          <w:r>
            <w:rPr>
              <w:rStyle w:val="24"/>
              <w:rFonts w:hint="eastAsia" w:ascii="Times New Roman" w:hAnsi="Times New Roman" w:eastAsia="楷体_GB2312" w:cs="Times New Roman"/>
              <w:sz w:val="28"/>
              <w:szCs w:val="28"/>
            </w:rPr>
            <w:t>（四）推进高中教育高质特色发展</w:t>
          </w:r>
          <w:r>
            <w:rPr>
              <w:sz w:val="28"/>
              <w:szCs w:val="28"/>
            </w:rPr>
            <w:tab/>
          </w:r>
          <w:r>
            <w:rPr>
              <w:sz w:val="28"/>
              <w:szCs w:val="28"/>
            </w:rPr>
            <w:fldChar w:fldCharType="begin"/>
          </w:r>
          <w:r>
            <w:rPr>
              <w:sz w:val="28"/>
              <w:szCs w:val="28"/>
            </w:rPr>
            <w:instrText xml:space="preserve"> PAGEREF _Toc99381144 \h </w:instrText>
          </w:r>
          <w:r>
            <w:rPr>
              <w:sz w:val="28"/>
              <w:szCs w:val="28"/>
            </w:rPr>
            <w:fldChar w:fldCharType="separate"/>
          </w:r>
          <w:r>
            <w:rPr>
              <w:sz w:val="28"/>
              <w:szCs w:val="28"/>
            </w:rPr>
            <w:t>22</w:t>
          </w:r>
          <w:r>
            <w:rPr>
              <w:sz w:val="28"/>
              <w:szCs w:val="28"/>
            </w:rPr>
            <w:fldChar w:fldCharType="end"/>
          </w:r>
          <w:r>
            <w:rPr>
              <w:sz w:val="28"/>
              <w:szCs w:val="28"/>
            </w:rPr>
            <w:fldChar w:fldCharType="end"/>
          </w:r>
        </w:p>
        <w:p>
          <w:pPr>
            <w:pStyle w:val="17"/>
            <w:tabs>
              <w:tab w:val="right" w:leader="dot" w:pos="8494"/>
            </w:tabs>
            <w:rPr>
              <w:sz w:val="28"/>
              <w:szCs w:val="28"/>
            </w:rPr>
          </w:pPr>
          <w:r>
            <w:fldChar w:fldCharType="begin"/>
          </w:r>
          <w:r>
            <w:instrText xml:space="preserve"> HYPERLINK \l "_Toc99381145" </w:instrText>
          </w:r>
          <w:r>
            <w:fldChar w:fldCharType="separate"/>
          </w:r>
          <w:r>
            <w:rPr>
              <w:rStyle w:val="24"/>
              <w:rFonts w:hint="eastAsia" w:ascii="Times New Roman" w:hAnsi="Times New Roman" w:eastAsia="楷体_GB2312" w:cs="Times New Roman"/>
              <w:sz w:val="28"/>
              <w:szCs w:val="28"/>
            </w:rPr>
            <w:t>（五）推进特殊教育稳步提升发展</w:t>
          </w:r>
          <w:r>
            <w:rPr>
              <w:sz w:val="28"/>
              <w:szCs w:val="28"/>
            </w:rPr>
            <w:tab/>
          </w:r>
          <w:r>
            <w:rPr>
              <w:sz w:val="28"/>
              <w:szCs w:val="28"/>
            </w:rPr>
            <w:fldChar w:fldCharType="begin"/>
          </w:r>
          <w:r>
            <w:rPr>
              <w:sz w:val="28"/>
              <w:szCs w:val="28"/>
            </w:rPr>
            <w:instrText xml:space="preserve"> PAGEREF _Toc99381145 \h </w:instrText>
          </w:r>
          <w:r>
            <w:rPr>
              <w:sz w:val="28"/>
              <w:szCs w:val="28"/>
            </w:rPr>
            <w:fldChar w:fldCharType="separate"/>
          </w:r>
          <w:r>
            <w:rPr>
              <w:sz w:val="28"/>
              <w:szCs w:val="28"/>
            </w:rPr>
            <w:t>23</w:t>
          </w:r>
          <w:r>
            <w:rPr>
              <w:sz w:val="28"/>
              <w:szCs w:val="28"/>
            </w:rPr>
            <w:fldChar w:fldCharType="end"/>
          </w:r>
          <w:r>
            <w:rPr>
              <w:sz w:val="28"/>
              <w:szCs w:val="28"/>
            </w:rPr>
            <w:fldChar w:fldCharType="end"/>
          </w:r>
        </w:p>
        <w:p>
          <w:pPr>
            <w:pStyle w:val="16"/>
            <w:tabs>
              <w:tab w:val="right" w:leader="dot" w:pos="8494"/>
            </w:tabs>
            <w:rPr>
              <w:sz w:val="28"/>
              <w:szCs w:val="28"/>
            </w:rPr>
          </w:pPr>
          <w:r>
            <w:fldChar w:fldCharType="begin"/>
          </w:r>
          <w:r>
            <w:instrText xml:space="preserve"> HYPERLINK \l "_Toc99381146" </w:instrText>
          </w:r>
          <w:r>
            <w:fldChar w:fldCharType="separate"/>
          </w:r>
          <w:r>
            <w:rPr>
              <w:rStyle w:val="24"/>
              <w:rFonts w:hint="eastAsia" w:ascii="Times New Roman" w:hAnsi="Times New Roman" w:eastAsia="黑体" w:cs="Times New Roman"/>
              <w:sz w:val="28"/>
              <w:szCs w:val="28"/>
            </w:rPr>
            <w:t>六、激活职教高教活力，构筑人力资源支撑</w:t>
          </w:r>
          <w:r>
            <w:rPr>
              <w:sz w:val="28"/>
              <w:szCs w:val="28"/>
            </w:rPr>
            <w:tab/>
          </w:r>
          <w:r>
            <w:rPr>
              <w:sz w:val="28"/>
              <w:szCs w:val="28"/>
            </w:rPr>
            <w:fldChar w:fldCharType="begin"/>
          </w:r>
          <w:r>
            <w:rPr>
              <w:sz w:val="28"/>
              <w:szCs w:val="28"/>
            </w:rPr>
            <w:instrText xml:space="preserve"> PAGEREF _Toc99381146 \h </w:instrText>
          </w:r>
          <w:r>
            <w:rPr>
              <w:sz w:val="28"/>
              <w:szCs w:val="28"/>
            </w:rPr>
            <w:fldChar w:fldCharType="separate"/>
          </w:r>
          <w:r>
            <w:rPr>
              <w:sz w:val="28"/>
              <w:szCs w:val="28"/>
            </w:rPr>
            <w:t>24</w:t>
          </w:r>
          <w:r>
            <w:rPr>
              <w:sz w:val="28"/>
              <w:szCs w:val="28"/>
            </w:rPr>
            <w:fldChar w:fldCharType="end"/>
          </w:r>
          <w:r>
            <w:rPr>
              <w:sz w:val="28"/>
              <w:szCs w:val="28"/>
            </w:rPr>
            <w:fldChar w:fldCharType="end"/>
          </w:r>
        </w:p>
        <w:p>
          <w:pPr>
            <w:pStyle w:val="17"/>
            <w:tabs>
              <w:tab w:val="right" w:leader="dot" w:pos="8494"/>
            </w:tabs>
            <w:rPr>
              <w:sz w:val="28"/>
              <w:szCs w:val="28"/>
            </w:rPr>
          </w:pPr>
          <w:r>
            <w:fldChar w:fldCharType="begin"/>
          </w:r>
          <w:r>
            <w:instrText xml:space="preserve"> HYPERLINK \l "_Toc99381147" </w:instrText>
          </w:r>
          <w:r>
            <w:fldChar w:fldCharType="separate"/>
          </w:r>
          <w:r>
            <w:rPr>
              <w:rStyle w:val="24"/>
              <w:rFonts w:hint="eastAsia" w:ascii="Times New Roman" w:hAnsi="Times New Roman" w:eastAsia="楷体_GB2312" w:cs="Times New Roman"/>
              <w:sz w:val="28"/>
              <w:szCs w:val="28"/>
            </w:rPr>
            <w:t>（一）增强职业教育适应性</w:t>
          </w:r>
          <w:r>
            <w:rPr>
              <w:sz w:val="28"/>
              <w:szCs w:val="28"/>
            </w:rPr>
            <w:tab/>
          </w:r>
          <w:r>
            <w:rPr>
              <w:sz w:val="28"/>
              <w:szCs w:val="28"/>
            </w:rPr>
            <w:fldChar w:fldCharType="begin"/>
          </w:r>
          <w:r>
            <w:rPr>
              <w:sz w:val="28"/>
              <w:szCs w:val="28"/>
            </w:rPr>
            <w:instrText xml:space="preserve"> PAGEREF _Toc99381147 \h </w:instrText>
          </w:r>
          <w:r>
            <w:rPr>
              <w:sz w:val="28"/>
              <w:szCs w:val="28"/>
            </w:rPr>
            <w:fldChar w:fldCharType="separate"/>
          </w:r>
          <w:r>
            <w:rPr>
              <w:sz w:val="28"/>
              <w:szCs w:val="28"/>
            </w:rPr>
            <w:t>24</w:t>
          </w:r>
          <w:r>
            <w:rPr>
              <w:sz w:val="28"/>
              <w:szCs w:val="28"/>
            </w:rPr>
            <w:fldChar w:fldCharType="end"/>
          </w:r>
          <w:r>
            <w:rPr>
              <w:sz w:val="28"/>
              <w:szCs w:val="28"/>
            </w:rPr>
            <w:fldChar w:fldCharType="end"/>
          </w:r>
        </w:p>
        <w:p>
          <w:pPr>
            <w:pStyle w:val="17"/>
            <w:tabs>
              <w:tab w:val="right" w:leader="dot" w:pos="8494"/>
            </w:tabs>
            <w:rPr>
              <w:sz w:val="28"/>
              <w:szCs w:val="28"/>
            </w:rPr>
          </w:pPr>
          <w:r>
            <w:fldChar w:fldCharType="begin"/>
          </w:r>
          <w:r>
            <w:instrText xml:space="preserve"> HYPERLINK \l "_Toc99381148" </w:instrText>
          </w:r>
          <w:r>
            <w:fldChar w:fldCharType="separate"/>
          </w:r>
          <w:r>
            <w:rPr>
              <w:rStyle w:val="24"/>
              <w:rFonts w:hint="eastAsia" w:ascii="Times New Roman" w:hAnsi="Times New Roman" w:eastAsia="楷体_GB2312" w:cs="Times New Roman"/>
              <w:sz w:val="28"/>
              <w:szCs w:val="28"/>
            </w:rPr>
            <w:t>（二）促进职教高教衔接</w:t>
          </w:r>
          <w:r>
            <w:rPr>
              <w:sz w:val="28"/>
              <w:szCs w:val="28"/>
            </w:rPr>
            <w:tab/>
          </w:r>
          <w:r>
            <w:rPr>
              <w:sz w:val="28"/>
              <w:szCs w:val="28"/>
            </w:rPr>
            <w:fldChar w:fldCharType="begin"/>
          </w:r>
          <w:r>
            <w:rPr>
              <w:sz w:val="28"/>
              <w:szCs w:val="28"/>
            </w:rPr>
            <w:instrText xml:space="preserve"> PAGEREF _Toc99381148 \h </w:instrText>
          </w:r>
          <w:r>
            <w:rPr>
              <w:sz w:val="28"/>
              <w:szCs w:val="28"/>
            </w:rPr>
            <w:fldChar w:fldCharType="separate"/>
          </w:r>
          <w:r>
            <w:rPr>
              <w:sz w:val="28"/>
              <w:szCs w:val="28"/>
            </w:rPr>
            <w:t>25</w:t>
          </w:r>
          <w:r>
            <w:rPr>
              <w:sz w:val="28"/>
              <w:szCs w:val="28"/>
            </w:rPr>
            <w:fldChar w:fldCharType="end"/>
          </w:r>
          <w:r>
            <w:rPr>
              <w:sz w:val="28"/>
              <w:szCs w:val="28"/>
            </w:rPr>
            <w:fldChar w:fldCharType="end"/>
          </w:r>
        </w:p>
        <w:p>
          <w:pPr>
            <w:pStyle w:val="17"/>
            <w:tabs>
              <w:tab w:val="right" w:leader="dot" w:pos="8494"/>
            </w:tabs>
            <w:rPr>
              <w:sz w:val="28"/>
              <w:szCs w:val="28"/>
            </w:rPr>
          </w:pPr>
          <w:r>
            <w:fldChar w:fldCharType="begin"/>
          </w:r>
          <w:r>
            <w:instrText xml:space="preserve"> HYPERLINK \l "_Toc99381149" </w:instrText>
          </w:r>
          <w:r>
            <w:fldChar w:fldCharType="separate"/>
          </w:r>
          <w:r>
            <w:rPr>
              <w:rStyle w:val="24"/>
              <w:rFonts w:hint="eastAsia" w:ascii="Times New Roman" w:hAnsi="Times New Roman" w:eastAsia="楷体_GB2312" w:cs="Times New Roman"/>
              <w:sz w:val="28"/>
              <w:szCs w:val="28"/>
            </w:rPr>
            <w:t>（三）做足技能培训成色</w:t>
          </w:r>
          <w:r>
            <w:rPr>
              <w:sz w:val="28"/>
              <w:szCs w:val="28"/>
            </w:rPr>
            <w:tab/>
          </w:r>
          <w:r>
            <w:rPr>
              <w:sz w:val="28"/>
              <w:szCs w:val="28"/>
            </w:rPr>
            <w:fldChar w:fldCharType="begin"/>
          </w:r>
          <w:r>
            <w:rPr>
              <w:sz w:val="28"/>
              <w:szCs w:val="28"/>
            </w:rPr>
            <w:instrText xml:space="preserve"> PAGEREF _Toc99381149 \h </w:instrText>
          </w:r>
          <w:r>
            <w:rPr>
              <w:sz w:val="28"/>
              <w:szCs w:val="28"/>
            </w:rPr>
            <w:fldChar w:fldCharType="separate"/>
          </w:r>
          <w:r>
            <w:rPr>
              <w:sz w:val="28"/>
              <w:szCs w:val="28"/>
            </w:rPr>
            <w:t>26</w:t>
          </w:r>
          <w:r>
            <w:rPr>
              <w:sz w:val="28"/>
              <w:szCs w:val="28"/>
            </w:rPr>
            <w:fldChar w:fldCharType="end"/>
          </w:r>
          <w:r>
            <w:rPr>
              <w:sz w:val="28"/>
              <w:szCs w:val="28"/>
            </w:rPr>
            <w:fldChar w:fldCharType="end"/>
          </w:r>
        </w:p>
        <w:p>
          <w:pPr>
            <w:pStyle w:val="17"/>
            <w:tabs>
              <w:tab w:val="right" w:leader="dot" w:pos="8494"/>
            </w:tabs>
            <w:rPr>
              <w:sz w:val="28"/>
              <w:szCs w:val="28"/>
            </w:rPr>
          </w:pPr>
          <w:r>
            <w:fldChar w:fldCharType="begin"/>
          </w:r>
          <w:r>
            <w:instrText xml:space="preserve"> HYPERLINK \l "_Toc99381151" </w:instrText>
          </w:r>
          <w:r>
            <w:fldChar w:fldCharType="separate"/>
          </w:r>
          <w:r>
            <w:rPr>
              <w:rStyle w:val="24"/>
              <w:rFonts w:hint="eastAsia" w:ascii="Times New Roman" w:hAnsi="Times New Roman" w:eastAsia="楷体_GB2312" w:cs="Times New Roman"/>
              <w:sz w:val="28"/>
              <w:szCs w:val="28"/>
            </w:rPr>
            <w:t>（四）构建终身学习体系</w:t>
          </w:r>
          <w:r>
            <w:rPr>
              <w:sz w:val="28"/>
              <w:szCs w:val="28"/>
            </w:rPr>
            <w:tab/>
          </w:r>
          <w:r>
            <w:rPr>
              <w:sz w:val="28"/>
              <w:szCs w:val="28"/>
            </w:rPr>
            <w:fldChar w:fldCharType="begin"/>
          </w:r>
          <w:r>
            <w:rPr>
              <w:sz w:val="28"/>
              <w:szCs w:val="28"/>
            </w:rPr>
            <w:instrText xml:space="preserve"> PAGEREF _Toc99381151 \h </w:instrText>
          </w:r>
          <w:r>
            <w:rPr>
              <w:sz w:val="28"/>
              <w:szCs w:val="28"/>
            </w:rPr>
            <w:fldChar w:fldCharType="separate"/>
          </w:r>
          <w:r>
            <w:rPr>
              <w:sz w:val="28"/>
              <w:szCs w:val="28"/>
            </w:rPr>
            <w:t>27</w:t>
          </w:r>
          <w:r>
            <w:rPr>
              <w:sz w:val="28"/>
              <w:szCs w:val="28"/>
            </w:rPr>
            <w:fldChar w:fldCharType="end"/>
          </w:r>
          <w:r>
            <w:rPr>
              <w:sz w:val="28"/>
              <w:szCs w:val="28"/>
            </w:rPr>
            <w:fldChar w:fldCharType="end"/>
          </w:r>
        </w:p>
        <w:p>
          <w:pPr>
            <w:pStyle w:val="16"/>
            <w:tabs>
              <w:tab w:val="right" w:leader="dot" w:pos="8494"/>
            </w:tabs>
            <w:rPr>
              <w:sz w:val="28"/>
              <w:szCs w:val="28"/>
            </w:rPr>
          </w:pPr>
          <w:r>
            <w:fldChar w:fldCharType="begin"/>
          </w:r>
          <w:r>
            <w:instrText xml:space="preserve"> HYPERLINK \l "_Toc99381152" </w:instrText>
          </w:r>
          <w:r>
            <w:fldChar w:fldCharType="separate"/>
          </w:r>
          <w:r>
            <w:rPr>
              <w:rStyle w:val="24"/>
              <w:rFonts w:hint="eastAsia" w:ascii="Times New Roman" w:hAnsi="Times New Roman" w:eastAsia="黑体" w:cs="Times New Roman"/>
              <w:sz w:val="28"/>
              <w:szCs w:val="28"/>
            </w:rPr>
            <w:t>七、深化重点领域改革，推进教育制度创新</w:t>
          </w:r>
          <w:r>
            <w:rPr>
              <w:sz w:val="28"/>
              <w:szCs w:val="28"/>
            </w:rPr>
            <w:tab/>
          </w:r>
          <w:r>
            <w:rPr>
              <w:sz w:val="28"/>
              <w:szCs w:val="28"/>
            </w:rPr>
            <w:fldChar w:fldCharType="begin"/>
          </w:r>
          <w:r>
            <w:rPr>
              <w:sz w:val="28"/>
              <w:szCs w:val="28"/>
            </w:rPr>
            <w:instrText xml:space="preserve"> PAGEREF _Toc99381152 \h </w:instrText>
          </w:r>
          <w:r>
            <w:rPr>
              <w:sz w:val="28"/>
              <w:szCs w:val="28"/>
            </w:rPr>
            <w:fldChar w:fldCharType="separate"/>
          </w:r>
          <w:r>
            <w:rPr>
              <w:sz w:val="28"/>
              <w:szCs w:val="28"/>
            </w:rPr>
            <w:t>27</w:t>
          </w:r>
          <w:r>
            <w:rPr>
              <w:sz w:val="28"/>
              <w:szCs w:val="28"/>
            </w:rPr>
            <w:fldChar w:fldCharType="end"/>
          </w:r>
          <w:r>
            <w:rPr>
              <w:sz w:val="28"/>
              <w:szCs w:val="28"/>
            </w:rPr>
            <w:fldChar w:fldCharType="end"/>
          </w:r>
        </w:p>
        <w:p>
          <w:pPr>
            <w:pStyle w:val="17"/>
            <w:tabs>
              <w:tab w:val="right" w:leader="dot" w:pos="8494"/>
            </w:tabs>
            <w:rPr>
              <w:sz w:val="28"/>
              <w:szCs w:val="28"/>
            </w:rPr>
          </w:pPr>
          <w:r>
            <w:fldChar w:fldCharType="begin"/>
          </w:r>
          <w:r>
            <w:instrText xml:space="preserve"> HYPERLINK \l "_Toc99381153" </w:instrText>
          </w:r>
          <w:r>
            <w:fldChar w:fldCharType="separate"/>
          </w:r>
          <w:r>
            <w:rPr>
              <w:rStyle w:val="24"/>
              <w:rFonts w:hint="eastAsia" w:ascii="Times New Roman" w:hAnsi="Times New Roman" w:eastAsia="楷体_GB2312" w:cs="Times New Roman"/>
              <w:sz w:val="28"/>
              <w:szCs w:val="28"/>
            </w:rPr>
            <w:t>（一）完善教育治理体系</w:t>
          </w:r>
          <w:r>
            <w:rPr>
              <w:sz w:val="28"/>
              <w:szCs w:val="28"/>
            </w:rPr>
            <w:tab/>
          </w:r>
          <w:r>
            <w:rPr>
              <w:sz w:val="28"/>
              <w:szCs w:val="28"/>
            </w:rPr>
            <w:fldChar w:fldCharType="begin"/>
          </w:r>
          <w:r>
            <w:rPr>
              <w:sz w:val="28"/>
              <w:szCs w:val="28"/>
            </w:rPr>
            <w:instrText xml:space="preserve"> PAGEREF _Toc99381153 \h </w:instrText>
          </w:r>
          <w:r>
            <w:rPr>
              <w:sz w:val="28"/>
              <w:szCs w:val="28"/>
            </w:rPr>
            <w:fldChar w:fldCharType="separate"/>
          </w:r>
          <w:r>
            <w:rPr>
              <w:sz w:val="28"/>
              <w:szCs w:val="28"/>
            </w:rPr>
            <w:t>28</w:t>
          </w:r>
          <w:r>
            <w:rPr>
              <w:sz w:val="28"/>
              <w:szCs w:val="28"/>
            </w:rPr>
            <w:fldChar w:fldCharType="end"/>
          </w:r>
          <w:r>
            <w:rPr>
              <w:sz w:val="28"/>
              <w:szCs w:val="28"/>
            </w:rPr>
            <w:fldChar w:fldCharType="end"/>
          </w:r>
        </w:p>
        <w:p>
          <w:pPr>
            <w:pStyle w:val="17"/>
            <w:tabs>
              <w:tab w:val="right" w:leader="dot" w:pos="8494"/>
            </w:tabs>
            <w:rPr>
              <w:sz w:val="28"/>
              <w:szCs w:val="28"/>
            </w:rPr>
          </w:pPr>
          <w:r>
            <w:fldChar w:fldCharType="begin"/>
          </w:r>
          <w:r>
            <w:instrText xml:space="preserve"> HYPERLINK \l "_Toc99381154" </w:instrText>
          </w:r>
          <w:r>
            <w:fldChar w:fldCharType="separate"/>
          </w:r>
          <w:r>
            <w:rPr>
              <w:rStyle w:val="24"/>
              <w:rFonts w:hint="eastAsia" w:ascii="Times New Roman" w:hAnsi="Times New Roman" w:eastAsia="楷体_GB2312" w:cs="Times New Roman"/>
              <w:sz w:val="28"/>
              <w:szCs w:val="28"/>
            </w:rPr>
            <w:t>（二）推进招生制度改革</w:t>
          </w:r>
          <w:r>
            <w:rPr>
              <w:sz w:val="28"/>
              <w:szCs w:val="28"/>
            </w:rPr>
            <w:tab/>
          </w:r>
          <w:r>
            <w:rPr>
              <w:sz w:val="28"/>
              <w:szCs w:val="28"/>
            </w:rPr>
            <w:fldChar w:fldCharType="begin"/>
          </w:r>
          <w:r>
            <w:rPr>
              <w:sz w:val="28"/>
              <w:szCs w:val="28"/>
            </w:rPr>
            <w:instrText xml:space="preserve"> PAGEREF _Toc99381154 \h </w:instrText>
          </w:r>
          <w:r>
            <w:rPr>
              <w:sz w:val="28"/>
              <w:szCs w:val="28"/>
            </w:rPr>
            <w:fldChar w:fldCharType="separate"/>
          </w:r>
          <w:r>
            <w:rPr>
              <w:sz w:val="28"/>
              <w:szCs w:val="28"/>
            </w:rPr>
            <w:t>28</w:t>
          </w:r>
          <w:r>
            <w:rPr>
              <w:sz w:val="28"/>
              <w:szCs w:val="28"/>
            </w:rPr>
            <w:fldChar w:fldCharType="end"/>
          </w:r>
          <w:r>
            <w:rPr>
              <w:sz w:val="28"/>
              <w:szCs w:val="28"/>
            </w:rPr>
            <w:fldChar w:fldCharType="end"/>
          </w:r>
        </w:p>
        <w:p>
          <w:pPr>
            <w:pStyle w:val="17"/>
            <w:tabs>
              <w:tab w:val="right" w:leader="dot" w:pos="8494"/>
            </w:tabs>
            <w:rPr>
              <w:sz w:val="28"/>
              <w:szCs w:val="28"/>
            </w:rPr>
          </w:pPr>
          <w:r>
            <w:fldChar w:fldCharType="begin"/>
          </w:r>
          <w:r>
            <w:instrText xml:space="preserve"> HYPERLINK \l "_Toc99381155" </w:instrText>
          </w:r>
          <w:r>
            <w:fldChar w:fldCharType="separate"/>
          </w:r>
          <w:r>
            <w:rPr>
              <w:rStyle w:val="24"/>
              <w:rFonts w:hint="eastAsia" w:ascii="Times New Roman" w:hAnsi="Times New Roman" w:eastAsia="楷体_GB2312" w:cs="Times New Roman"/>
              <w:sz w:val="28"/>
              <w:szCs w:val="28"/>
            </w:rPr>
            <w:t>（三）构建多元评价体系</w:t>
          </w:r>
          <w:r>
            <w:rPr>
              <w:sz w:val="28"/>
              <w:szCs w:val="28"/>
            </w:rPr>
            <w:tab/>
          </w:r>
          <w:r>
            <w:rPr>
              <w:sz w:val="28"/>
              <w:szCs w:val="28"/>
            </w:rPr>
            <w:fldChar w:fldCharType="begin"/>
          </w:r>
          <w:r>
            <w:rPr>
              <w:sz w:val="28"/>
              <w:szCs w:val="28"/>
            </w:rPr>
            <w:instrText xml:space="preserve"> PAGEREF _Toc99381155 \h </w:instrText>
          </w:r>
          <w:r>
            <w:rPr>
              <w:sz w:val="28"/>
              <w:szCs w:val="28"/>
            </w:rPr>
            <w:fldChar w:fldCharType="separate"/>
          </w:r>
          <w:r>
            <w:rPr>
              <w:sz w:val="28"/>
              <w:szCs w:val="28"/>
            </w:rPr>
            <w:t>29</w:t>
          </w:r>
          <w:r>
            <w:rPr>
              <w:sz w:val="28"/>
              <w:szCs w:val="28"/>
            </w:rPr>
            <w:fldChar w:fldCharType="end"/>
          </w:r>
          <w:r>
            <w:rPr>
              <w:sz w:val="28"/>
              <w:szCs w:val="28"/>
            </w:rPr>
            <w:fldChar w:fldCharType="end"/>
          </w:r>
        </w:p>
        <w:p>
          <w:pPr>
            <w:pStyle w:val="17"/>
            <w:tabs>
              <w:tab w:val="right" w:leader="dot" w:pos="8494"/>
            </w:tabs>
            <w:rPr>
              <w:sz w:val="28"/>
              <w:szCs w:val="28"/>
            </w:rPr>
          </w:pPr>
          <w:r>
            <w:fldChar w:fldCharType="begin"/>
          </w:r>
          <w:r>
            <w:instrText xml:space="preserve"> HYPERLINK \l "_Toc99381156" </w:instrText>
          </w:r>
          <w:r>
            <w:fldChar w:fldCharType="separate"/>
          </w:r>
          <w:r>
            <w:rPr>
              <w:rStyle w:val="24"/>
              <w:rFonts w:hint="eastAsia" w:ascii="Times New Roman" w:hAnsi="Times New Roman" w:eastAsia="楷体_GB2312" w:cs="Times New Roman"/>
              <w:sz w:val="28"/>
              <w:szCs w:val="28"/>
            </w:rPr>
            <w:t>（四）完善教育督导体制</w:t>
          </w:r>
          <w:r>
            <w:rPr>
              <w:sz w:val="28"/>
              <w:szCs w:val="28"/>
            </w:rPr>
            <w:tab/>
          </w:r>
          <w:r>
            <w:rPr>
              <w:rFonts w:hint="eastAsia"/>
              <w:sz w:val="28"/>
              <w:szCs w:val="28"/>
            </w:rPr>
            <w:t>30</w:t>
          </w:r>
          <w:r>
            <w:rPr>
              <w:rFonts w:hint="eastAsia"/>
              <w:sz w:val="28"/>
              <w:szCs w:val="28"/>
            </w:rPr>
            <w:fldChar w:fldCharType="end"/>
          </w:r>
        </w:p>
        <w:p>
          <w:pPr>
            <w:pStyle w:val="17"/>
            <w:tabs>
              <w:tab w:val="right" w:leader="dot" w:pos="8494"/>
            </w:tabs>
            <w:rPr>
              <w:sz w:val="28"/>
              <w:szCs w:val="28"/>
            </w:rPr>
          </w:pPr>
          <w:r>
            <w:fldChar w:fldCharType="begin"/>
          </w:r>
          <w:r>
            <w:instrText xml:space="preserve"> HYPERLINK \l "_Toc99381157" </w:instrText>
          </w:r>
          <w:r>
            <w:fldChar w:fldCharType="separate"/>
          </w:r>
          <w:r>
            <w:rPr>
              <w:rStyle w:val="24"/>
              <w:rFonts w:hint="eastAsia" w:ascii="Times New Roman" w:hAnsi="Times New Roman" w:eastAsia="楷体_GB2312" w:cs="Times New Roman"/>
              <w:sz w:val="28"/>
              <w:szCs w:val="28"/>
            </w:rPr>
            <w:t>（五）加快教育对外开放</w:t>
          </w:r>
          <w:r>
            <w:rPr>
              <w:sz w:val="28"/>
              <w:szCs w:val="28"/>
            </w:rPr>
            <w:tab/>
          </w:r>
          <w:r>
            <w:rPr>
              <w:sz w:val="28"/>
              <w:szCs w:val="28"/>
            </w:rPr>
            <w:fldChar w:fldCharType="begin"/>
          </w:r>
          <w:r>
            <w:rPr>
              <w:sz w:val="28"/>
              <w:szCs w:val="28"/>
            </w:rPr>
            <w:instrText xml:space="preserve"> PAGEREF _Toc99381157 \h </w:instrText>
          </w:r>
          <w:r>
            <w:rPr>
              <w:sz w:val="28"/>
              <w:szCs w:val="28"/>
            </w:rPr>
            <w:fldChar w:fldCharType="separate"/>
          </w:r>
          <w:r>
            <w:rPr>
              <w:sz w:val="28"/>
              <w:szCs w:val="28"/>
            </w:rPr>
            <w:t>30</w:t>
          </w:r>
          <w:r>
            <w:rPr>
              <w:sz w:val="28"/>
              <w:szCs w:val="28"/>
            </w:rPr>
            <w:fldChar w:fldCharType="end"/>
          </w:r>
          <w:r>
            <w:rPr>
              <w:sz w:val="28"/>
              <w:szCs w:val="28"/>
            </w:rPr>
            <w:fldChar w:fldCharType="end"/>
          </w:r>
        </w:p>
        <w:p>
          <w:pPr>
            <w:pStyle w:val="17"/>
            <w:tabs>
              <w:tab w:val="right" w:leader="dot" w:pos="8494"/>
            </w:tabs>
            <w:rPr>
              <w:sz w:val="28"/>
              <w:szCs w:val="28"/>
            </w:rPr>
          </w:pPr>
          <w:r>
            <w:fldChar w:fldCharType="begin"/>
          </w:r>
          <w:r>
            <w:instrText xml:space="preserve"> HYPERLINK \l "_Toc99381158" </w:instrText>
          </w:r>
          <w:r>
            <w:fldChar w:fldCharType="separate"/>
          </w:r>
          <w:r>
            <w:rPr>
              <w:rStyle w:val="24"/>
              <w:rFonts w:hint="eastAsia" w:ascii="Times New Roman" w:hAnsi="Times New Roman" w:eastAsia="楷体_GB2312" w:cs="Times New Roman"/>
              <w:sz w:val="28"/>
              <w:szCs w:val="28"/>
            </w:rPr>
            <w:t>（六）规范民办教育发展</w:t>
          </w:r>
          <w:r>
            <w:rPr>
              <w:sz w:val="28"/>
              <w:szCs w:val="28"/>
            </w:rPr>
            <w:tab/>
          </w:r>
          <w:r>
            <w:rPr>
              <w:sz w:val="28"/>
              <w:szCs w:val="28"/>
            </w:rPr>
            <w:fldChar w:fldCharType="begin"/>
          </w:r>
          <w:r>
            <w:rPr>
              <w:sz w:val="28"/>
              <w:szCs w:val="28"/>
            </w:rPr>
            <w:instrText xml:space="preserve"> PAGEREF _Toc99381158 \h </w:instrText>
          </w:r>
          <w:r>
            <w:rPr>
              <w:sz w:val="28"/>
              <w:szCs w:val="28"/>
            </w:rPr>
            <w:fldChar w:fldCharType="separate"/>
          </w:r>
          <w:r>
            <w:rPr>
              <w:sz w:val="28"/>
              <w:szCs w:val="28"/>
            </w:rPr>
            <w:t>31</w:t>
          </w:r>
          <w:r>
            <w:rPr>
              <w:sz w:val="28"/>
              <w:szCs w:val="28"/>
            </w:rPr>
            <w:fldChar w:fldCharType="end"/>
          </w:r>
          <w:r>
            <w:rPr>
              <w:sz w:val="28"/>
              <w:szCs w:val="28"/>
            </w:rPr>
            <w:fldChar w:fldCharType="end"/>
          </w:r>
        </w:p>
        <w:p>
          <w:pPr>
            <w:pStyle w:val="17"/>
            <w:tabs>
              <w:tab w:val="right" w:leader="dot" w:pos="8494"/>
            </w:tabs>
            <w:rPr>
              <w:sz w:val="28"/>
              <w:szCs w:val="28"/>
            </w:rPr>
          </w:pPr>
          <w:r>
            <w:fldChar w:fldCharType="begin"/>
          </w:r>
          <w:r>
            <w:instrText xml:space="preserve"> HYPERLINK \l "_Toc99381159" </w:instrText>
          </w:r>
          <w:r>
            <w:fldChar w:fldCharType="separate"/>
          </w:r>
          <w:r>
            <w:rPr>
              <w:rStyle w:val="24"/>
              <w:rFonts w:hint="eastAsia" w:ascii="Times New Roman" w:hAnsi="Times New Roman" w:eastAsia="楷体_GB2312" w:cs="Times New Roman"/>
              <w:sz w:val="28"/>
              <w:szCs w:val="28"/>
            </w:rPr>
            <w:t>（七）深化集团化办学改革</w:t>
          </w:r>
          <w:r>
            <w:rPr>
              <w:sz w:val="28"/>
              <w:szCs w:val="28"/>
            </w:rPr>
            <w:tab/>
          </w:r>
          <w:r>
            <w:rPr>
              <w:sz w:val="28"/>
              <w:szCs w:val="28"/>
            </w:rPr>
            <w:fldChar w:fldCharType="begin"/>
          </w:r>
          <w:r>
            <w:rPr>
              <w:sz w:val="28"/>
              <w:szCs w:val="28"/>
            </w:rPr>
            <w:instrText xml:space="preserve"> PAGEREF _Toc99381159 \h </w:instrText>
          </w:r>
          <w:r>
            <w:rPr>
              <w:sz w:val="28"/>
              <w:szCs w:val="28"/>
            </w:rPr>
            <w:fldChar w:fldCharType="separate"/>
          </w:r>
          <w:r>
            <w:rPr>
              <w:sz w:val="28"/>
              <w:szCs w:val="28"/>
            </w:rPr>
            <w:t>31</w:t>
          </w:r>
          <w:r>
            <w:rPr>
              <w:sz w:val="28"/>
              <w:szCs w:val="28"/>
            </w:rPr>
            <w:fldChar w:fldCharType="end"/>
          </w:r>
          <w:r>
            <w:rPr>
              <w:sz w:val="28"/>
              <w:szCs w:val="28"/>
            </w:rPr>
            <w:fldChar w:fldCharType="end"/>
          </w:r>
        </w:p>
        <w:p>
          <w:pPr>
            <w:pStyle w:val="16"/>
            <w:tabs>
              <w:tab w:val="right" w:leader="dot" w:pos="8494"/>
            </w:tabs>
            <w:rPr>
              <w:sz w:val="28"/>
              <w:szCs w:val="28"/>
            </w:rPr>
          </w:pPr>
          <w:r>
            <w:fldChar w:fldCharType="begin"/>
          </w:r>
          <w:r>
            <w:instrText xml:space="preserve"> HYPERLINK \l "_Toc99381160" </w:instrText>
          </w:r>
          <w:r>
            <w:fldChar w:fldCharType="separate"/>
          </w:r>
          <w:r>
            <w:rPr>
              <w:rStyle w:val="24"/>
              <w:rFonts w:hint="eastAsia" w:ascii="Times New Roman" w:hAnsi="Times New Roman" w:eastAsia="黑体" w:cs="Times New Roman"/>
              <w:sz w:val="28"/>
              <w:szCs w:val="28"/>
            </w:rPr>
            <w:t>八、强化专业素养培育，打造一流师资队伍</w:t>
          </w:r>
          <w:r>
            <w:rPr>
              <w:sz w:val="28"/>
              <w:szCs w:val="28"/>
            </w:rPr>
            <w:tab/>
          </w:r>
          <w:r>
            <w:rPr>
              <w:sz w:val="28"/>
              <w:szCs w:val="28"/>
            </w:rPr>
            <w:fldChar w:fldCharType="begin"/>
          </w:r>
          <w:r>
            <w:rPr>
              <w:sz w:val="28"/>
              <w:szCs w:val="28"/>
            </w:rPr>
            <w:instrText xml:space="preserve"> PAGEREF _Toc99381160 \h </w:instrText>
          </w:r>
          <w:r>
            <w:rPr>
              <w:sz w:val="28"/>
              <w:szCs w:val="28"/>
            </w:rPr>
            <w:fldChar w:fldCharType="separate"/>
          </w:r>
          <w:r>
            <w:rPr>
              <w:sz w:val="28"/>
              <w:szCs w:val="28"/>
            </w:rPr>
            <w:t>32</w:t>
          </w:r>
          <w:r>
            <w:rPr>
              <w:sz w:val="28"/>
              <w:szCs w:val="28"/>
            </w:rPr>
            <w:fldChar w:fldCharType="end"/>
          </w:r>
          <w:r>
            <w:rPr>
              <w:sz w:val="28"/>
              <w:szCs w:val="28"/>
            </w:rPr>
            <w:fldChar w:fldCharType="end"/>
          </w:r>
        </w:p>
        <w:p>
          <w:pPr>
            <w:pStyle w:val="17"/>
            <w:tabs>
              <w:tab w:val="right" w:leader="dot" w:pos="8494"/>
            </w:tabs>
            <w:rPr>
              <w:sz w:val="28"/>
              <w:szCs w:val="28"/>
            </w:rPr>
          </w:pPr>
          <w:r>
            <w:fldChar w:fldCharType="begin"/>
          </w:r>
          <w:r>
            <w:instrText xml:space="preserve"> HYPERLINK \l "_Toc99381161" </w:instrText>
          </w:r>
          <w:r>
            <w:fldChar w:fldCharType="separate"/>
          </w:r>
          <w:r>
            <w:rPr>
              <w:rStyle w:val="24"/>
              <w:rFonts w:hint="eastAsia" w:ascii="Times New Roman" w:hAnsi="Times New Roman" w:eastAsia="楷体_GB2312" w:cs="Times New Roman"/>
              <w:sz w:val="28"/>
              <w:szCs w:val="28"/>
            </w:rPr>
            <w:t>（一）加强师德师风建设</w:t>
          </w:r>
          <w:r>
            <w:rPr>
              <w:sz w:val="28"/>
              <w:szCs w:val="28"/>
            </w:rPr>
            <w:tab/>
          </w:r>
          <w:r>
            <w:rPr>
              <w:sz w:val="28"/>
              <w:szCs w:val="28"/>
            </w:rPr>
            <w:fldChar w:fldCharType="begin"/>
          </w:r>
          <w:r>
            <w:rPr>
              <w:sz w:val="28"/>
              <w:szCs w:val="28"/>
            </w:rPr>
            <w:instrText xml:space="preserve"> PAGEREF _Toc99381161 \h </w:instrText>
          </w:r>
          <w:r>
            <w:rPr>
              <w:sz w:val="28"/>
              <w:szCs w:val="28"/>
            </w:rPr>
            <w:fldChar w:fldCharType="separate"/>
          </w:r>
          <w:r>
            <w:rPr>
              <w:sz w:val="28"/>
              <w:szCs w:val="28"/>
            </w:rPr>
            <w:t>32</w:t>
          </w:r>
          <w:r>
            <w:rPr>
              <w:sz w:val="28"/>
              <w:szCs w:val="28"/>
            </w:rPr>
            <w:fldChar w:fldCharType="end"/>
          </w:r>
          <w:r>
            <w:rPr>
              <w:sz w:val="28"/>
              <w:szCs w:val="28"/>
            </w:rPr>
            <w:fldChar w:fldCharType="end"/>
          </w:r>
        </w:p>
        <w:p>
          <w:pPr>
            <w:pStyle w:val="17"/>
            <w:tabs>
              <w:tab w:val="right" w:leader="dot" w:pos="8494"/>
            </w:tabs>
            <w:rPr>
              <w:sz w:val="28"/>
              <w:szCs w:val="28"/>
            </w:rPr>
          </w:pPr>
          <w:r>
            <w:fldChar w:fldCharType="begin"/>
          </w:r>
          <w:r>
            <w:instrText xml:space="preserve"> HYPERLINK \l "_Toc99381162" </w:instrText>
          </w:r>
          <w:r>
            <w:fldChar w:fldCharType="separate"/>
          </w:r>
          <w:r>
            <w:rPr>
              <w:rStyle w:val="24"/>
              <w:rFonts w:hint="eastAsia" w:ascii="Times New Roman" w:hAnsi="Times New Roman" w:eastAsia="楷体_GB2312" w:cs="Times New Roman"/>
              <w:sz w:val="28"/>
              <w:szCs w:val="28"/>
            </w:rPr>
            <w:t>（二）提升教师专业水平</w:t>
          </w:r>
          <w:r>
            <w:rPr>
              <w:sz w:val="28"/>
              <w:szCs w:val="28"/>
            </w:rPr>
            <w:tab/>
          </w:r>
          <w:r>
            <w:rPr>
              <w:sz w:val="28"/>
              <w:szCs w:val="28"/>
            </w:rPr>
            <w:fldChar w:fldCharType="begin"/>
          </w:r>
          <w:r>
            <w:rPr>
              <w:sz w:val="28"/>
              <w:szCs w:val="28"/>
            </w:rPr>
            <w:instrText xml:space="preserve"> PAGEREF _Toc99381162 \h </w:instrText>
          </w:r>
          <w:r>
            <w:rPr>
              <w:sz w:val="28"/>
              <w:szCs w:val="28"/>
            </w:rPr>
            <w:fldChar w:fldCharType="separate"/>
          </w:r>
          <w:r>
            <w:rPr>
              <w:sz w:val="28"/>
              <w:szCs w:val="28"/>
            </w:rPr>
            <w:t>33</w:t>
          </w:r>
          <w:r>
            <w:rPr>
              <w:sz w:val="28"/>
              <w:szCs w:val="28"/>
            </w:rPr>
            <w:fldChar w:fldCharType="end"/>
          </w:r>
          <w:r>
            <w:rPr>
              <w:sz w:val="28"/>
              <w:szCs w:val="28"/>
            </w:rPr>
            <w:fldChar w:fldCharType="end"/>
          </w:r>
        </w:p>
        <w:p>
          <w:pPr>
            <w:pStyle w:val="17"/>
            <w:tabs>
              <w:tab w:val="right" w:leader="dot" w:pos="8494"/>
            </w:tabs>
            <w:rPr>
              <w:sz w:val="28"/>
              <w:szCs w:val="28"/>
            </w:rPr>
          </w:pPr>
          <w:r>
            <w:fldChar w:fldCharType="begin"/>
          </w:r>
          <w:r>
            <w:instrText xml:space="preserve"> HYPERLINK \l "_Toc99381163" </w:instrText>
          </w:r>
          <w:r>
            <w:fldChar w:fldCharType="separate"/>
          </w:r>
          <w:r>
            <w:rPr>
              <w:rStyle w:val="24"/>
              <w:rFonts w:hint="eastAsia" w:ascii="Times New Roman" w:hAnsi="Times New Roman" w:eastAsia="楷体_GB2312" w:cs="Times New Roman"/>
              <w:sz w:val="28"/>
              <w:szCs w:val="28"/>
            </w:rPr>
            <w:t>（三）创新教师管理模式</w:t>
          </w:r>
          <w:r>
            <w:rPr>
              <w:sz w:val="28"/>
              <w:szCs w:val="28"/>
            </w:rPr>
            <w:tab/>
          </w:r>
          <w:r>
            <w:rPr>
              <w:sz w:val="28"/>
              <w:szCs w:val="28"/>
            </w:rPr>
            <w:fldChar w:fldCharType="begin"/>
          </w:r>
          <w:r>
            <w:rPr>
              <w:sz w:val="28"/>
              <w:szCs w:val="28"/>
            </w:rPr>
            <w:instrText xml:space="preserve"> PAGEREF _Toc99381163 \h </w:instrText>
          </w:r>
          <w:r>
            <w:rPr>
              <w:sz w:val="28"/>
              <w:szCs w:val="28"/>
            </w:rPr>
            <w:fldChar w:fldCharType="separate"/>
          </w:r>
          <w:r>
            <w:rPr>
              <w:sz w:val="28"/>
              <w:szCs w:val="28"/>
            </w:rPr>
            <w:t>34</w:t>
          </w:r>
          <w:r>
            <w:rPr>
              <w:sz w:val="28"/>
              <w:szCs w:val="28"/>
            </w:rPr>
            <w:fldChar w:fldCharType="end"/>
          </w:r>
          <w:r>
            <w:rPr>
              <w:sz w:val="28"/>
              <w:szCs w:val="28"/>
            </w:rPr>
            <w:fldChar w:fldCharType="end"/>
          </w:r>
        </w:p>
        <w:p>
          <w:pPr>
            <w:pStyle w:val="17"/>
            <w:tabs>
              <w:tab w:val="right" w:leader="dot" w:pos="8494"/>
            </w:tabs>
            <w:rPr>
              <w:sz w:val="28"/>
              <w:szCs w:val="28"/>
            </w:rPr>
          </w:pPr>
          <w:r>
            <w:fldChar w:fldCharType="begin"/>
          </w:r>
          <w:r>
            <w:instrText xml:space="preserve"> HYPERLINK \l "_Toc99381164" </w:instrText>
          </w:r>
          <w:r>
            <w:fldChar w:fldCharType="separate"/>
          </w:r>
          <w:r>
            <w:rPr>
              <w:rStyle w:val="24"/>
              <w:rFonts w:hint="eastAsia" w:ascii="Times New Roman" w:hAnsi="Times New Roman" w:eastAsia="楷体_GB2312" w:cs="Times New Roman"/>
              <w:sz w:val="28"/>
              <w:szCs w:val="28"/>
            </w:rPr>
            <w:t>（四）提高教师地位待遇</w:t>
          </w:r>
          <w:r>
            <w:rPr>
              <w:sz w:val="28"/>
              <w:szCs w:val="28"/>
            </w:rPr>
            <w:tab/>
          </w:r>
          <w:r>
            <w:rPr>
              <w:sz w:val="28"/>
              <w:szCs w:val="28"/>
            </w:rPr>
            <w:fldChar w:fldCharType="begin"/>
          </w:r>
          <w:r>
            <w:rPr>
              <w:sz w:val="28"/>
              <w:szCs w:val="28"/>
            </w:rPr>
            <w:instrText xml:space="preserve"> PAGEREF _Toc99381164 \h </w:instrText>
          </w:r>
          <w:r>
            <w:rPr>
              <w:sz w:val="28"/>
              <w:szCs w:val="28"/>
            </w:rPr>
            <w:fldChar w:fldCharType="separate"/>
          </w:r>
          <w:r>
            <w:rPr>
              <w:sz w:val="28"/>
              <w:szCs w:val="28"/>
            </w:rPr>
            <w:t>34</w:t>
          </w:r>
          <w:r>
            <w:rPr>
              <w:sz w:val="28"/>
              <w:szCs w:val="28"/>
            </w:rPr>
            <w:fldChar w:fldCharType="end"/>
          </w:r>
          <w:r>
            <w:rPr>
              <w:sz w:val="28"/>
              <w:szCs w:val="28"/>
            </w:rPr>
            <w:fldChar w:fldCharType="end"/>
          </w:r>
        </w:p>
        <w:p>
          <w:pPr>
            <w:pStyle w:val="16"/>
            <w:tabs>
              <w:tab w:val="right" w:leader="dot" w:pos="8494"/>
            </w:tabs>
            <w:rPr>
              <w:sz w:val="28"/>
              <w:szCs w:val="28"/>
            </w:rPr>
          </w:pPr>
          <w:r>
            <w:fldChar w:fldCharType="begin"/>
          </w:r>
          <w:r>
            <w:instrText xml:space="preserve"> HYPERLINK \l "_Toc99381165" </w:instrText>
          </w:r>
          <w:r>
            <w:fldChar w:fldCharType="separate"/>
          </w:r>
          <w:r>
            <w:rPr>
              <w:rStyle w:val="24"/>
              <w:rFonts w:hint="eastAsia" w:ascii="Times New Roman" w:hAnsi="Times New Roman" w:eastAsia="黑体" w:cs="Times New Roman"/>
              <w:sz w:val="28"/>
              <w:szCs w:val="28"/>
            </w:rPr>
            <w:t>九、推动智慧教育建设，夯实现代教育基础</w:t>
          </w:r>
          <w:r>
            <w:rPr>
              <w:sz w:val="28"/>
              <w:szCs w:val="28"/>
            </w:rPr>
            <w:tab/>
          </w:r>
          <w:r>
            <w:rPr>
              <w:sz w:val="28"/>
              <w:szCs w:val="28"/>
            </w:rPr>
            <w:fldChar w:fldCharType="begin"/>
          </w:r>
          <w:r>
            <w:rPr>
              <w:sz w:val="28"/>
              <w:szCs w:val="28"/>
            </w:rPr>
            <w:instrText xml:space="preserve"> PAGEREF _Toc99381165 \h </w:instrText>
          </w:r>
          <w:r>
            <w:rPr>
              <w:sz w:val="28"/>
              <w:szCs w:val="28"/>
            </w:rPr>
            <w:fldChar w:fldCharType="separate"/>
          </w:r>
          <w:r>
            <w:rPr>
              <w:sz w:val="28"/>
              <w:szCs w:val="28"/>
            </w:rPr>
            <w:t>35</w:t>
          </w:r>
          <w:r>
            <w:rPr>
              <w:sz w:val="28"/>
              <w:szCs w:val="28"/>
            </w:rPr>
            <w:fldChar w:fldCharType="end"/>
          </w:r>
          <w:r>
            <w:rPr>
              <w:sz w:val="28"/>
              <w:szCs w:val="28"/>
            </w:rPr>
            <w:fldChar w:fldCharType="end"/>
          </w:r>
        </w:p>
        <w:p>
          <w:pPr>
            <w:pStyle w:val="17"/>
            <w:tabs>
              <w:tab w:val="right" w:leader="dot" w:pos="8494"/>
            </w:tabs>
            <w:rPr>
              <w:sz w:val="28"/>
              <w:szCs w:val="28"/>
            </w:rPr>
          </w:pPr>
          <w:r>
            <w:fldChar w:fldCharType="begin"/>
          </w:r>
          <w:r>
            <w:instrText xml:space="preserve"> HYPERLINK \l "_Toc99381166" </w:instrText>
          </w:r>
          <w:r>
            <w:fldChar w:fldCharType="separate"/>
          </w:r>
          <w:r>
            <w:rPr>
              <w:rStyle w:val="24"/>
              <w:rFonts w:hint="eastAsia" w:ascii="Times New Roman" w:hAnsi="Times New Roman" w:eastAsia="楷体_GB2312" w:cs="Times New Roman"/>
              <w:sz w:val="28"/>
              <w:szCs w:val="28"/>
            </w:rPr>
            <w:t>（一）加强信息化基础设施建设</w:t>
          </w:r>
          <w:r>
            <w:rPr>
              <w:sz w:val="28"/>
              <w:szCs w:val="28"/>
            </w:rPr>
            <w:tab/>
          </w:r>
          <w:r>
            <w:rPr>
              <w:sz w:val="28"/>
              <w:szCs w:val="28"/>
            </w:rPr>
            <w:fldChar w:fldCharType="begin"/>
          </w:r>
          <w:r>
            <w:rPr>
              <w:sz w:val="28"/>
              <w:szCs w:val="28"/>
            </w:rPr>
            <w:instrText xml:space="preserve"> PAGEREF _Toc99381166 \h </w:instrText>
          </w:r>
          <w:r>
            <w:rPr>
              <w:sz w:val="28"/>
              <w:szCs w:val="28"/>
            </w:rPr>
            <w:fldChar w:fldCharType="separate"/>
          </w:r>
          <w:r>
            <w:rPr>
              <w:sz w:val="28"/>
              <w:szCs w:val="28"/>
            </w:rPr>
            <w:t>35</w:t>
          </w:r>
          <w:r>
            <w:rPr>
              <w:sz w:val="28"/>
              <w:szCs w:val="28"/>
            </w:rPr>
            <w:fldChar w:fldCharType="end"/>
          </w:r>
          <w:r>
            <w:rPr>
              <w:sz w:val="28"/>
              <w:szCs w:val="28"/>
            </w:rPr>
            <w:fldChar w:fldCharType="end"/>
          </w:r>
        </w:p>
        <w:p>
          <w:pPr>
            <w:pStyle w:val="17"/>
            <w:tabs>
              <w:tab w:val="right" w:leader="dot" w:pos="8494"/>
            </w:tabs>
            <w:rPr>
              <w:sz w:val="28"/>
              <w:szCs w:val="28"/>
            </w:rPr>
          </w:pPr>
          <w:r>
            <w:fldChar w:fldCharType="begin"/>
          </w:r>
          <w:r>
            <w:instrText xml:space="preserve"> HYPERLINK \l "_Toc99381167" </w:instrText>
          </w:r>
          <w:r>
            <w:fldChar w:fldCharType="separate"/>
          </w:r>
          <w:r>
            <w:rPr>
              <w:rStyle w:val="24"/>
              <w:rFonts w:hint="eastAsia" w:ascii="Times New Roman" w:hAnsi="Times New Roman" w:eastAsia="楷体_GB2312" w:cs="Times New Roman"/>
              <w:sz w:val="28"/>
              <w:szCs w:val="28"/>
            </w:rPr>
            <w:t>（二）推动信息化教学深度融合</w:t>
          </w:r>
          <w:r>
            <w:rPr>
              <w:sz w:val="28"/>
              <w:szCs w:val="28"/>
            </w:rPr>
            <w:tab/>
          </w:r>
          <w:r>
            <w:rPr>
              <w:sz w:val="28"/>
              <w:szCs w:val="28"/>
            </w:rPr>
            <w:fldChar w:fldCharType="begin"/>
          </w:r>
          <w:r>
            <w:rPr>
              <w:sz w:val="28"/>
              <w:szCs w:val="28"/>
            </w:rPr>
            <w:instrText xml:space="preserve"> PAGEREF _Toc99381167 \h </w:instrText>
          </w:r>
          <w:r>
            <w:rPr>
              <w:sz w:val="28"/>
              <w:szCs w:val="28"/>
            </w:rPr>
            <w:fldChar w:fldCharType="separate"/>
          </w:r>
          <w:r>
            <w:rPr>
              <w:sz w:val="28"/>
              <w:szCs w:val="28"/>
            </w:rPr>
            <w:t>36</w:t>
          </w:r>
          <w:r>
            <w:rPr>
              <w:sz w:val="28"/>
              <w:szCs w:val="28"/>
            </w:rPr>
            <w:fldChar w:fldCharType="end"/>
          </w:r>
          <w:r>
            <w:rPr>
              <w:sz w:val="28"/>
              <w:szCs w:val="28"/>
            </w:rPr>
            <w:fldChar w:fldCharType="end"/>
          </w:r>
        </w:p>
        <w:p>
          <w:pPr>
            <w:pStyle w:val="17"/>
            <w:tabs>
              <w:tab w:val="right" w:leader="dot" w:pos="8494"/>
            </w:tabs>
            <w:rPr>
              <w:sz w:val="28"/>
              <w:szCs w:val="28"/>
            </w:rPr>
          </w:pPr>
          <w:r>
            <w:fldChar w:fldCharType="begin"/>
          </w:r>
          <w:r>
            <w:instrText xml:space="preserve"> HYPERLINK \l "_Toc99381168" </w:instrText>
          </w:r>
          <w:r>
            <w:fldChar w:fldCharType="separate"/>
          </w:r>
          <w:r>
            <w:rPr>
              <w:rStyle w:val="24"/>
              <w:rFonts w:hint="eastAsia" w:ascii="Times New Roman" w:hAnsi="Times New Roman" w:eastAsia="楷体_GB2312" w:cs="Times New Roman"/>
              <w:sz w:val="28"/>
              <w:szCs w:val="28"/>
            </w:rPr>
            <w:t>（三）完善智能化教育治理机制</w:t>
          </w:r>
          <w:r>
            <w:rPr>
              <w:sz w:val="28"/>
              <w:szCs w:val="28"/>
            </w:rPr>
            <w:tab/>
          </w:r>
          <w:r>
            <w:rPr>
              <w:sz w:val="28"/>
              <w:szCs w:val="28"/>
            </w:rPr>
            <w:fldChar w:fldCharType="begin"/>
          </w:r>
          <w:r>
            <w:rPr>
              <w:sz w:val="28"/>
              <w:szCs w:val="28"/>
            </w:rPr>
            <w:instrText xml:space="preserve"> PAGEREF _Toc99381168 \h </w:instrText>
          </w:r>
          <w:r>
            <w:rPr>
              <w:sz w:val="28"/>
              <w:szCs w:val="28"/>
            </w:rPr>
            <w:fldChar w:fldCharType="separate"/>
          </w:r>
          <w:r>
            <w:rPr>
              <w:sz w:val="28"/>
              <w:szCs w:val="28"/>
            </w:rPr>
            <w:t>37</w:t>
          </w:r>
          <w:r>
            <w:rPr>
              <w:sz w:val="28"/>
              <w:szCs w:val="28"/>
            </w:rPr>
            <w:fldChar w:fldCharType="end"/>
          </w:r>
          <w:r>
            <w:rPr>
              <w:sz w:val="28"/>
              <w:szCs w:val="28"/>
            </w:rPr>
            <w:fldChar w:fldCharType="end"/>
          </w:r>
        </w:p>
        <w:p>
          <w:pPr>
            <w:pStyle w:val="16"/>
            <w:tabs>
              <w:tab w:val="right" w:leader="dot" w:pos="8494"/>
            </w:tabs>
            <w:rPr>
              <w:sz w:val="28"/>
              <w:szCs w:val="28"/>
            </w:rPr>
          </w:pPr>
          <w:r>
            <w:fldChar w:fldCharType="begin"/>
          </w:r>
          <w:r>
            <w:instrText xml:space="preserve"> HYPERLINK \l "_Toc99381169" </w:instrText>
          </w:r>
          <w:r>
            <w:fldChar w:fldCharType="separate"/>
          </w:r>
          <w:r>
            <w:rPr>
              <w:rStyle w:val="24"/>
              <w:rFonts w:hint="eastAsia" w:ascii="Times New Roman" w:hAnsi="Times New Roman" w:eastAsia="黑体" w:cs="Times New Roman"/>
              <w:sz w:val="28"/>
              <w:szCs w:val="28"/>
            </w:rPr>
            <w:t>十、保障措施</w:t>
          </w:r>
          <w:r>
            <w:rPr>
              <w:sz w:val="28"/>
              <w:szCs w:val="28"/>
            </w:rPr>
            <w:tab/>
          </w:r>
          <w:r>
            <w:rPr>
              <w:sz w:val="28"/>
              <w:szCs w:val="28"/>
            </w:rPr>
            <w:fldChar w:fldCharType="begin"/>
          </w:r>
          <w:r>
            <w:rPr>
              <w:sz w:val="28"/>
              <w:szCs w:val="28"/>
            </w:rPr>
            <w:instrText xml:space="preserve"> PAGEREF _Toc99381169 \h </w:instrText>
          </w:r>
          <w:r>
            <w:rPr>
              <w:sz w:val="28"/>
              <w:szCs w:val="28"/>
            </w:rPr>
            <w:fldChar w:fldCharType="separate"/>
          </w:r>
          <w:r>
            <w:rPr>
              <w:sz w:val="28"/>
              <w:szCs w:val="28"/>
            </w:rPr>
            <w:t>38</w:t>
          </w:r>
          <w:r>
            <w:rPr>
              <w:sz w:val="28"/>
              <w:szCs w:val="28"/>
            </w:rPr>
            <w:fldChar w:fldCharType="end"/>
          </w:r>
          <w:r>
            <w:rPr>
              <w:sz w:val="28"/>
              <w:szCs w:val="28"/>
            </w:rPr>
            <w:fldChar w:fldCharType="end"/>
          </w:r>
        </w:p>
        <w:p>
          <w:pPr>
            <w:pStyle w:val="17"/>
            <w:tabs>
              <w:tab w:val="right" w:leader="dot" w:pos="8494"/>
            </w:tabs>
            <w:rPr>
              <w:sz w:val="28"/>
              <w:szCs w:val="28"/>
            </w:rPr>
          </w:pPr>
          <w:r>
            <w:fldChar w:fldCharType="begin"/>
          </w:r>
          <w:r>
            <w:instrText xml:space="preserve"> HYPERLINK \l "_Toc99381170" </w:instrText>
          </w:r>
          <w:r>
            <w:fldChar w:fldCharType="separate"/>
          </w:r>
          <w:r>
            <w:rPr>
              <w:rStyle w:val="24"/>
              <w:rFonts w:hint="eastAsia" w:ascii="Times New Roman" w:hAnsi="Times New Roman" w:eastAsia="楷体_GB2312" w:cs="Times New Roman"/>
              <w:sz w:val="28"/>
              <w:szCs w:val="28"/>
            </w:rPr>
            <w:t>（一）全面推进依法治教</w:t>
          </w:r>
          <w:r>
            <w:rPr>
              <w:sz w:val="28"/>
              <w:szCs w:val="28"/>
            </w:rPr>
            <w:tab/>
          </w:r>
          <w:r>
            <w:rPr>
              <w:sz w:val="28"/>
              <w:szCs w:val="28"/>
            </w:rPr>
            <w:fldChar w:fldCharType="begin"/>
          </w:r>
          <w:r>
            <w:rPr>
              <w:sz w:val="28"/>
              <w:szCs w:val="28"/>
            </w:rPr>
            <w:instrText xml:space="preserve"> PAGEREF _Toc99381170 \h </w:instrText>
          </w:r>
          <w:r>
            <w:rPr>
              <w:sz w:val="28"/>
              <w:szCs w:val="28"/>
            </w:rPr>
            <w:fldChar w:fldCharType="separate"/>
          </w:r>
          <w:r>
            <w:rPr>
              <w:sz w:val="28"/>
              <w:szCs w:val="28"/>
            </w:rPr>
            <w:t>38</w:t>
          </w:r>
          <w:r>
            <w:rPr>
              <w:sz w:val="28"/>
              <w:szCs w:val="28"/>
            </w:rPr>
            <w:fldChar w:fldCharType="end"/>
          </w:r>
          <w:r>
            <w:rPr>
              <w:sz w:val="28"/>
              <w:szCs w:val="28"/>
            </w:rPr>
            <w:fldChar w:fldCharType="end"/>
          </w:r>
        </w:p>
        <w:p>
          <w:pPr>
            <w:pStyle w:val="17"/>
            <w:tabs>
              <w:tab w:val="right" w:leader="dot" w:pos="8494"/>
            </w:tabs>
            <w:rPr>
              <w:sz w:val="28"/>
              <w:szCs w:val="28"/>
            </w:rPr>
          </w:pPr>
          <w:r>
            <w:fldChar w:fldCharType="begin"/>
          </w:r>
          <w:r>
            <w:instrText xml:space="preserve"> HYPERLINK \l "_Toc99381171" </w:instrText>
          </w:r>
          <w:r>
            <w:fldChar w:fldCharType="separate"/>
          </w:r>
          <w:r>
            <w:rPr>
              <w:rStyle w:val="24"/>
              <w:rFonts w:hint="eastAsia" w:ascii="Times New Roman" w:hAnsi="Times New Roman" w:eastAsia="楷体_GB2312" w:cs="Times New Roman"/>
              <w:sz w:val="28"/>
              <w:szCs w:val="28"/>
            </w:rPr>
            <w:t>（二）加大经费保障力度</w:t>
          </w:r>
          <w:r>
            <w:rPr>
              <w:sz w:val="28"/>
              <w:szCs w:val="28"/>
            </w:rPr>
            <w:tab/>
          </w:r>
          <w:r>
            <w:rPr>
              <w:sz w:val="28"/>
              <w:szCs w:val="28"/>
            </w:rPr>
            <w:fldChar w:fldCharType="begin"/>
          </w:r>
          <w:r>
            <w:rPr>
              <w:sz w:val="28"/>
              <w:szCs w:val="28"/>
            </w:rPr>
            <w:instrText xml:space="preserve"> PAGEREF _Toc99381171 \h </w:instrText>
          </w:r>
          <w:r>
            <w:rPr>
              <w:sz w:val="28"/>
              <w:szCs w:val="28"/>
            </w:rPr>
            <w:fldChar w:fldCharType="separate"/>
          </w:r>
          <w:r>
            <w:rPr>
              <w:sz w:val="28"/>
              <w:szCs w:val="28"/>
            </w:rPr>
            <w:t>38</w:t>
          </w:r>
          <w:r>
            <w:rPr>
              <w:sz w:val="28"/>
              <w:szCs w:val="28"/>
            </w:rPr>
            <w:fldChar w:fldCharType="end"/>
          </w:r>
          <w:r>
            <w:rPr>
              <w:sz w:val="28"/>
              <w:szCs w:val="28"/>
            </w:rPr>
            <w:fldChar w:fldCharType="end"/>
          </w:r>
        </w:p>
        <w:p>
          <w:pPr>
            <w:pStyle w:val="17"/>
            <w:tabs>
              <w:tab w:val="right" w:leader="dot" w:pos="8494"/>
            </w:tabs>
            <w:rPr>
              <w:sz w:val="28"/>
              <w:szCs w:val="28"/>
            </w:rPr>
          </w:pPr>
          <w:r>
            <w:fldChar w:fldCharType="begin"/>
          </w:r>
          <w:r>
            <w:instrText xml:space="preserve"> HYPERLINK \l "_Toc99381172" </w:instrText>
          </w:r>
          <w:r>
            <w:fldChar w:fldCharType="separate"/>
          </w:r>
          <w:r>
            <w:rPr>
              <w:rStyle w:val="24"/>
              <w:rFonts w:hint="eastAsia" w:ascii="Times New Roman" w:hAnsi="Times New Roman" w:eastAsia="楷体_GB2312" w:cs="Times New Roman"/>
              <w:sz w:val="28"/>
              <w:szCs w:val="28"/>
            </w:rPr>
            <w:t>（三）维护教育系统安全</w:t>
          </w:r>
          <w:r>
            <w:rPr>
              <w:sz w:val="28"/>
              <w:szCs w:val="28"/>
            </w:rPr>
            <w:tab/>
          </w:r>
          <w:r>
            <w:rPr>
              <w:sz w:val="28"/>
              <w:szCs w:val="28"/>
            </w:rPr>
            <w:fldChar w:fldCharType="begin"/>
          </w:r>
          <w:r>
            <w:rPr>
              <w:sz w:val="28"/>
              <w:szCs w:val="28"/>
            </w:rPr>
            <w:instrText xml:space="preserve"> PAGEREF _Toc99381172 \h </w:instrText>
          </w:r>
          <w:r>
            <w:rPr>
              <w:sz w:val="28"/>
              <w:szCs w:val="28"/>
            </w:rPr>
            <w:fldChar w:fldCharType="separate"/>
          </w:r>
          <w:r>
            <w:rPr>
              <w:sz w:val="28"/>
              <w:szCs w:val="28"/>
            </w:rPr>
            <w:t>39</w:t>
          </w:r>
          <w:r>
            <w:rPr>
              <w:sz w:val="28"/>
              <w:szCs w:val="28"/>
            </w:rPr>
            <w:fldChar w:fldCharType="end"/>
          </w:r>
          <w:r>
            <w:rPr>
              <w:sz w:val="28"/>
              <w:szCs w:val="28"/>
            </w:rPr>
            <w:fldChar w:fldCharType="end"/>
          </w:r>
        </w:p>
        <w:p>
          <w:pPr>
            <w:pStyle w:val="17"/>
            <w:tabs>
              <w:tab w:val="right" w:leader="dot" w:pos="8494"/>
            </w:tabs>
            <w:rPr>
              <w:sz w:val="28"/>
              <w:szCs w:val="28"/>
            </w:rPr>
          </w:pPr>
          <w:r>
            <w:fldChar w:fldCharType="begin"/>
          </w:r>
          <w:r>
            <w:instrText xml:space="preserve"> HYPERLINK \l "_Toc99381173" </w:instrText>
          </w:r>
          <w:r>
            <w:fldChar w:fldCharType="separate"/>
          </w:r>
          <w:r>
            <w:rPr>
              <w:rStyle w:val="24"/>
              <w:rFonts w:hint="eastAsia" w:ascii="Times New Roman" w:hAnsi="Times New Roman" w:eastAsia="楷体_GB2312" w:cs="Times New Roman"/>
              <w:sz w:val="28"/>
              <w:szCs w:val="28"/>
            </w:rPr>
            <w:t>（四）着力推进组织实施</w:t>
          </w:r>
          <w:r>
            <w:rPr>
              <w:sz w:val="28"/>
              <w:szCs w:val="28"/>
            </w:rPr>
            <w:tab/>
          </w:r>
          <w:r>
            <w:rPr>
              <w:rFonts w:hint="eastAsia"/>
              <w:sz w:val="28"/>
              <w:szCs w:val="28"/>
            </w:rPr>
            <w:t>40</w:t>
          </w:r>
          <w:r>
            <w:rPr>
              <w:rFonts w:hint="eastAsia"/>
              <w:sz w:val="28"/>
              <w:szCs w:val="28"/>
            </w:rPr>
            <w:fldChar w:fldCharType="end"/>
          </w:r>
        </w:p>
        <w:p>
          <w:pPr>
            <w:pStyle w:val="17"/>
            <w:tabs>
              <w:tab w:val="right" w:leader="dot" w:pos="8494"/>
            </w:tabs>
            <w:rPr>
              <w:sz w:val="28"/>
              <w:szCs w:val="28"/>
            </w:rPr>
          </w:pPr>
          <w:r>
            <w:fldChar w:fldCharType="begin"/>
          </w:r>
          <w:r>
            <w:instrText xml:space="preserve"> HYPERLINK \l "_Toc99381174" </w:instrText>
          </w:r>
          <w:r>
            <w:fldChar w:fldCharType="separate"/>
          </w:r>
          <w:r>
            <w:rPr>
              <w:rStyle w:val="24"/>
              <w:rFonts w:hint="eastAsia" w:ascii="Times New Roman" w:hAnsi="Times New Roman" w:eastAsia="楷体_GB2312" w:cs="Times New Roman"/>
              <w:sz w:val="28"/>
              <w:szCs w:val="28"/>
            </w:rPr>
            <w:t>（五）强化监督考核评价</w:t>
          </w:r>
          <w:r>
            <w:rPr>
              <w:sz w:val="28"/>
              <w:szCs w:val="28"/>
            </w:rPr>
            <w:tab/>
          </w:r>
          <w:r>
            <w:rPr>
              <w:sz w:val="28"/>
              <w:szCs w:val="28"/>
            </w:rPr>
            <w:fldChar w:fldCharType="begin"/>
          </w:r>
          <w:r>
            <w:rPr>
              <w:sz w:val="28"/>
              <w:szCs w:val="28"/>
            </w:rPr>
            <w:instrText xml:space="preserve"> PAGEREF _Toc99381174 \h </w:instrText>
          </w:r>
          <w:r>
            <w:rPr>
              <w:sz w:val="28"/>
              <w:szCs w:val="28"/>
            </w:rPr>
            <w:fldChar w:fldCharType="separate"/>
          </w:r>
          <w:r>
            <w:rPr>
              <w:sz w:val="28"/>
              <w:szCs w:val="28"/>
            </w:rPr>
            <w:t>40</w:t>
          </w:r>
          <w:r>
            <w:rPr>
              <w:sz w:val="28"/>
              <w:szCs w:val="28"/>
            </w:rPr>
            <w:fldChar w:fldCharType="end"/>
          </w:r>
          <w:r>
            <w:rPr>
              <w:sz w:val="28"/>
              <w:szCs w:val="28"/>
            </w:rPr>
            <w:fldChar w:fldCharType="end"/>
          </w:r>
        </w:p>
        <w:p>
          <w:pPr>
            <w:rPr>
              <w:rFonts w:ascii="Times New Roman" w:hAnsi="Times New Roman" w:cs="Times New Roman"/>
              <w:sz w:val="30"/>
              <w:szCs w:val="30"/>
            </w:rPr>
          </w:pPr>
          <w:r>
            <w:rPr>
              <w:rFonts w:ascii="Times New Roman" w:hAnsi="Times New Roman" w:cs="Times New Roman"/>
              <w:sz w:val="28"/>
              <w:szCs w:val="28"/>
            </w:rPr>
            <w:fldChar w:fldCharType="end"/>
          </w:r>
        </w:p>
      </w:sdtContent>
    </w:sdt>
    <w:p>
      <w:pPr>
        <w:spacing w:after="156" w:afterLines="50" w:line="660" w:lineRule="exact"/>
        <w:rPr>
          <w:rFonts w:ascii="Times New Roman" w:hAnsi="Times New Roman" w:eastAsia="方正小标宋简体" w:cs="Times New Roman"/>
          <w:sz w:val="44"/>
          <w:szCs w:val="44"/>
        </w:rPr>
      </w:pPr>
    </w:p>
    <w:p>
      <w:pPr>
        <w:pStyle w:val="2"/>
      </w:pPr>
    </w:p>
    <w:p>
      <w:pPr>
        <w:pStyle w:val="4"/>
      </w:pPr>
    </w:p>
    <w:p>
      <w:pPr>
        <w:pStyle w:val="5"/>
      </w:pPr>
    </w:p>
    <w:p/>
    <w:p>
      <w:pPr>
        <w:pStyle w:val="2"/>
      </w:pPr>
    </w:p>
    <w:p>
      <w:pPr>
        <w:pStyle w:val="4"/>
      </w:pPr>
    </w:p>
    <w:p>
      <w:pPr>
        <w:pStyle w:val="5"/>
      </w:pPr>
    </w:p>
    <w:p/>
    <w:p>
      <w:pPr>
        <w:pStyle w:val="2"/>
      </w:pPr>
    </w:p>
    <w:p>
      <w:pPr>
        <w:pStyle w:val="4"/>
      </w:pPr>
    </w:p>
    <w:p>
      <w:pPr>
        <w:pStyle w:val="5"/>
      </w:pPr>
    </w:p>
    <w:p/>
    <w:p>
      <w:pPr>
        <w:pStyle w:val="2"/>
        <w:ind w:firstLine="0"/>
        <w:jc w:val="left"/>
        <w:sectPr>
          <w:footerReference r:id="rId6" w:type="default"/>
          <w:pgSz w:w="11906" w:h="16838"/>
          <w:pgMar w:top="1871" w:right="1701" w:bottom="1701" w:left="1701" w:header="851" w:footer="992" w:gutter="0"/>
          <w:pgNumType w:start="1"/>
          <w:cols w:space="425" w:num="1"/>
          <w:docGrid w:type="lines" w:linePitch="312" w:charSpace="0"/>
        </w:sectPr>
      </w:pPr>
      <w:r>
        <w:br w:type="page"/>
      </w:r>
    </w:p>
    <w:p>
      <w:pPr>
        <w:pStyle w:val="2"/>
        <w:ind w:firstLine="0"/>
        <w:jc w:val="left"/>
      </w:pPr>
    </w:p>
    <w:p>
      <w:pPr>
        <w:pStyle w:val="2"/>
        <w:ind w:firstLine="0"/>
        <w:jc w:val="left"/>
      </w:pPr>
    </w:p>
    <w:p>
      <w:pPr>
        <w:pStyle w:val="2"/>
        <w:jc w:val="left"/>
      </w:pPr>
    </w:p>
    <w:p>
      <w:pPr>
        <w:pStyle w:val="2"/>
      </w:pPr>
    </w:p>
    <w:p>
      <w:pPr>
        <w:spacing w:after="156" w:afterLines="50" w:line="660" w:lineRule="exact"/>
        <w:ind w:firstLine="880" w:firstLineChars="200"/>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阳泉市“十四五”教育事业发展规划</w:t>
      </w:r>
    </w:p>
    <w:p>
      <w:pPr>
        <w:spacing w:line="660" w:lineRule="exact"/>
        <w:ind w:firstLine="642" w:firstLineChars="200"/>
        <w:rPr>
          <w:rFonts w:ascii="Times New Roman" w:hAnsi="Times New Roman" w:eastAsia="宋体" w:cs="Times New Roman"/>
          <w:b/>
          <w:sz w:val="32"/>
          <w:szCs w:val="44"/>
        </w:rPr>
      </w:pP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“十四五”时期是我国“两个一百年”奋斗目标的历史交汇期，是山西深刻践行习近平总书记“在转型发展上率先</w:t>
      </w:r>
      <w:r>
        <w:rPr>
          <w:rFonts w:ascii="Times New Roman" w:hAnsi="Times New Roman" w:eastAsia="仿宋" w:cs="Times New Roman"/>
          <w:sz w:val="32"/>
          <w:szCs w:val="32"/>
        </w:rPr>
        <w:t>蹚</w:t>
      </w:r>
      <w:r>
        <w:rPr>
          <w:rFonts w:ascii="Times New Roman" w:hAnsi="Times New Roman" w:eastAsia="仿宋_GB2312" w:cs="Times New Roman"/>
          <w:sz w:val="32"/>
          <w:szCs w:val="32"/>
        </w:rPr>
        <w:t>出一条新路来”殷殷嘱托的关键期，是阳泉市</w:t>
      </w:r>
      <w:r>
        <w:rPr>
          <w:rFonts w:ascii="Times New Roman" w:hAnsi="Times New Roman" w:eastAsia="仿宋_GB2312" w:cs="Times New Roman"/>
          <w:color w:val="000000" w:themeColor="text1"/>
          <w:sz w:val="32"/>
          <w:szCs w:val="32"/>
          <w14:textFill>
            <w14:solidFill>
              <w14:schemeClr w14:val="tx1"/>
            </w14:solidFill>
          </w14:textFill>
        </w:rPr>
        <w:t>全方位推进高质量发展</w:t>
      </w:r>
      <w:r>
        <w:rPr>
          <w:rFonts w:ascii="Times New Roman" w:hAnsi="Times New Roman" w:eastAsia="仿宋_GB2312" w:cs="Times New Roman"/>
          <w:sz w:val="32"/>
          <w:szCs w:val="32"/>
        </w:rPr>
        <w:t>的黄金期，更是建设更高质量教育体系、全面实现教育现代化的决胜期。</w:t>
      </w:r>
      <w:r>
        <w:rPr>
          <w:rFonts w:ascii="Times New Roman" w:hAnsi="Times New Roman" w:eastAsia="仿宋_GB2312" w:cs="Times New Roman"/>
          <w:color w:val="000000" w:themeColor="text1"/>
          <w:sz w:val="32"/>
          <w:szCs w:val="32"/>
          <w14:textFill>
            <w14:solidFill>
              <w14:schemeClr w14:val="tx1"/>
            </w14:solidFill>
          </w14:textFill>
        </w:rPr>
        <w:t>为</w:t>
      </w:r>
      <w:r>
        <w:rPr>
          <w:rFonts w:ascii="Times New Roman" w:hAnsi="Times New Roman" w:eastAsia="仿宋_GB2312" w:cs="Times New Roman"/>
          <w:sz w:val="32"/>
          <w:szCs w:val="32"/>
        </w:rPr>
        <w:t>从战略层面推动全市教育内涵发展、融合发展、协同发展，为</w:t>
      </w:r>
      <w:r>
        <w:rPr>
          <w:rFonts w:hint="eastAsia" w:ascii="Times New Roman" w:hAnsi="Times New Roman" w:eastAsia="仿宋_GB2312" w:cs="Times New Roman"/>
          <w:sz w:val="32"/>
          <w:szCs w:val="32"/>
        </w:rPr>
        <w:t>全方位推进我市高质量发展</w:t>
      </w:r>
      <w:r>
        <w:rPr>
          <w:rFonts w:ascii="Times New Roman" w:hAnsi="Times New Roman" w:eastAsia="仿宋_GB2312" w:cs="Times New Roman"/>
          <w:sz w:val="32"/>
          <w:szCs w:val="32"/>
        </w:rPr>
        <w:t>提供智力保障和人才支撑</w:t>
      </w:r>
      <w:r>
        <w:rPr>
          <w:rFonts w:ascii="Times New Roman" w:hAnsi="Times New Roman" w:eastAsia="仿宋_GB2312" w:cs="Times New Roman"/>
          <w:color w:val="000000" w:themeColor="text1"/>
          <w:sz w:val="32"/>
          <w:szCs w:val="32"/>
          <w14:textFill>
            <w14:solidFill>
              <w14:schemeClr w14:val="tx1"/>
            </w14:solidFill>
          </w14:textFill>
        </w:rPr>
        <w:t>，依据《“十四五”教育发展规划》、《山西省“十四五”教育事业发展规划》和</w:t>
      </w:r>
      <w:r>
        <w:rPr>
          <w:rFonts w:ascii="Times New Roman" w:hAnsi="Times New Roman" w:eastAsia="仿宋_GB2312" w:cs="Times New Roman"/>
          <w:sz w:val="32"/>
          <w:szCs w:val="32"/>
        </w:rPr>
        <w:t>《阳泉市国民经济和社会发展第十四个五年规划和二</w:t>
      </w:r>
      <w:r>
        <w:rPr>
          <w:rFonts w:ascii="宋体" w:hAnsi="宋体" w:eastAsia="宋体" w:cs="宋体"/>
          <w:sz w:val="32"/>
          <w:szCs w:val="32"/>
        </w:rPr>
        <w:t>〇</w:t>
      </w:r>
      <w:r>
        <w:rPr>
          <w:rFonts w:ascii="Times New Roman" w:hAnsi="Times New Roman" w:eastAsia="仿宋_GB2312" w:cs="Times New Roman"/>
          <w:sz w:val="32"/>
          <w:szCs w:val="32"/>
        </w:rPr>
        <w:t>三五年远景目标纲要》</w:t>
      </w:r>
      <w:r>
        <w:rPr>
          <w:rFonts w:ascii="Times New Roman" w:hAnsi="Times New Roman" w:eastAsia="仿宋_GB2312" w:cs="Times New Roman"/>
          <w:color w:val="000000" w:themeColor="text1"/>
          <w:sz w:val="32"/>
          <w:szCs w:val="32"/>
          <w14:textFill>
            <w14:solidFill>
              <w14:schemeClr w14:val="tx1"/>
            </w14:solidFill>
          </w14:textFill>
        </w:rPr>
        <w:t>，编制本规划</w:t>
      </w:r>
      <w:r>
        <w:rPr>
          <w:rFonts w:ascii="Times New Roman" w:hAnsi="Times New Roman" w:eastAsia="仿宋_GB2312" w:cs="Times New Roman"/>
          <w:sz w:val="32"/>
          <w:szCs w:val="32"/>
        </w:rPr>
        <w:t>。</w:t>
      </w:r>
    </w:p>
    <w:p>
      <w:pPr>
        <w:pStyle w:val="6"/>
        <w:keepNext w:val="0"/>
        <w:keepLines w:val="0"/>
        <w:spacing w:before="156" w:beforeLines="50" w:after="156" w:afterLines="50" w:line="240" w:lineRule="auto"/>
        <w:ind w:firstLine="640" w:firstLineChars="200"/>
        <w:rPr>
          <w:rFonts w:ascii="Times New Roman" w:hAnsi="Times New Roman" w:eastAsia="黑体" w:cs="Times New Roman"/>
          <w:b w:val="0"/>
          <w:sz w:val="32"/>
          <w:szCs w:val="32"/>
        </w:rPr>
      </w:pPr>
      <w:bookmarkStart w:id="0" w:name="_Toc99381120"/>
      <w:r>
        <w:rPr>
          <w:rFonts w:ascii="Times New Roman" w:hAnsi="Times New Roman" w:eastAsia="黑体" w:cs="Times New Roman"/>
          <w:b w:val="0"/>
          <w:sz w:val="32"/>
          <w:szCs w:val="32"/>
        </w:rPr>
        <w:t>一、发展基础和面临形势</w:t>
      </w:r>
      <w:bookmarkEnd w:id="0"/>
    </w:p>
    <w:p>
      <w:pPr>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“十三五”时期，全市教育系统坚决贯彻省委省政府和市委市政府的决策部署，坚持把教育工作放在优先位置，切实加强组织领导，健全体制机制，深化教育改革，</w:t>
      </w:r>
      <w:r>
        <w:rPr>
          <w:rFonts w:ascii="Times New Roman" w:hAnsi="Times New Roman" w:eastAsia="仿宋_GB2312" w:cs="Times New Roman"/>
          <w:sz w:val="32"/>
          <w:szCs w:val="32"/>
        </w:rPr>
        <w:t>抓好项目建设，</w:t>
      </w:r>
      <w:r>
        <w:rPr>
          <w:rFonts w:ascii="Times New Roman" w:hAnsi="Times New Roman" w:eastAsia="仿宋_GB2312" w:cs="Times New Roman"/>
          <w:bCs/>
          <w:kern w:val="0"/>
          <w:sz w:val="32"/>
          <w:szCs w:val="32"/>
        </w:rPr>
        <w:t>各级各类教育实现稳步、健康、协调发展。</w:t>
      </w:r>
    </w:p>
    <w:p>
      <w:pPr>
        <w:pStyle w:val="7"/>
        <w:keepNext w:val="0"/>
        <w:keepLines w:val="0"/>
        <w:widowControl/>
        <w:spacing w:before="156" w:beforeLines="50" w:after="0"/>
        <w:ind w:firstLine="642" w:firstLineChars="200"/>
        <w:rPr>
          <w:rFonts w:ascii="Times New Roman" w:hAnsi="Times New Roman" w:eastAsia="楷体_GB2312" w:cs="Times New Roman"/>
        </w:rPr>
      </w:pPr>
      <w:bookmarkStart w:id="1" w:name="_Toc99381121"/>
      <w:r>
        <w:rPr>
          <w:rFonts w:ascii="Times New Roman" w:hAnsi="Times New Roman" w:eastAsia="楷体_GB2312" w:cs="Times New Roman"/>
        </w:rPr>
        <w:t>（一）“十三五”发展基础</w:t>
      </w:r>
      <w:bookmarkEnd w:id="1"/>
    </w:p>
    <w:p>
      <w:pPr>
        <w:spacing w:line="660" w:lineRule="exact"/>
        <w:ind w:firstLine="642"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1.坚持均衡协调，教育事业发展全面推进</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sz w:val="32"/>
          <w:szCs w:val="32"/>
        </w:rPr>
        <w:t>学前教育普惠发展工程初显成效。</w:t>
      </w:r>
      <w:r>
        <w:rPr>
          <w:rFonts w:ascii="Times New Roman" w:hAnsi="Times New Roman" w:eastAsia="仿宋_GB2312" w:cs="Times New Roman"/>
          <w:sz w:val="32"/>
          <w:szCs w:val="32"/>
        </w:rPr>
        <w:t>普惠性学前教育资源不断丰富，普及普惠水平逐步提高，全市学前三年毛入园率达到91.5%，公办园在园幼儿占比55.4%，普惠性学前教育资源覆盖率达81%。</w:t>
      </w:r>
      <w:r>
        <w:rPr>
          <w:rFonts w:ascii="Times New Roman" w:hAnsi="Times New Roman" w:eastAsia="楷体_GB2312" w:cs="Times New Roman"/>
          <w:bCs/>
          <w:sz w:val="32"/>
          <w:szCs w:val="32"/>
        </w:rPr>
        <w:t>义务教育改革发展工程全面完成。</w:t>
      </w:r>
      <w:r>
        <w:rPr>
          <w:rFonts w:ascii="Times New Roman" w:hAnsi="Times New Roman" w:eastAsia="仿宋_GB2312" w:cs="Times New Roman"/>
          <w:sz w:val="32"/>
          <w:szCs w:val="32"/>
        </w:rPr>
        <w:t>义务教育一体化发展稳步推进，城乡教育资源配置日趋合理，优质教育资源覆盖面有效扩大。公办民办学校协调发展，乡镇寄宿制学校建设不断加快，义务教育阶段</w:t>
      </w:r>
      <w:r>
        <w:rPr>
          <w:rFonts w:ascii="Times New Roman" w:hAnsi="Times New Roman" w:eastAsia="仿宋_GB2312" w:cs="Times New Roman"/>
          <w:kern w:val="0"/>
          <w:sz w:val="32"/>
          <w:szCs w:val="32"/>
        </w:rPr>
        <w:t>提前完成消除大班额规划任务</w:t>
      </w:r>
      <w:r>
        <w:rPr>
          <w:rFonts w:ascii="Times New Roman" w:hAnsi="Times New Roman" w:eastAsia="仿宋_GB2312" w:cs="Times New Roman"/>
          <w:sz w:val="32"/>
          <w:szCs w:val="32"/>
        </w:rPr>
        <w:t>。积极打造盂县省级城乡义务教育优质均衡发展试点，全</w:t>
      </w:r>
      <w:r>
        <w:rPr>
          <w:rFonts w:ascii="Times New Roman" w:hAnsi="Times New Roman" w:eastAsia="仿宋_GB2312" w:cs="Times New Roman"/>
          <w:kern w:val="0"/>
          <w:sz w:val="32"/>
          <w:szCs w:val="32"/>
        </w:rPr>
        <w:t>市所辖5个县（区）全部通过“全国义务教育发展基本均衡县（区）国家认定”，成为全省首批整体达标的地市。</w:t>
      </w:r>
      <w:r>
        <w:rPr>
          <w:rFonts w:ascii="Times New Roman" w:hAnsi="Times New Roman" w:eastAsia="楷体_GB2312" w:cs="Times New Roman"/>
          <w:bCs/>
          <w:sz w:val="32"/>
          <w:szCs w:val="32"/>
        </w:rPr>
        <w:t>普通高中提升发展工程顺利实施。</w:t>
      </w:r>
      <w:r>
        <w:rPr>
          <w:rFonts w:ascii="Times New Roman" w:hAnsi="Times New Roman" w:eastAsia="仿宋_GB2312" w:cs="Times New Roman"/>
          <w:bCs/>
          <w:sz w:val="32"/>
          <w:szCs w:val="32"/>
        </w:rPr>
        <w:t>积极推动高中特色化、多样化办学，“一校一品牌，一生一特长”办学策略稳步实施</w:t>
      </w:r>
      <w:r>
        <w:rPr>
          <w:rFonts w:ascii="Times New Roman" w:hAnsi="Times New Roman" w:eastAsia="仿宋_GB2312" w:cs="Times New Roman"/>
          <w:sz w:val="32"/>
          <w:szCs w:val="32"/>
        </w:rPr>
        <w:t>。普通高中</w:t>
      </w:r>
      <w:r>
        <w:rPr>
          <w:rFonts w:ascii="Times New Roman" w:hAnsi="Times New Roman" w:eastAsia="仿宋_GB2312" w:cs="Times New Roman"/>
          <w:bCs/>
          <w:sz w:val="32"/>
          <w:szCs w:val="32"/>
        </w:rPr>
        <w:t>标准化达标工程</w:t>
      </w:r>
      <w:r>
        <w:rPr>
          <w:rFonts w:ascii="Times New Roman" w:hAnsi="Times New Roman" w:eastAsia="仿宋_GB2312" w:cs="Times New Roman"/>
          <w:sz w:val="32"/>
          <w:szCs w:val="32"/>
        </w:rPr>
        <w:t>有序推进</w:t>
      </w:r>
      <w:r>
        <w:rPr>
          <w:rFonts w:ascii="Times New Roman" w:hAnsi="Times New Roman" w:eastAsia="仿宋_GB2312" w:cs="Times New Roman"/>
          <w:bCs/>
          <w:sz w:val="32"/>
          <w:szCs w:val="32"/>
        </w:rPr>
        <w:t>，</w:t>
      </w:r>
      <w:r>
        <w:rPr>
          <w:rFonts w:ascii="Times New Roman" w:hAnsi="Times New Roman" w:eastAsia="仿宋_GB2312" w:cs="Times New Roman"/>
          <w:sz w:val="32"/>
          <w:szCs w:val="32"/>
        </w:rPr>
        <w:t>全</w:t>
      </w:r>
      <w:r>
        <w:rPr>
          <w:rFonts w:ascii="Times New Roman" w:hAnsi="Times New Roman" w:eastAsia="仿宋_GB2312" w:cs="Times New Roman"/>
          <w:kern w:val="0"/>
          <w:sz w:val="32"/>
          <w:szCs w:val="32"/>
        </w:rPr>
        <w:t>市实现每10万人口拥有一所普通高中学校，各县（区）拥有一所省级示范高中，</w:t>
      </w:r>
      <w:r>
        <w:rPr>
          <w:rFonts w:ascii="Times New Roman" w:hAnsi="Times New Roman" w:eastAsia="仿宋_GB2312" w:cs="Times New Roman"/>
          <w:color w:val="000000"/>
          <w:sz w:val="32"/>
          <w:szCs w:val="32"/>
        </w:rPr>
        <w:t>高考</w:t>
      </w:r>
      <w:r>
        <w:rPr>
          <w:rFonts w:ascii="Times New Roman" w:hAnsi="Times New Roman" w:eastAsia="仿宋_GB2312" w:cs="Times New Roman"/>
          <w:kern w:val="0"/>
          <w:sz w:val="32"/>
          <w:szCs w:val="32"/>
        </w:rPr>
        <w:t>整体成绩居全省前列。</w:t>
      </w:r>
      <w:r>
        <w:rPr>
          <w:rFonts w:ascii="Times New Roman" w:hAnsi="Times New Roman" w:eastAsia="楷体_GB2312" w:cs="Times New Roman"/>
          <w:sz w:val="32"/>
          <w:szCs w:val="32"/>
        </w:rPr>
        <w:t>职业教育整合发展工程稳步开展。</w:t>
      </w:r>
      <w:r>
        <w:rPr>
          <w:rFonts w:ascii="Times New Roman" w:hAnsi="Times New Roman" w:eastAsia="仿宋_GB2312" w:cs="Times New Roman"/>
          <w:sz w:val="32"/>
          <w:szCs w:val="32"/>
        </w:rPr>
        <w:t>职业院校办学条件达标建设稳步推进，职业教育资源整合工作初见成效，重点专业和</w:t>
      </w:r>
      <w:r>
        <w:rPr>
          <w:rFonts w:ascii="Times New Roman" w:hAnsi="Times New Roman" w:eastAsia="仿宋_GB2312" w:cs="Times New Roman"/>
          <w:color w:val="000000"/>
          <w:sz w:val="32"/>
          <w:szCs w:val="32"/>
        </w:rPr>
        <w:t>实训基地建设不断</w:t>
      </w:r>
      <w:r>
        <w:rPr>
          <w:rFonts w:ascii="Times New Roman" w:hAnsi="Times New Roman" w:eastAsia="仿宋_GB2312" w:cs="Times New Roman"/>
          <w:sz w:val="32"/>
          <w:szCs w:val="32"/>
        </w:rPr>
        <w:t>加强。阳泉职业技术学院新校区建成并投入使用，全市职业教育框架体系基本形成。</w:t>
      </w:r>
      <w:r>
        <w:rPr>
          <w:rFonts w:ascii="Times New Roman" w:hAnsi="Times New Roman" w:eastAsia="楷体_GB2312" w:cs="Times New Roman"/>
          <w:bCs/>
          <w:sz w:val="32"/>
          <w:szCs w:val="32"/>
        </w:rPr>
        <w:t>高等教育提速发展工程加速推进。</w:t>
      </w:r>
      <w:r>
        <w:rPr>
          <w:rFonts w:ascii="Times New Roman" w:hAnsi="Times New Roman" w:eastAsia="仿宋_GB2312" w:cs="Times New Roman"/>
          <w:sz w:val="32"/>
          <w:szCs w:val="32"/>
        </w:rPr>
        <w:t>实施人才支持计划，高校高水平人才团队建设不断加强，高校引领作用得到发挥。</w:t>
      </w:r>
      <w:r>
        <w:rPr>
          <w:rFonts w:ascii="Times New Roman" w:hAnsi="Times New Roman" w:eastAsia="楷体_GB2312" w:cs="Times New Roman"/>
          <w:bCs/>
          <w:sz w:val="32"/>
          <w:szCs w:val="32"/>
        </w:rPr>
        <w:t>继续教育和特殊教育优化发展工程全面铺开。</w:t>
      </w:r>
      <w:r>
        <w:rPr>
          <w:rFonts w:ascii="Times New Roman" w:hAnsi="Times New Roman" w:eastAsia="仿宋_GB2312" w:cs="Times New Roman"/>
          <w:sz w:val="32"/>
          <w:szCs w:val="32"/>
        </w:rPr>
        <w:t>积极开展农村实用技术培训和社区教育，依托阳泉开放大学（阳泉老年开放大学）打造全民终身学习平</w:t>
      </w:r>
      <w:r>
        <w:rPr>
          <w:rFonts w:ascii="Times New Roman" w:hAnsi="Times New Roman" w:eastAsia="仿宋_GB2312" w:cs="Times New Roman"/>
          <w:color w:val="000000"/>
          <w:sz w:val="32"/>
          <w:szCs w:val="32"/>
        </w:rPr>
        <w:t>台。</w:t>
      </w:r>
      <w:r>
        <w:rPr>
          <w:rFonts w:ascii="Times New Roman" w:hAnsi="Times New Roman" w:eastAsia="仿宋_GB2312" w:cs="Times New Roman"/>
          <w:sz w:val="32"/>
          <w:szCs w:val="32"/>
        </w:rPr>
        <w:t>全力办好各级各类特殊教育学校，残疾儿童少年随班就读保障</w:t>
      </w:r>
      <w:r>
        <w:rPr>
          <w:rFonts w:ascii="Times New Roman" w:hAnsi="Times New Roman" w:eastAsia="仿宋_GB2312" w:cs="Times New Roman"/>
          <w:color w:val="000000"/>
          <w:sz w:val="32"/>
          <w:szCs w:val="32"/>
        </w:rPr>
        <w:t>体系不断</w:t>
      </w:r>
      <w:r>
        <w:rPr>
          <w:rFonts w:ascii="Times New Roman" w:hAnsi="Times New Roman" w:eastAsia="仿宋_GB2312" w:cs="Times New Roman"/>
          <w:sz w:val="32"/>
          <w:szCs w:val="32"/>
        </w:rPr>
        <w:t>完善，“一人一案”政策持续落实，特殊教育从学前到高中十五年全免费，在全省率先实现了真正意义上的特殊教育“全免费”，全市残疾儿童义务教育入学率达到97%以上。</w:t>
      </w:r>
    </w:p>
    <w:p>
      <w:pPr>
        <w:spacing w:line="660" w:lineRule="exact"/>
        <w:ind w:firstLine="642"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2.坚持内涵发展，教育质量水平稳步提升</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德育品牌打造扎实有力。</w:t>
      </w:r>
      <w:r>
        <w:rPr>
          <w:rFonts w:ascii="Times New Roman" w:hAnsi="Times New Roman" w:eastAsia="仿宋_GB2312" w:cs="Times New Roman"/>
          <w:sz w:val="32"/>
          <w:szCs w:val="32"/>
        </w:rPr>
        <w:t>积极培育和践行社会主义核心价值观，率先在全省建立</w:t>
      </w:r>
      <w:r>
        <w:rPr>
          <w:rFonts w:ascii="Times New Roman" w:hAnsi="Times New Roman" w:eastAsia="仿宋_GB2312" w:cs="Times New Roman"/>
          <w:bCs/>
          <w:sz w:val="32"/>
          <w:szCs w:val="32"/>
        </w:rPr>
        <w:t>立德树人</w:t>
      </w:r>
      <w:r>
        <w:rPr>
          <w:rFonts w:ascii="Times New Roman" w:hAnsi="Times New Roman" w:eastAsia="仿宋_GB2312" w:cs="Times New Roman"/>
          <w:sz w:val="32"/>
          <w:szCs w:val="32"/>
        </w:rPr>
        <w:t>系统化落实机制，打造出盂县三小“红领巾监督岗”、沙台小学“三小队伍”、郊区育才小学“好习惯银行”、</w:t>
      </w:r>
      <w:r>
        <w:rPr>
          <w:rFonts w:ascii="Times New Roman" w:hAnsi="Times New Roman" w:eastAsia="仿宋_GB2312" w:cs="Times New Roman"/>
          <w:color w:val="000000" w:themeColor="text1"/>
          <w:sz w:val="32"/>
          <w:szCs w:val="32"/>
          <w14:textFill>
            <w14:solidFill>
              <w14:schemeClr w14:val="tx1"/>
            </w14:solidFill>
          </w14:textFill>
        </w:rPr>
        <w:t>市一中</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市十一中</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市实验中学“中学生领导力”等德育品牌。</w:t>
      </w:r>
      <w:r>
        <w:rPr>
          <w:rFonts w:hint="eastAsia" w:ascii="Times New Roman" w:hAnsi="Times New Roman" w:eastAsia="仿宋_GB2312" w:cs="Times New Roman"/>
          <w:color w:val="000000" w:themeColor="text1"/>
          <w:sz w:val="32"/>
          <w:szCs w:val="32"/>
          <w14:textFill>
            <w14:solidFill>
              <w14:schemeClr w14:val="tx1"/>
            </w14:solidFill>
          </w14:textFill>
        </w:rPr>
        <w:t>《德育报》头版头条报道“心行教育”德育工程——《聚力“心行教育”工程 创新学校德育模式》，全市两个德育案例入选教育部首批“一校一案”落实《中小学德育工作指南》典型案例，阳泉市教育局荣获“全国未成年人思想道德建设工作先进单位”称号，德育工作取得显著成效。</w:t>
      </w:r>
      <w:r>
        <w:rPr>
          <w:rFonts w:ascii="Times New Roman" w:hAnsi="Times New Roman" w:eastAsia="仿宋_GB2312" w:cs="Times New Roman"/>
          <w:sz w:val="32"/>
          <w:szCs w:val="32"/>
        </w:rPr>
        <w:t>智慧德育、高效德育、创新德育多元化培养机制逐渐完善，劳动教育、体育美育及卫生、国防教育不断深化，学生综合素养稳步提升。</w:t>
      </w:r>
      <w:r>
        <w:rPr>
          <w:rFonts w:ascii="Times New Roman" w:hAnsi="Times New Roman" w:eastAsia="楷体_GB2312" w:cs="Times New Roman"/>
          <w:sz w:val="32"/>
          <w:szCs w:val="32"/>
        </w:rPr>
        <w:t>特色学校创建亮点突出。</w:t>
      </w:r>
      <w:r>
        <w:rPr>
          <w:rFonts w:ascii="Times New Roman" w:hAnsi="Times New Roman" w:eastAsia="仿宋_GB2312" w:cs="Times New Roman"/>
          <w:sz w:val="32"/>
          <w:szCs w:val="32"/>
        </w:rPr>
        <w:t>以“一校一品牌、一校一特色、一校一风格”为目标，依托校园文化建设工程，积极打造内涵丰富、特色鲜明的特色学校和特色项目，</w:t>
      </w:r>
      <w:r>
        <w:rPr>
          <w:rFonts w:ascii="Times New Roman" w:hAnsi="Times New Roman" w:eastAsia="仿宋_GB2312" w:cs="Times New Roman"/>
          <w:color w:val="000000"/>
          <w:sz w:val="32"/>
          <w:szCs w:val="32"/>
        </w:rPr>
        <w:t>每年选出10个典型品牌学校在全市进行经验推广，全市教育个性化水平</w:t>
      </w:r>
      <w:r>
        <w:rPr>
          <w:rFonts w:ascii="Times New Roman" w:hAnsi="Times New Roman" w:eastAsia="仿宋_GB2312" w:cs="Times New Roman"/>
          <w:sz w:val="32"/>
          <w:szCs w:val="32"/>
        </w:rPr>
        <w:t>显著提升。</w:t>
      </w:r>
      <w:r>
        <w:rPr>
          <w:rFonts w:ascii="Times New Roman" w:hAnsi="Times New Roman" w:eastAsia="楷体_GB2312" w:cs="Times New Roman"/>
          <w:sz w:val="32"/>
          <w:szCs w:val="32"/>
        </w:rPr>
        <w:t>产教融合持续深化。</w:t>
      </w:r>
      <w:r>
        <w:rPr>
          <w:rFonts w:ascii="Times New Roman" w:hAnsi="Times New Roman" w:eastAsia="仿宋_GB2312" w:cs="Times New Roman"/>
          <w:sz w:val="32"/>
          <w:szCs w:val="32"/>
        </w:rPr>
        <w:t>积极开展校企合作，稳步推进现代学徒制试点，阳泉职业技术学院先后与百度云计算（阳泉）中心、金石易服（北京）科技有限公司、中兴通讯股份有限公司签订校企战略合作协议，汽修专业先后与吉利控股集团、比亚迪股份有限公司、航铁集团等全国知名企业进行校企合作，实现校企基地共建、人才共培、互利共赢。</w:t>
      </w:r>
      <w:r>
        <w:rPr>
          <w:rFonts w:hint="eastAsia" w:ascii="楷体_GB2312" w:hAnsi="Times New Roman" w:eastAsia="楷体_GB2312" w:cs="Times New Roman"/>
          <w:sz w:val="32"/>
          <w:szCs w:val="32"/>
        </w:rPr>
        <w:t>教学质量逐步提升。</w:t>
      </w:r>
      <w:r>
        <w:rPr>
          <w:rFonts w:ascii="Times New Roman" w:hAnsi="Times New Roman" w:eastAsia="仿宋_GB2312" w:cs="Times New Roman"/>
          <w:sz w:val="32"/>
          <w:szCs w:val="32"/>
        </w:rPr>
        <w:t>义务教育与高中教育教学质量监测积极推进，教育教学研究和管理工作不断加强，市、县两级教研室及</w:t>
      </w:r>
      <w:r>
        <w:rPr>
          <w:rFonts w:ascii="Times New Roman" w:hAnsi="Times New Roman" w:eastAsia="仿宋_GB2312" w:cs="Times New Roman"/>
          <w:color w:val="000000"/>
          <w:sz w:val="32"/>
          <w:szCs w:val="32"/>
        </w:rPr>
        <w:t>学科中心组的功能</w:t>
      </w:r>
      <w:r>
        <w:rPr>
          <w:rFonts w:ascii="Times New Roman" w:hAnsi="Times New Roman" w:eastAsia="仿宋_GB2312" w:cs="Times New Roman"/>
          <w:sz w:val="32"/>
          <w:szCs w:val="32"/>
        </w:rPr>
        <w:t>充分发挥</w:t>
      </w:r>
      <w:r>
        <w:rPr>
          <w:rFonts w:ascii="Times New Roman" w:hAnsi="Times New Roman" w:eastAsia="仿宋_GB2312" w:cs="Times New Roman"/>
          <w:color w:val="000000"/>
          <w:sz w:val="32"/>
          <w:szCs w:val="32"/>
        </w:rPr>
        <w:t>，对青年教师的教学指导和评价持续深化，教学竞赛</w:t>
      </w:r>
      <w:r>
        <w:rPr>
          <w:rFonts w:ascii="Times New Roman" w:hAnsi="Times New Roman" w:eastAsia="仿宋_GB2312" w:cs="Times New Roman"/>
          <w:sz w:val="32"/>
          <w:szCs w:val="32"/>
        </w:rPr>
        <w:t>有序开展</w:t>
      </w:r>
      <w:r>
        <w:rPr>
          <w:rFonts w:ascii="Times New Roman" w:hAnsi="Times New Roman" w:eastAsia="仿宋_GB2312" w:cs="Times New Roman"/>
          <w:color w:val="000000"/>
          <w:sz w:val="32"/>
          <w:szCs w:val="32"/>
        </w:rPr>
        <w:t>，激励机制逐渐完善，教育教学质量稳步提升。</w:t>
      </w:r>
    </w:p>
    <w:p>
      <w:pPr>
        <w:spacing w:line="660" w:lineRule="exact"/>
        <w:ind w:firstLine="642"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3.坚持深化改革，教育体制机制不断突破</w:t>
      </w:r>
    </w:p>
    <w:p>
      <w:pPr>
        <w:spacing w:line="600" w:lineRule="exact"/>
        <w:ind w:firstLine="640" w:firstLineChars="200"/>
        <w:rPr>
          <w:rFonts w:hAnsi="CESI仿宋-GB2312" w:cs="CESI仿宋-GB2312"/>
          <w:sz w:val="36"/>
          <w:szCs w:val="36"/>
        </w:rPr>
      </w:pPr>
      <w:r>
        <w:rPr>
          <w:rFonts w:hint="eastAsia" w:ascii="Times New Roman" w:hAnsi="Times New Roman" w:eastAsia="仿宋_GB2312" w:cs="Times New Roman"/>
          <w:sz w:val="32"/>
          <w:szCs w:val="32"/>
        </w:rPr>
        <w:t>出台《阳泉市关于推进教育高质量发展的若干意见》，落实重大改革项目，深入实施优质教育重塑工程。</w:t>
      </w:r>
      <w:r>
        <w:rPr>
          <w:rFonts w:hint="eastAsia" w:ascii="楷体_GB2312" w:hAnsi="仿宋_GB2312" w:eastAsia="楷体_GB2312" w:cs="仿宋_GB2312"/>
          <w:bCs/>
          <w:spacing w:val="11"/>
          <w:sz w:val="32"/>
          <w:szCs w:val="32"/>
        </w:rPr>
        <w:t>贯彻落实党中央“双减”部署。</w:t>
      </w:r>
      <w:r>
        <w:rPr>
          <w:rFonts w:hint="eastAsia" w:ascii="仿宋_GB2312" w:hAnsi="仿宋_GB2312" w:eastAsia="仿宋_GB2312" w:cs="仿宋_GB2312"/>
          <w:color w:val="000000"/>
          <w:spacing w:val="11"/>
          <w:sz w:val="32"/>
          <w:szCs w:val="32"/>
        </w:rPr>
        <w:t>出台系列配套文件，建立工作专门协调机制，强化校外培训监管，规范校外培训机构行为。印发《阳泉市加强义务教育学校作业管理实施方案》，坚持公益导向，实现中小学生课后服务全覆盖。</w:t>
      </w:r>
      <w:r>
        <w:rPr>
          <w:rFonts w:hint="eastAsia" w:ascii="楷体_GB2312" w:hAnsi="仿宋_GB2312" w:eastAsia="楷体_GB2312" w:cs="仿宋_GB2312"/>
          <w:bCs/>
          <w:spacing w:val="11"/>
          <w:sz w:val="32"/>
          <w:szCs w:val="32"/>
        </w:rPr>
        <w:t>加强党对教育工作的全面领导。</w:t>
      </w:r>
      <w:r>
        <w:rPr>
          <w:rFonts w:hint="eastAsia" w:ascii="仿宋_GB2312" w:hAnsi="仿宋_GB2312" w:eastAsia="仿宋_GB2312" w:cs="仿宋_GB2312"/>
          <w:color w:val="000000"/>
          <w:spacing w:val="8"/>
          <w:kern w:val="0"/>
          <w:sz w:val="32"/>
          <w:szCs w:val="32"/>
          <w:shd w:val="clear" w:color="auto" w:fill="FFFFFF"/>
        </w:rPr>
        <w:t>选用多名德才兼备、能力突出的优秀年轻干部充实到全市中小学领导班子，全面推进落实中小学党组织领导的校长负责制。</w:t>
      </w:r>
      <w:r>
        <w:rPr>
          <w:rFonts w:hint="eastAsia" w:ascii="楷体_GB2312" w:hAnsi="仿宋_GB2312" w:eastAsia="楷体_GB2312" w:cs="仿宋_GB2312"/>
          <w:bCs/>
          <w:spacing w:val="11"/>
          <w:sz w:val="32"/>
          <w:szCs w:val="32"/>
        </w:rPr>
        <w:t>强化管理履行教育职责。</w:t>
      </w:r>
      <w:r>
        <w:rPr>
          <w:rFonts w:hint="eastAsia" w:ascii="仿宋_GB2312" w:hAnsi="仿宋_GB2312" w:eastAsia="仿宋_GB2312" w:cs="仿宋_GB2312"/>
          <w:color w:val="000000"/>
          <w:spacing w:val="8"/>
          <w:kern w:val="0"/>
          <w:sz w:val="32"/>
          <w:szCs w:val="32"/>
          <w:shd w:val="clear" w:color="auto" w:fill="FFFFFF"/>
        </w:rPr>
        <w:t>出台《市县级政府履行教育职责的实施方案》，将教育高质量发展指标纳入对县（区）和市直相关部门绩效考核。出台《关于深化新时代教育督导体制机制改革的实施方案》，保障“五大机制”，教育督导“长牙齿”上水平。</w:t>
      </w:r>
      <w:r>
        <w:rPr>
          <w:rFonts w:hint="eastAsia" w:ascii="楷体_GB2312" w:hAnsi="仿宋_GB2312" w:eastAsia="楷体_GB2312" w:cs="仿宋_GB2312"/>
          <w:bCs/>
          <w:spacing w:val="11"/>
          <w:sz w:val="32"/>
          <w:szCs w:val="32"/>
        </w:rPr>
        <w:t>优化全市教育</w:t>
      </w:r>
      <w:r>
        <w:rPr>
          <w:rFonts w:hint="eastAsia" w:ascii="楷体_GB2312" w:hAnsi="仿宋_GB2312" w:eastAsia="楷体_GB2312" w:cs="仿宋_GB2312"/>
          <w:bCs/>
          <w:spacing w:val="11"/>
          <w:sz w:val="32"/>
          <w:szCs w:val="32"/>
          <w:lang w:val="en"/>
        </w:rPr>
        <w:t>布局结构。</w:t>
      </w:r>
      <w:r>
        <w:rPr>
          <w:rFonts w:hint="eastAsia" w:ascii="仿宋_GB2312" w:hAnsi="仿宋_GB2312" w:eastAsia="仿宋_GB2312" w:cs="仿宋_GB2312"/>
          <w:kern w:val="0"/>
          <w:sz w:val="32"/>
          <w:szCs w:val="32"/>
        </w:rPr>
        <w:t>积极建设认定普惠性幼儿园，改造建设乡村寄宿制学校，撤并偏远小规模学校，进一步优化中小学布局，推动城乡教育一体化发展。</w:t>
      </w:r>
      <w:r>
        <w:rPr>
          <w:rFonts w:hint="eastAsia" w:ascii="楷体_GB2312" w:hAnsi="仿宋_GB2312" w:eastAsia="楷体_GB2312" w:cs="仿宋_GB2312"/>
          <w:bCs/>
          <w:spacing w:val="11"/>
          <w:sz w:val="32"/>
          <w:szCs w:val="32"/>
        </w:rPr>
        <w:t>推进集团化办学模式改革。</w:t>
      </w:r>
      <w:r>
        <w:rPr>
          <w:rFonts w:hint="eastAsia" w:ascii="仿宋_GB2312" w:hAnsi="仿宋_GB2312" w:eastAsia="仿宋_GB2312" w:cs="仿宋_GB2312"/>
          <w:color w:val="000000"/>
          <w:spacing w:val="11"/>
          <w:sz w:val="32"/>
          <w:szCs w:val="32"/>
        </w:rPr>
        <w:t>出台《阳泉市关于推进集团化办学模式改革的意见》，在全市</w:t>
      </w:r>
      <w:r>
        <w:rPr>
          <w:rFonts w:hint="eastAsia" w:ascii="仿宋_GB2312" w:hAnsi="仿宋_GB2312" w:eastAsia="仿宋_GB2312" w:cs="仿宋_GB2312"/>
          <w:spacing w:val="11"/>
          <w:sz w:val="32"/>
          <w:szCs w:val="32"/>
        </w:rPr>
        <w:t>成立16个教育集团，促进城乡教育资源优势共享</w:t>
      </w:r>
      <w:r>
        <w:rPr>
          <w:rFonts w:hint="eastAsia" w:ascii="仿宋_GB2312" w:hAnsi="仿宋_GB2312" w:eastAsia="仿宋_GB2312" w:cs="仿宋_GB2312"/>
          <w:color w:val="000000"/>
          <w:spacing w:val="8"/>
          <w:kern w:val="0"/>
          <w:sz w:val="32"/>
          <w:szCs w:val="32"/>
          <w:shd w:val="clear" w:color="auto" w:fill="FFFFFF"/>
        </w:rPr>
        <w:t>。</w:t>
      </w:r>
      <w:r>
        <w:rPr>
          <w:rFonts w:hint="eastAsia" w:ascii="楷体_GB2312" w:hAnsi="仿宋_GB2312" w:eastAsia="楷体_GB2312" w:cs="仿宋_GB2312"/>
          <w:bCs/>
          <w:spacing w:val="11"/>
          <w:sz w:val="32"/>
          <w:szCs w:val="32"/>
        </w:rPr>
        <w:t>提升教师待遇和队伍素质。</w:t>
      </w:r>
      <w:r>
        <w:rPr>
          <w:rFonts w:hint="eastAsia" w:ascii="仿宋_GB2312" w:hAnsi="仿宋_GB2312" w:eastAsia="仿宋_GB2312" w:cs="仿宋_GB2312"/>
          <w:color w:val="000000"/>
          <w:spacing w:val="8"/>
          <w:kern w:val="0"/>
          <w:sz w:val="32"/>
          <w:szCs w:val="32"/>
          <w:shd w:val="clear" w:color="auto" w:fill="FFFFFF"/>
        </w:rPr>
        <w:t>全市教师奖励性绩效工资提高15%，全面提高教师待遇。组织全市校长、教师开展能力提升培训。</w:t>
      </w:r>
      <w:r>
        <w:rPr>
          <w:rFonts w:hint="eastAsia" w:ascii="仿宋_GB2312" w:hAnsi="仿宋_GB2312" w:eastAsia="仿宋_GB2312" w:cs="仿宋_GB2312"/>
          <w:spacing w:val="11"/>
          <w:sz w:val="32"/>
          <w:szCs w:val="32"/>
        </w:rPr>
        <w:t>实施“十百千”工程，进一步发挥名师的引领作用。</w:t>
      </w:r>
    </w:p>
    <w:p>
      <w:pPr>
        <w:spacing w:line="660" w:lineRule="exact"/>
        <w:ind w:firstLine="642"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4.坚持教育优先，教育保障体系逐步完善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sz w:val="32"/>
          <w:szCs w:val="32"/>
        </w:rPr>
        <w:t>财政保障能力持续增强。</w:t>
      </w:r>
      <w:r>
        <w:rPr>
          <w:rFonts w:ascii="Times New Roman" w:hAnsi="Times New Roman" w:eastAsia="仿宋_GB2312" w:cs="Times New Roman"/>
          <w:sz w:val="32"/>
          <w:szCs w:val="32"/>
        </w:rPr>
        <w:t>教育经费投入和管理机制不断完善，财政性教育经费投入力度逐年加大，教育经费投入使用结构持续优化。学前教育经费保障机制不断健全，公办幼儿园生均拨款标准充分落实，与财力状况、办学需求和物价水平联动的稳定增长机制逐步建立。</w:t>
      </w:r>
      <w:r>
        <w:rPr>
          <w:rFonts w:ascii="Times New Roman" w:hAnsi="Times New Roman" w:eastAsia="楷体_GB2312" w:cs="Times New Roman"/>
          <w:sz w:val="32"/>
          <w:szCs w:val="32"/>
        </w:rPr>
        <w:t>弱势群体教育保障逐步夯实。</w:t>
      </w:r>
      <w:r>
        <w:rPr>
          <w:rFonts w:ascii="Times New Roman" w:hAnsi="Times New Roman" w:eastAsia="仿宋_GB2312" w:cs="Times New Roman"/>
          <w:color w:val="000000"/>
          <w:sz w:val="32"/>
          <w:szCs w:val="32"/>
        </w:rPr>
        <w:t>优质幼儿园、省级示范高中、职业教育学校对口帮扶工作持续深化，农村义务教育营养餐改善计划顺利实施。</w:t>
      </w:r>
      <w:r>
        <w:rPr>
          <w:rFonts w:ascii="Times New Roman" w:hAnsi="Times New Roman" w:eastAsia="仿宋_GB2312" w:cs="Times New Roman"/>
          <w:sz w:val="32"/>
          <w:szCs w:val="32"/>
        </w:rPr>
        <w:t>全覆盖资助体系基本建立，所有资助金均按规定时间、规定形式足额发放到受助学生手中，实现家庭经济困难学生应免尽免。进城务工人员随迁子女入学手续不断简化，全部实现在公办学校就读，与本地户籍学生享受同等待遇。农村留守儿童关爱工程扎实推进，“一人一档”、监护人联系、部门协调制度基本建立，留守儿童接受基本教育的权利得到保障。</w:t>
      </w:r>
      <w:r>
        <w:rPr>
          <w:rFonts w:ascii="Times New Roman" w:hAnsi="Times New Roman" w:eastAsia="楷体_GB2312" w:cs="Times New Roman"/>
          <w:bCs/>
          <w:sz w:val="32"/>
          <w:szCs w:val="32"/>
        </w:rPr>
        <w:t>教师队伍素质稳步提高。</w:t>
      </w:r>
      <w:r>
        <w:rPr>
          <w:rFonts w:ascii="Times New Roman" w:hAnsi="Times New Roman" w:eastAsia="仿宋_GB2312" w:cs="Times New Roman"/>
          <w:color w:val="000000"/>
          <w:sz w:val="32"/>
        </w:rPr>
        <w:t>教师招聘模式不断创新，教师准入标准逐步提高。积极开展覆盖不同层面的国家、省、市三级教师培训，教师整体素质显著提升。</w:t>
      </w:r>
      <w:r>
        <w:rPr>
          <w:rFonts w:ascii="Times New Roman" w:hAnsi="Times New Roman" w:eastAsia="仿宋_GB2312" w:cs="Times New Roman"/>
          <w:sz w:val="32"/>
          <w:szCs w:val="32"/>
        </w:rPr>
        <w:t>启动教师队伍名优培养工程，“名师工作室”建设稳步推进，“双优双推”人才机制日益完善。</w:t>
      </w:r>
      <w:r>
        <w:rPr>
          <w:rFonts w:ascii="Times New Roman" w:hAnsi="Times New Roman" w:eastAsia="仿宋_GB2312" w:cs="Times New Roman"/>
          <w:color w:val="000000"/>
          <w:sz w:val="32"/>
        </w:rPr>
        <w:t>严格教师教育教学工作考核，</w:t>
      </w:r>
      <w:r>
        <w:rPr>
          <w:rFonts w:ascii="Times New Roman" w:hAnsi="Times New Roman" w:eastAsia="仿宋_GB2312" w:cs="Times New Roman"/>
          <w:kern w:val="0"/>
          <w:sz w:val="32"/>
          <w:szCs w:val="32"/>
        </w:rPr>
        <w:t>长效的师德师风管理机制逐步完善</w:t>
      </w:r>
      <w:r>
        <w:rPr>
          <w:rFonts w:ascii="Times New Roman" w:hAnsi="Times New Roman" w:eastAsia="仿宋_GB2312" w:cs="Times New Roman"/>
          <w:color w:val="000000"/>
          <w:sz w:val="32"/>
        </w:rPr>
        <w:t>。</w:t>
      </w:r>
      <w:r>
        <w:rPr>
          <w:rFonts w:ascii="Times New Roman" w:hAnsi="Times New Roman" w:eastAsia="楷体_GB2312" w:cs="Times New Roman"/>
          <w:bCs/>
          <w:sz w:val="32"/>
          <w:szCs w:val="32"/>
        </w:rPr>
        <w:t>教育信息化建设力度不断加大。</w:t>
      </w:r>
      <w:r>
        <w:rPr>
          <w:rFonts w:ascii="Times New Roman" w:hAnsi="Times New Roman" w:eastAsia="仿宋_GB2312" w:cs="Times New Roman"/>
          <w:sz w:val="32"/>
          <w:szCs w:val="32"/>
        </w:rPr>
        <w:t>积极融入阳泉智能物联网应用示范基地和AI城市建设战略，大力构建“云”“网”“端”一体化的智慧教育服务体系，强力推进数字校园、智慧教育建设，创新线上线下相结合的混合式教学新模式，支持个性化教学的智慧教育环境逐步建立。“网络学习空间”普及应用活动广泛开展，中小学“网络选修课”成绩纳入学生综合素质评价体系。</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充分肯定过去成绩的同时，必须清醒地认识到，当前全市教育事业仍处于中低水平的发展阶段，与国、省发达地区和城市差距呈拉大趋势；优质教育资源供给不足与经济社会发展需要、人民群众迫切需求之间的矛盾仍然突出，教育公平程度有待提高；经济下行压力加大和教育现代化建设刚性需求增加，对教育投入实现法定增长目标带来影响；</w:t>
      </w:r>
      <w:r>
        <w:rPr>
          <w:rFonts w:hint="eastAsia" w:ascii="仿宋_GB2312" w:hAnsi="Times New Roman" w:eastAsia="仿宋_GB2312" w:cs="Times New Roman"/>
          <w:bCs/>
          <w:color w:val="000000" w:themeColor="text1"/>
          <w:sz w:val="32"/>
          <w:szCs w:val="32"/>
          <w14:textFill>
            <w14:solidFill>
              <w14:schemeClr w14:val="tx1"/>
            </w14:solidFill>
          </w14:textFill>
        </w:rPr>
        <w:t>城市规划教育缺位，城市区中小学分布不均衡，南多北少，导致北部城区就学压力加剧</w:t>
      </w:r>
      <w:r>
        <w:rPr>
          <w:rFonts w:hint="eastAsia" w:ascii="仿宋_GB2312" w:hAnsi="Times New Roman" w:eastAsia="仿宋_GB2312" w:cs="Times New Roman"/>
          <w:bCs/>
          <w:color w:val="000000" w:themeColor="text1"/>
          <w:kern w:val="0"/>
          <w:sz w:val="32"/>
          <w:szCs w:val="32"/>
          <w14:textFill>
            <w14:solidFill>
              <w14:schemeClr w14:val="tx1"/>
            </w14:solidFill>
          </w14:textFill>
        </w:rPr>
        <w:t>；</w:t>
      </w:r>
      <w:r>
        <w:rPr>
          <w:rFonts w:ascii="Times New Roman" w:hAnsi="Times New Roman" w:eastAsia="仿宋_GB2312" w:cs="Times New Roman"/>
          <w:sz w:val="32"/>
          <w:szCs w:val="32"/>
        </w:rPr>
        <w:t>教育体制机制改革有待深化，改革的系统性、整体性、协同性亟需增强，一些重要领域和关键环节的改革尚未取得实质性突破，距离满足人民群众对高质量教育的需求仍需要补短板、再发力。</w:t>
      </w:r>
    </w:p>
    <w:p>
      <w:pPr>
        <w:pStyle w:val="7"/>
        <w:keepNext w:val="0"/>
        <w:keepLines w:val="0"/>
        <w:widowControl/>
        <w:spacing w:before="156" w:beforeLines="50" w:after="0"/>
        <w:ind w:firstLine="642" w:firstLineChars="200"/>
        <w:rPr>
          <w:rFonts w:ascii="Times New Roman" w:hAnsi="Times New Roman" w:eastAsia="楷体_GB2312" w:cs="Times New Roman"/>
        </w:rPr>
      </w:pPr>
      <w:bookmarkStart w:id="2" w:name="_Toc99381122"/>
      <w:r>
        <w:rPr>
          <w:rFonts w:ascii="Times New Roman" w:hAnsi="Times New Roman" w:eastAsia="楷体_GB2312" w:cs="Times New Roman"/>
        </w:rPr>
        <w:t>（二）“十四五”面临形势</w:t>
      </w:r>
      <w:bookmarkEnd w:id="2"/>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面对复杂多变的内外环境，“十四五”阳泉教育事业发展面临诸多机遇和挑战，正逐步迈进全面深化综合改革、构建更高质量教育体系、全面建设教育强市的重要阶段。</w:t>
      </w:r>
    </w:p>
    <w:p>
      <w:pPr>
        <w:spacing w:line="600"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一是教育事业优先发展的战略地位进一步夯实。</w:t>
      </w:r>
      <w:r>
        <w:rPr>
          <w:rFonts w:ascii="Times New Roman" w:hAnsi="Times New Roman" w:eastAsia="仿宋_GB2312" w:cs="Times New Roman"/>
          <w:sz w:val="32"/>
          <w:szCs w:val="32"/>
        </w:rPr>
        <w:t>习近平新时代中国特色社会主义思想强调要坚持把优先发展教育事业作为推动党和国家各项事业发展的重要先手棋，党的十九大报告指出要深化教育改革，加快教育现代化，办好人民满意的教育，十九届五中全会进一步明确要建设高质量教育体系，这些都为优先发展教育、构建终身学习体系提供了理论指引和基本遵循。</w:t>
      </w:r>
    </w:p>
    <w:p>
      <w:pPr>
        <w:spacing w:line="600"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二是教育事业优化发展的资源优势进一步突出。</w:t>
      </w:r>
      <w:r>
        <w:rPr>
          <w:rFonts w:ascii="Times New Roman" w:hAnsi="Times New Roman" w:eastAsia="仿宋_GB2312" w:cs="Times New Roman"/>
          <w:sz w:val="32"/>
          <w:szCs w:val="32"/>
        </w:rPr>
        <w:t>“十四五”时期，我省转型发展持续向好的基本趋势没有改变，仍处于厚积薄发的战略机遇期。阳泉市经济发展稳中向好的势头也没有改变，创新发展的步伐持续加快，经济发展的韧性不断增强，科技创新的能力稳步提升，都为全市教育事业高质量发展奠定了坚实的基础。</w:t>
      </w:r>
    </w:p>
    <w:p>
      <w:pPr>
        <w:spacing w:line="600"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三是教育事业改革发展的信息支撑进一步增强。</w:t>
      </w:r>
      <w:r>
        <w:rPr>
          <w:rFonts w:ascii="Times New Roman" w:hAnsi="Times New Roman" w:eastAsia="仿宋_GB2312" w:cs="Times New Roman"/>
          <w:sz w:val="32"/>
          <w:szCs w:val="32"/>
        </w:rPr>
        <w:t xml:space="preserve"> “十四五”时期，大数据在经济社会生活中将实现更为广泛的应用，为全市教育事业高质量发展提供了机遇。充分运用互联网发展带来的新契机、新方式、新手段，加快推进人工智能同教育事业发展相结合，成为推动阳泉教育现代化的时代任务和发展趋势。</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但同时也必须看到，当今世界正处于百年未有之大变局，国际环境日趋复杂，不确定不稳定因素日益增多，全球教育、科技、人才、文化竞争更为激烈，这对“十四五”时期阳泉市教育</w:t>
      </w:r>
      <w:r>
        <w:rPr>
          <w:rFonts w:ascii="Times New Roman" w:hAnsi="Times New Roman" w:eastAsia="仿宋_GB2312" w:cs="Times New Roman"/>
          <w:bCs/>
          <w:sz w:val="32"/>
          <w:szCs w:val="32"/>
        </w:rPr>
        <w:t>改革创新发展带来了诸多挑战。</w:t>
      </w:r>
      <w:r>
        <w:rPr>
          <w:rFonts w:ascii="Times New Roman" w:hAnsi="Times New Roman" w:eastAsia="仿宋_GB2312" w:cs="Times New Roman"/>
          <w:sz w:val="32"/>
          <w:szCs w:val="32"/>
        </w:rPr>
        <w:t>人民群众对受教育权利的诉求全面升级，创新型、应用型人才培养模式尚不完善，高水平师资人才的引进和培养机制有待健全，教育保障能力亟需提升等问题愈加凸显。这就要求充分发挥教育对于经济社会发展的基础性、先导性和全局性作用，统筹协调各级各类教育之间以及教育与人口之间的发展，不断提高教育质量水平，稳步提升教育保障能力，加快完善教育治理体系，为不同人群公平地接受高质量教育、实现个性发展创造条件。</w:t>
      </w:r>
    </w:p>
    <w:p>
      <w:pPr>
        <w:pStyle w:val="6"/>
        <w:keepNext w:val="0"/>
        <w:keepLines w:val="0"/>
        <w:spacing w:before="156" w:beforeLines="50" w:after="156" w:afterLines="50" w:line="240" w:lineRule="auto"/>
        <w:ind w:firstLine="640" w:firstLineChars="200"/>
        <w:rPr>
          <w:rFonts w:ascii="Times New Roman" w:hAnsi="Times New Roman" w:eastAsia="黑体" w:cs="Times New Roman"/>
          <w:b w:val="0"/>
          <w:sz w:val="32"/>
          <w:szCs w:val="32"/>
        </w:rPr>
      </w:pPr>
      <w:bookmarkStart w:id="3" w:name="_Toc99381123"/>
      <w:r>
        <w:rPr>
          <w:rFonts w:ascii="Times New Roman" w:hAnsi="Times New Roman" w:eastAsia="黑体" w:cs="Times New Roman"/>
          <w:b w:val="0"/>
          <w:sz w:val="32"/>
          <w:szCs w:val="32"/>
        </w:rPr>
        <w:t>二、发展思路</w:t>
      </w:r>
      <w:bookmarkEnd w:id="3"/>
    </w:p>
    <w:p>
      <w:pPr>
        <w:spacing w:line="600" w:lineRule="exact"/>
        <w:ind w:firstLine="640" w:firstLineChars="200"/>
        <w:rPr>
          <w:rFonts w:ascii="Times New Roman" w:hAnsi="Times New Roman" w:cs="Times New Roman"/>
        </w:rPr>
      </w:pPr>
      <w:r>
        <w:rPr>
          <w:rFonts w:ascii="Times New Roman" w:hAnsi="Times New Roman" w:eastAsia="仿宋_GB2312" w:cs="Times New Roman"/>
          <w:sz w:val="32"/>
          <w:szCs w:val="32"/>
        </w:rPr>
        <w:t>“十四五”时期是阳泉市教育工作整体发力、创新发展、提档进位的重要时期，应当把握新情况，适应新形势，抓住新机遇，应对新挑战，坚持党对教育工作的全面领导，紧紧围绕建设高质量教育体系，推进全市教育能力水平再上新台阶。</w:t>
      </w:r>
    </w:p>
    <w:p>
      <w:pPr>
        <w:pStyle w:val="7"/>
        <w:keepNext w:val="0"/>
        <w:keepLines w:val="0"/>
        <w:widowControl/>
        <w:spacing w:before="156" w:beforeLines="50" w:after="0"/>
        <w:ind w:firstLine="642" w:firstLineChars="200"/>
        <w:rPr>
          <w:rFonts w:ascii="Times New Roman" w:hAnsi="Times New Roman" w:eastAsia="楷体_GB2312" w:cs="Times New Roman"/>
        </w:rPr>
      </w:pPr>
      <w:bookmarkStart w:id="4" w:name="_Toc99381124"/>
      <w:r>
        <w:rPr>
          <w:rFonts w:ascii="Times New Roman" w:hAnsi="Times New Roman" w:eastAsia="楷体_GB2312" w:cs="Times New Roman"/>
        </w:rPr>
        <w:t>（一）指导思想</w:t>
      </w:r>
      <w:bookmarkEnd w:id="4"/>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高举中国特色社会主义伟大旗帜，以习近平新时代中国特色社会主义思想为指导，深入贯彻党的十九大和十九届历次全会精神，增强“四个意识”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坚定“四个自信”</w:t>
      </w:r>
      <w:r>
        <w:rPr>
          <w:rFonts w:hint="eastAsia" w:ascii="Times New Roman" w:hAnsi="Times New Roman" w:eastAsia="仿宋_GB2312" w:cs="Times New Roman"/>
          <w:sz w:val="32"/>
          <w:szCs w:val="32"/>
          <w:lang w:eastAsia="zh-CN"/>
        </w:rPr>
        <w:t>、</w:t>
      </w:r>
      <w:bookmarkStart w:id="60" w:name="_GoBack"/>
      <w:bookmarkEnd w:id="60"/>
      <w:r>
        <w:rPr>
          <w:rFonts w:hint="eastAsia" w:ascii="Times New Roman" w:hAnsi="Times New Roman" w:eastAsia="仿宋_GB2312" w:cs="Times New Roman"/>
          <w:sz w:val="32"/>
          <w:szCs w:val="32"/>
        </w:rPr>
        <w:t>做到“两个维护”，贯彻落实习近平总书记关于教育的重要论述和全国教育大会精神</w:t>
      </w:r>
      <w:r>
        <w:rPr>
          <w:rFonts w:ascii="Times New Roman" w:hAnsi="Times New Roman" w:eastAsia="仿宋_GB2312" w:cs="Times New Roman"/>
          <w:sz w:val="32"/>
          <w:szCs w:val="32"/>
        </w:rPr>
        <w:t>，深入贯彻习近平总书记视察山西重要讲话重要指示，按照省委“全方位推动高质量发展”总体思路和要求，全面贯彻落实党的教育方针政策，</w:t>
      </w:r>
      <w:r>
        <w:rPr>
          <w:rFonts w:hint="eastAsia" w:ascii="Times New Roman" w:hAnsi="Times New Roman" w:eastAsia="仿宋_GB2312" w:cs="Times New Roman"/>
          <w:sz w:val="32"/>
          <w:szCs w:val="32"/>
        </w:rPr>
        <w:t>坚持党对教育事业的全面领导，坚持把立德树人作为根本任务，坚持优先发展教育事业，坚持社会主义办学方向，坚持扎根中国大地办教育，坚持以人民为中心发展教育，坚持深化教育改革创新，坚持把服务中华民族伟大复兴作为教育的重要使命，坚持把教师队伍建设作为基础工作，</w:t>
      </w:r>
      <w:r>
        <w:rPr>
          <w:rFonts w:ascii="Times New Roman" w:hAnsi="Times New Roman" w:eastAsia="仿宋_GB2312" w:cs="Times New Roman"/>
          <w:sz w:val="32"/>
          <w:szCs w:val="32"/>
        </w:rPr>
        <w:t>坚定实施科教兴市战略、人才强市战略，深入实施优质教育重塑工程，全方位推进教育事业高质量发展，打造区域教育高地，打响阳泉教育品牌，为全方位推进我市高质量发展提供强有力的智力支持和人才保障。</w:t>
      </w:r>
    </w:p>
    <w:p>
      <w:pPr>
        <w:pStyle w:val="7"/>
        <w:keepNext w:val="0"/>
        <w:keepLines w:val="0"/>
        <w:widowControl/>
        <w:numPr>
          <w:ilvl w:val="0"/>
          <w:numId w:val="1"/>
        </w:numPr>
        <w:spacing w:before="156" w:beforeLines="50" w:after="0"/>
        <w:ind w:firstLine="642" w:firstLineChars="200"/>
        <w:rPr>
          <w:rFonts w:ascii="Times New Roman" w:hAnsi="Times New Roman" w:eastAsia="楷体_GB2312" w:cs="Times New Roman"/>
        </w:rPr>
      </w:pPr>
      <w:bookmarkStart w:id="5" w:name="_Toc99381125"/>
      <w:r>
        <w:rPr>
          <w:rFonts w:ascii="Times New Roman" w:hAnsi="Times New Roman" w:eastAsia="楷体_GB2312" w:cs="Times New Roman"/>
        </w:rPr>
        <w:t>基本原则</w:t>
      </w:r>
      <w:bookmarkEnd w:id="5"/>
    </w:p>
    <w:p>
      <w:pPr>
        <w:spacing w:line="600"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w:t>
      </w:r>
      <w:r>
        <w:rPr>
          <w:rFonts w:hint="eastAsia" w:ascii="Times New Roman" w:hAnsi="Times New Roman" w:eastAsia="仿宋_GB2312" w:cs="Times New Roman"/>
          <w:b/>
          <w:sz w:val="32"/>
          <w:szCs w:val="32"/>
        </w:rPr>
        <w:t>坚持党的全面领导。</w:t>
      </w:r>
      <w:r>
        <w:rPr>
          <w:rFonts w:hint="eastAsia" w:ascii="Times New Roman" w:hAnsi="Times New Roman" w:eastAsia="仿宋_GB2312" w:cs="Times New Roman"/>
          <w:sz w:val="32"/>
          <w:szCs w:val="32"/>
        </w:rPr>
        <w:t>坚持中国特色社会主义教育发展道路，自觉在政治立场、政治方向、政治原则、政治道路上同以习近平同志为核心的党中央保持高度一致，毫不动摇坚持和加强党对教育工作的全面领导。坚持党管办学方向、管改革开放、管干部、管人才，完善党领导教育工作的体制机制，全面加强教育系统党的建设，为教育发展提供坚强保障。</w:t>
      </w:r>
    </w:p>
    <w:p>
      <w:pPr>
        <w:spacing w:line="600"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——坚持以人为本。</w:t>
      </w:r>
      <w:r>
        <w:rPr>
          <w:rFonts w:ascii="Times New Roman" w:hAnsi="Times New Roman" w:eastAsia="仿宋_GB2312" w:cs="Times New Roman"/>
          <w:sz w:val="32"/>
          <w:szCs w:val="32"/>
        </w:rPr>
        <w:t>牢牢把握立德树人根本任务，遵循学生成长成才规律和教育规律，着力促进学生的全面发展、个性发展和终身发展，确保教师待遇增长、素质提升和队伍稳定。</w:t>
      </w:r>
    </w:p>
    <w:p>
      <w:pPr>
        <w:spacing w:line="600"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——坚持教育公平。</w:t>
      </w:r>
      <w:r>
        <w:rPr>
          <w:rFonts w:ascii="Times New Roman" w:hAnsi="Times New Roman" w:eastAsia="仿宋_GB2312" w:cs="Times New Roman"/>
          <w:sz w:val="32"/>
          <w:szCs w:val="32"/>
        </w:rPr>
        <w:t>以办好人民满意的教育为宗旨，优化区域教育资源配置，大力推动城乡教育一体化，建立健全多元化、多层次的教育公共服务体系，努力让每个孩子都能享有公平而有质量的教育。</w:t>
      </w:r>
    </w:p>
    <w:p>
      <w:pPr>
        <w:spacing w:line="600"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——坚持提升质量。</w:t>
      </w:r>
      <w:r>
        <w:rPr>
          <w:rFonts w:ascii="Times New Roman" w:hAnsi="Times New Roman" w:eastAsia="仿宋_GB2312" w:cs="Times New Roman"/>
          <w:sz w:val="32"/>
          <w:szCs w:val="32"/>
        </w:rPr>
        <w:t>把提高教育质量作为教育改革发展的重中之重，深化教育结构性改革，创新人才培养模式，推动教育内涵发展、特色发展与多样化发展，构建开放共享、多元参与的教育体系。</w:t>
      </w:r>
    </w:p>
    <w:p>
      <w:pPr>
        <w:spacing w:line="600"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——坚持公益发展。</w:t>
      </w:r>
      <w:r>
        <w:rPr>
          <w:rFonts w:ascii="Times New Roman" w:hAnsi="Times New Roman" w:eastAsia="仿宋_GB2312" w:cs="Times New Roman"/>
          <w:sz w:val="32"/>
          <w:szCs w:val="32"/>
        </w:rPr>
        <w:t>强化政府保障教育发展的主体责任，发挥市场配置资源的决定性作用，完善普惠性学前教育、特殊教育和继续教育保障机制，增强教育的普惠性、基础性、兜底性保障水平。</w:t>
      </w:r>
    </w:p>
    <w:p>
      <w:pPr>
        <w:pStyle w:val="7"/>
        <w:keepNext w:val="0"/>
        <w:keepLines w:val="0"/>
        <w:widowControl/>
        <w:spacing w:before="156" w:beforeLines="50" w:after="0"/>
        <w:ind w:firstLine="642" w:firstLineChars="200"/>
        <w:rPr>
          <w:rFonts w:ascii="Times New Roman" w:hAnsi="Times New Roman" w:eastAsia="楷体_GB2312" w:cs="Times New Roman"/>
        </w:rPr>
      </w:pPr>
      <w:bookmarkStart w:id="6" w:name="_Toc99381126"/>
      <w:r>
        <w:rPr>
          <w:rFonts w:ascii="Times New Roman" w:hAnsi="Times New Roman" w:eastAsia="楷体_GB2312" w:cs="Times New Roman"/>
        </w:rPr>
        <w:t>（三）主要目标</w:t>
      </w:r>
      <w:bookmarkEnd w:id="6"/>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四五”期间，阳泉市教育改革和发展的主要目标是：体制机制更加健全，教育体系更加完善，普及教育更高水平，公平教育更加均衡，优质教育更加全面，技术支撑更加有效，人民群众对教育的满意度显著提高，教育对经济社会发展的贡献度进一步增强，到2025年，在全省率先建成教育强市，为2035年全面实现教育现代化打下坚实基础。</w:t>
      </w:r>
    </w:p>
    <w:p>
      <w:pPr>
        <w:spacing w:line="600"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基本公共教育更加均衡。</w:t>
      </w:r>
      <w:r>
        <w:rPr>
          <w:rFonts w:ascii="Times New Roman" w:hAnsi="Times New Roman" w:eastAsia="仿宋_GB2312" w:cs="Times New Roman"/>
          <w:sz w:val="32"/>
          <w:szCs w:val="32"/>
        </w:rPr>
        <w:t>教育优先保障地位更加牢固，公共教育投入进一步向农村地区以及基础教育、职业教育倾斜。基本公共教育服务对常住人口实现全覆盖，城乡教育一体化发展格局基本形成，公共教育资源配置更加精准、均衡，教育服务的可及性进一步提高，城乡、校际差距进一步缩小，学前教育、高中阶段教育向着普及、均衡方向发展。</w:t>
      </w:r>
    </w:p>
    <w:p>
      <w:pPr>
        <w:spacing w:line="600"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优质教育供给显著增加。</w:t>
      </w:r>
      <w:r>
        <w:rPr>
          <w:rFonts w:ascii="Times New Roman" w:hAnsi="Times New Roman" w:eastAsia="仿宋_GB2312" w:cs="Times New Roman"/>
          <w:sz w:val="32"/>
          <w:szCs w:val="32"/>
        </w:rPr>
        <w:t>立德树人理念不断增强，素质教育持续深化，大中小学德育一体化体系基本建成，学生综合素养全面提升。教师数量、结构和专业化水平提档升级，高校优势特色学科建设稳步推进，特色教育资源覆盖面持续扩大，教育可选择性更加丰富，优质教育、个性教育的需求得到较好满足。</w:t>
      </w:r>
    </w:p>
    <w:p>
      <w:pPr>
        <w:spacing w:line="600"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全民终身学习体系日益完善。</w:t>
      </w:r>
      <w:r>
        <w:rPr>
          <w:rFonts w:ascii="Times New Roman" w:hAnsi="Times New Roman" w:eastAsia="仿宋_GB2312" w:cs="Times New Roman"/>
          <w:sz w:val="32"/>
          <w:szCs w:val="32"/>
        </w:rPr>
        <w:t>全人群和全生命周期教育持续拓展，互联网、大数据在教育教学领域的应用更加广泛，</w:t>
      </w:r>
      <w:r>
        <w:rPr>
          <w:rFonts w:ascii="Times New Roman" w:hAnsi="Times New Roman" w:eastAsia="仿宋_GB2312" w:cs="Times New Roman"/>
          <w:kern w:val="0"/>
          <w:sz w:val="32"/>
          <w:szCs w:val="32"/>
          <w:lang w:val="zh-CN"/>
        </w:rPr>
        <w:t>教育服务业态不断创新，优质教育供给显著增加。现代职业教育体系、继续教育体系、老年教育体系和社区教育体系相互衔接，人人皆学、处处能学、时时可学的全民终身学习体系基本形成</w:t>
      </w:r>
      <w:r>
        <w:rPr>
          <w:rFonts w:ascii="Times New Roman" w:hAnsi="Times New Roman" w:eastAsia="仿宋_GB2312" w:cs="Times New Roman"/>
          <w:sz w:val="32"/>
          <w:szCs w:val="32"/>
        </w:rPr>
        <w:t>。</w:t>
      </w:r>
    </w:p>
    <w:p>
      <w:pPr>
        <w:spacing w:line="600" w:lineRule="exact"/>
        <w:ind w:firstLine="642" w:firstLineChars="200"/>
        <w:rPr>
          <w:rFonts w:ascii="Times New Roman" w:hAnsi="Times New Roman" w:eastAsia="仿宋_GB2312"/>
          <w:sz w:val="32"/>
          <w:szCs w:val="32"/>
        </w:rPr>
      </w:pPr>
      <w:r>
        <w:rPr>
          <w:rFonts w:ascii="Times New Roman" w:hAnsi="Times New Roman" w:eastAsia="仿宋_GB2312" w:cs="Times New Roman"/>
          <w:b/>
          <w:sz w:val="32"/>
          <w:szCs w:val="32"/>
        </w:rPr>
        <w:t>智慧教育水平全面提升。</w:t>
      </w:r>
      <w:r>
        <w:rPr>
          <w:rFonts w:ascii="Times New Roman" w:hAnsi="Times New Roman" w:eastAsia="仿宋_GB2312" w:cs="Times New Roman"/>
          <w:sz w:val="32"/>
          <w:szCs w:val="32"/>
        </w:rPr>
        <w:t>智慧教育建设稳妥推进，</w:t>
      </w:r>
      <w:r>
        <w:rPr>
          <w:rFonts w:hint="eastAsia" w:ascii="Times New Roman" w:hAnsi="Times New Roman" w:eastAsia="仿宋_GB2312"/>
          <w:sz w:val="32"/>
          <w:szCs w:val="32"/>
        </w:rPr>
        <w:t>信息技术在教学、管理、评价、服务等方面的应用全面深化，到2022年数字校园建设覆盖所有学校，基于信息技术的教育教学模式创新取得新突破，师生信息素养全面提升。</w:t>
      </w:r>
    </w:p>
    <w:p>
      <w:pPr>
        <w:spacing w:line="600" w:lineRule="exact"/>
        <w:ind w:firstLine="642"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现代化教育治理体系基本形成</w:t>
      </w:r>
      <w:r>
        <w:rPr>
          <w:rFonts w:ascii="Times New Roman" w:hAnsi="Times New Roman" w:eastAsia="仿宋_GB2312" w:cs="Times New Roman"/>
          <w:b/>
          <w:sz w:val="32"/>
          <w:szCs w:val="32"/>
        </w:rPr>
        <w:t>。</w:t>
      </w:r>
      <w:r>
        <w:rPr>
          <w:rFonts w:ascii="Times New Roman" w:hAnsi="Times New Roman" w:eastAsia="仿宋_GB2312" w:cs="Times New Roman"/>
          <w:sz w:val="32"/>
          <w:szCs w:val="32"/>
        </w:rPr>
        <w:t>教育决策科学化、民主化、法治化水平全面提升，各类教育主体各司其职、协同推进改革发展的“管办评”制度体系基本形成，教育治理现代化能力全面提升。</w:t>
      </w:r>
    </w:p>
    <w:p>
      <w:pPr>
        <w:spacing w:line="660" w:lineRule="exact"/>
        <w:jc w:val="center"/>
        <w:rPr>
          <w:rFonts w:ascii="Times New Roman" w:hAnsi="Times New Roman" w:eastAsia="宋体" w:cs="Times New Roman"/>
          <w:b/>
          <w:bCs/>
          <w:sz w:val="30"/>
          <w:szCs w:val="30"/>
        </w:rPr>
      </w:pPr>
      <w:r>
        <w:rPr>
          <w:rFonts w:ascii="Times New Roman" w:hAnsi="Times New Roman" w:eastAsia="宋体" w:cs="Times New Roman"/>
          <w:b/>
          <w:bCs/>
          <w:sz w:val="30"/>
          <w:szCs w:val="30"/>
        </w:rPr>
        <w:t xml:space="preserve"> “</w:t>
      </w:r>
      <w:r>
        <w:rPr>
          <w:rFonts w:hint="eastAsia" w:ascii="Times New Roman" w:hAnsi="Times New Roman" w:eastAsia="宋体" w:cs="Times New Roman"/>
          <w:b/>
          <w:bCs/>
          <w:sz w:val="30"/>
          <w:szCs w:val="30"/>
        </w:rPr>
        <w:t>十四五</w:t>
      </w:r>
      <w:r>
        <w:rPr>
          <w:rFonts w:ascii="Times New Roman" w:hAnsi="Times New Roman" w:eastAsia="宋体" w:cs="Times New Roman"/>
          <w:b/>
          <w:bCs/>
          <w:sz w:val="30"/>
          <w:szCs w:val="30"/>
        </w:rPr>
        <w:t>”</w:t>
      </w:r>
      <w:r>
        <w:rPr>
          <w:rFonts w:hint="eastAsia" w:ascii="Times New Roman" w:hAnsi="Times New Roman" w:eastAsia="宋体" w:cs="Times New Roman"/>
          <w:b/>
          <w:bCs/>
          <w:sz w:val="30"/>
          <w:szCs w:val="30"/>
        </w:rPr>
        <w:t>时期阳泉市教育事业发展和人力资源开发主要指标</w:t>
      </w:r>
    </w:p>
    <w:tbl>
      <w:tblPr>
        <w:tblStyle w:val="21"/>
        <w:tblW w:w="8334" w:type="dxa"/>
        <w:tblInd w:w="1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64"/>
        <w:gridCol w:w="1160"/>
        <w:gridCol w:w="1134"/>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4"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heme="minorEastAsia" w:hAnsiTheme="minorEastAsia"/>
                <w:b/>
                <w:kern w:val="0"/>
                <w:sz w:val="24"/>
                <w:szCs w:val="24"/>
              </w:rPr>
            </w:pPr>
            <w:r>
              <w:rPr>
                <w:rFonts w:hint="eastAsia" w:asciiTheme="minorEastAsia" w:hAnsiTheme="minorEastAsia"/>
                <w:b/>
                <w:kern w:val="0"/>
                <w:sz w:val="24"/>
                <w:szCs w:val="24"/>
              </w:rPr>
              <w:t>指标名称</w:t>
            </w:r>
          </w:p>
        </w:tc>
        <w:tc>
          <w:tcPr>
            <w:tcW w:w="1160"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heme="minorEastAsia" w:hAnsiTheme="minorEastAsia"/>
                <w:b/>
                <w:kern w:val="0"/>
                <w:sz w:val="24"/>
                <w:szCs w:val="24"/>
              </w:rPr>
            </w:pPr>
            <w:r>
              <w:rPr>
                <w:rFonts w:hint="eastAsia" w:asciiTheme="minorEastAsia" w:hAnsiTheme="minorEastAsia"/>
                <w:b/>
                <w:kern w:val="0"/>
                <w:sz w:val="24"/>
                <w:szCs w:val="24"/>
              </w:rPr>
              <w:t>2020年</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heme="minorEastAsia" w:hAnsiTheme="minorEastAsia"/>
                <w:b/>
                <w:kern w:val="0"/>
                <w:sz w:val="24"/>
                <w:szCs w:val="24"/>
              </w:rPr>
            </w:pPr>
            <w:r>
              <w:rPr>
                <w:rFonts w:hint="eastAsia" w:asciiTheme="minorEastAsia" w:hAnsiTheme="minorEastAsia"/>
                <w:b/>
                <w:kern w:val="0"/>
                <w:sz w:val="24"/>
                <w:szCs w:val="24"/>
              </w:rPr>
              <w:t>2025年</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heme="minorEastAsia" w:hAnsiTheme="minorEastAsia"/>
                <w:b/>
                <w:kern w:val="0"/>
                <w:sz w:val="24"/>
                <w:szCs w:val="24"/>
              </w:rPr>
            </w:pPr>
            <w:r>
              <w:rPr>
                <w:rFonts w:hint="eastAsia" w:asciiTheme="minorEastAsia" w:hAnsiTheme="minorEastAsia"/>
                <w:b/>
                <w:kern w:val="0"/>
                <w:sz w:val="24"/>
                <w:szCs w:val="24"/>
              </w:rPr>
              <w:t>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4"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left"/>
              <w:rPr>
                <w:rFonts w:ascii="Times New Roman" w:hAnsi="Times New Roman" w:eastAsia="宋体"/>
                <w:b/>
                <w:kern w:val="0"/>
                <w:sz w:val="24"/>
                <w:szCs w:val="24"/>
              </w:rPr>
            </w:pPr>
            <w:r>
              <w:rPr>
                <w:rFonts w:hint="eastAsia" w:ascii="Times New Roman" w:hAnsi="Times New Roman" w:eastAsia="宋体"/>
                <w:b/>
                <w:kern w:val="0"/>
                <w:sz w:val="24"/>
                <w:szCs w:val="24"/>
              </w:rPr>
              <w:t>教育普及</w:t>
            </w:r>
          </w:p>
        </w:tc>
        <w:tc>
          <w:tcPr>
            <w:tcW w:w="1160"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imes New Roman" w:hAnsi="Times New Roman" w:eastAsia="宋体"/>
                <w:kern w:val="0"/>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imes New Roman" w:hAnsi="Times New Roman" w:eastAsia="宋体"/>
                <w:kern w:val="0"/>
                <w:sz w:val="24"/>
                <w:szCs w:val="24"/>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imes New Roman" w:hAnsi="Times New Roman" w:eastAsia="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4" w:type="dxa"/>
            <w:tcBorders>
              <w:top w:val="single" w:color="000000" w:sz="4" w:space="0"/>
              <w:left w:val="single" w:color="000000" w:sz="4" w:space="0"/>
              <w:bottom w:val="single" w:color="000000" w:sz="4" w:space="0"/>
              <w:right w:val="single" w:color="000000" w:sz="4" w:space="0"/>
            </w:tcBorders>
            <w:vAlign w:val="center"/>
          </w:tcPr>
          <w:p>
            <w:pPr>
              <w:spacing w:line="660" w:lineRule="exact"/>
              <w:ind w:firstLine="240" w:firstLineChars="100"/>
              <w:jc w:val="left"/>
              <w:rPr>
                <w:rFonts w:ascii="Times New Roman" w:hAnsi="Times New Roman" w:eastAsia="宋体"/>
                <w:kern w:val="0"/>
                <w:sz w:val="24"/>
                <w:szCs w:val="24"/>
              </w:rPr>
            </w:pPr>
            <w:r>
              <w:rPr>
                <w:rFonts w:hint="eastAsia" w:ascii="Times New Roman" w:hAnsi="Times New Roman" w:eastAsia="宋体"/>
                <w:kern w:val="0"/>
                <w:sz w:val="24"/>
                <w:szCs w:val="24"/>
              </w:rPr>
              <w:t>学前教育毛入园率（</w:t>
            </w:r>
            <w:r>
              <w:rPr>
                <w:rFonts w:ascii="Times New Roman" w:hAnsi="Times New Roman" w:eastAsia="宋体"/>
                <w:kern w:val="0"/>
                <w:sz w:val="24"/>
                <w:szCs w:val="24"/>
              </w:rPr>
              <w:t>%</w:t>
            </w:r>
            <w:r>
              <w:rPr>
                <w:rFonts w:hint="eastAsia" w:ascii="Times New Roman" w:hAnsi="Times New Roman" w:eastAsia="宋体"/>
                <w:kern w:val="0"/>
                <w:sz w:val="24"/>
                <w:szCs w:val="24"/>
              </w:rPr>
              <w:t>）</w:t>
            </w:r>
          </w:p>
        </w:tc>
        <w:tc>
          <w:tcPr>
            <w:tcW w:w="1160"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imes New Roman" w:hAnsi="Times New Roman" w:eastAsia="宋体"/>
                <w:kern w:val="0"/>
                <w:sz w:val="24"/>
                <w:szCs w:val="24"/>
              </w:rPr>
            </w:pPr>
            <w:r>
              <w:rPr>
                <w:rFonts w:ascii="Times New Roman" w:hAnsi="Times New Roman" w:eastAsia="宋体"/>
                <w:kern w:val="0"/>
                <w:sz w:val="24"/>
                <w:szCs w:val="24"/>
              </w:rPr>
              <w:t>91.5</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imes New Roman" w:hAnsi="Times New Roman" w:eastAsia="宋体"/>
                <w:kern w:val="0"/>
                <w:sz w:val="24"/>
                <w:szCs w:val="24"/>
              </w:rPr>
            </w:pPr>
            <w:r>
              <w:rPr>
                <w:rFonts w:ascii="Times New Roman" w:hAnsi="Times New Roman" w:eastAsia="宋体"/>
                <w:kern w:val="0"/>
                <w:sz w:val="24"/>
                <w:szCs w:val="24"/>
              </w:rPr>
              <w:t>95</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imes New Roman" w:hAnsi="Times New Roman" w:eastAsia="宋体"/>
                <w:kern w:val="0"/>
                <w:sz w:val="24"/>
                <w:szCs w:val="24"/>
              </w:rPr>
            </w:pPr>
            <w:r>
              <w:rPr>
                <w:rFonts w:hint="eastAsia" w:ascii="Times New Roman" w:hAnsi="Times New Roman" w:eastAsia="宋体"/>
                <w:kern w:val="0"/>
                <w:sz w:val="24"/>
                <w:szCs w:val="24"/>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4764" w:type="dxa"/>
            <w:tcBorders>
              <w:top w:val="single" w:color="000000" w:sz="4" w:space="0"/>
              <w:left w:val="single" w:color="000000" w:sz="4" w:space="0"/>
              <w:bottom w:val="single" w:color="000000" w:sz="4" w:space="0"/>
              <w:right w:val="single" w:color="000000" w:sz="4" w:space="0"/>
            </w:tcBorders>
            <w:vAlign w:val="center"/>
          </w:tcPr>
          <w:p>
            <w:pPr>
              <w:spacing w:line="660" w:lineRule="exact"/>
              <w:ind w:firstLine="240" w:firstLineChars="100"/>
              <w:jc w:val="left"/>
              <w:rPr>
                <w:rFonts w:ascii="Times New Roman" w:hAnsi="Times New Roman" w:eastAsia="宋体"/>
                <w:color w:val="000000" w:themeColor="text1"/>
                <w:kern w:val="0"/>
                <w:sz w:val="24"/>
                <w:szCs w:val="24"/>
                <w14:textFill>
                  <w14:solidFill>
                    <w14:schemeClr w14:val="tx1"/>
                  </w14:solidFill>
                </w14:textFill>
              </w:rPr>
            </w:pPr>
            <w:r>
              <w:rPr>
                <w:rFonts w:hint="eastAsia" w:ascii="Times New Roman" w:hAnsi="Times New Roman" w:eastAsia="宋体"/>
                <w:color w:val="000000" w:themeColor="text1"/>
                <w:kern w:val="0"/>
                <w:sz w:val="24"/>
                <w:szCs w:val="24"/>
                <w14:textFill>
                  <w14:solidFill>
                    <w14:schemeClr w14:val="tx1"/>
                  </w14:solidFill>
                </w14:textFill>
              </w:rPr>
              <w:t>小学净入学率（</w:t>
            </w:r>
            <w:r>
              <w:rPr>
                <w:rFonts w:ascii="Times New Roman" w:hAnsi="Times New Roman" w:eastAsia="宋体"/>
                <w:color w:val="000000" w:themeColor="text1"/>
                <w:kern w:val="0"/>
                <w:sz w:val="24"/>
                <w:szCs w:val="24"/>
                <w14:textFill>
                  <w14:solidFill>
                    <w14:schemeClr w14:val="tx1"/>
                  </w14:solidFill>
                </w14:textFill>
              </w:rPr>
              <w:t>%</w:t>
            </w:r>
            <w:r>
              <w:rPr>
                <w:rFonts w:hint="eastAsia" w:ascii="Times New Roman" w:hAnsi="Times New Roman" w:eastAsia="宋体"/>
                <w:color w:val="000000" w:themeColor="text1"/>
                <w:kern w:val="0"/>
                <w:sz w:val="24"/>
                <w:szCs w:val="24"/>
                <w14:textFill>
                  <w14:solidFill>
                    <w14:schemeClr w14:val="tx1"/>
                  </w14:solidFill>
                </w14:textFill>
              </w:rPr>
              <w:t>）</w:t>
            </w:r>
          </w:p>
        </w:tc>
        <w:tc>
          <w:tcPr>
            <w:tcW w:w="1160"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imes New Roman" w:hAnsi="Times New Roman" w:eastAsia="宋体"/>
                <w:color w:val="000000" w:themeColor="text1"/>
                <w:kern w:val="0"/>
                <w:sz w:val="24"/>
                <w:szCs w:val="24"/>
                <w14:textFill>
                  <w14:solidFill>
                    <w14:schemeClr w14:val="tx1"/>
                  </w14:solidFill>
                </w14:textFill>
              </w:rPr>
            </w:pPr>
            <w:r>
              <w:rPr>
                <w:rFonts w:ascii="Times New Roman" w:hAnsi="Times New Roman" w:eastAsia="宋体"/>
                <w:color w:val="000000" w:themeColor="text1"/>
                <w:kern w:val="0"/>
                <w:sz w:val="24"/>
                <w:szCs w:val="24"/>
                <w14:textFill>
                  <w14:solidFill>
                    <w14:schemeClr w14:val="tx1"/>
                  </w14:solidFill>
                </w14:textFill>
              </w:rPr>
              <w:t>99.97</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imes New Roman" w:hAnsi="Times New Roman"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&gt;</w:t>
            </w:r>
            <w:r>
              <w:rPr>
                <w:rFonts w:ascii="Times New Roman" w:hAnsi="Times New Roman" w:eastAsia="宋体"/>
                <w:color w:val="000000" w:themeColor="text1"/>
                <w:kern w:val="0"/>
                <w:sz w:val="24"/>
                <w:szCs w:val="24"/>
                <w14:textFill>
                  <w14:solidFill>
                    <w14:schemeClr w14:val="tx1"/>
                  </w14:solidFill>
                </w14:textFill>
              </w:rPr>
              <w:t>99.95</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imes New Roman" w:hAnsi="Times New Roman" w:eastAsia="宋体"/>
                <w:color w:val="000000" w:themeColor="text1"/>
                <w:kern w:val="0"/>
                <w:sz w:val="24"/>
                <w:szCs w:val="24"/>
                <w14:textFill>
                  <w14:solidFill>
                    <w14:schemeClr w14:val="tx1"/>
                  </w14:solidFill>
                </w14:textFill>
              </w:rPr>
            </w:pPr>
            <w:r>
              <w:rPr>
                <w:rFonts w:hint="eastAsia" w:ascii="Times New Roman" w:hAnsi="Times New Roman" w:eastAsia="宋体"/>
                <w:color w:val="000000" w:themeColor="text1"/>
                <w:kern w:val="0"/>
                <w:sz w:val="24"/>
                <w:szCs w:val="24"/>
                <w14:textFill>
                  <w14:solidFill>
                    <w14:schemeClr w14:val="tx1"/>
                  </w14:solidFill>
                </w14:textFill>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4" w:type="dxa"/>
            <w:tcBorders>
              <w:top w:val="single" w:color="000000" w:sz="4" w:space="0"/>
              <w:left w:val="single" w:color="000000" w:sz="4" w:space="0"/>
              <w:bottom w:val="single" w:color="000000" w:sz="4" w:space="0"/>
              <w:right w:val="single" w:color="000000" w:sz="4" w:space="0"/>
            </w:tcBorders>
            <w:vAlign w:val="center"/>
          </w:tcPr>
          <w:p>
            <w:pPr>
              <w:spacing w:line="660" w:lineRule="exact"/>
              <w:ind w:firstLine="240" w:firstLineChars="100"/>
              <w:jc w:val="left"/>
              <w:rPr>
                <w:rFonts w:ascii="Times New Roman" w:hAnsi="Times New Roman" w:eastAsia="宋体"/>
                <w:color w:val="000000" w:themeColor="text1"/>
                <w:kern w:val="0"/>
                <w:sz w:val="24"/>
                <w:szCs w:val="24"/>
                <w14:textFill>
                  <w14:solidFill>
                    <w14:schemeClr w14:val="tx1"/>
                  </w14:solidFill>
                </w14:textFill>
              </w:rPr>
            </w:pPr>
            <w:r>
              <w:rPr>
                <w:rFonts w:hint="eastAsia" w:ascii="Times New Roman" w:hAnsi="Times New Roman" w:eastAsia="宋体"/>
                <w:color w:val="000000" w:themeColor="text1"/>
                <w:kern w:val="0"/>
                <w:sz w:val="24"/>
                <w:szCs w:val="24"/>
                <w14:textFill>
                  <w14:solidFill>
                    <w14:schemeClr w14:val="tx1"/>
                  </w14:solidFill>
                </w14:textFill>
              </w:rPr>
              <w:t>初中净入学率（</w:t>
            </w:r>
            <w:r>
              <w:rPr>
                <w:rFonts w:ascii="Times New Roman" w:hAnsi="Times New Roman" w:eastAsia="宋体"/>
                <w:color w:val="000000" w:themeColor="text1"/>
                <w:kern w:val="0"/>
                <w:sz w:val="24"/>
                <w:szCs w:val="24"/>
                <w14:textFill>
                  <w14:solidFill>
                    <w14:schemeClr w14:val="tx1"/>
                  </w14:solidFill>
                </w14:textFill>
              </w:rPr>
              <w:t>%</w:t>
            </w:r>
            <w:r>
              <w:rPr>
                <w:rFonts w:hint="eastAsia" w:ascii="Times New Roman" w:hAnsi="Times New Roman" w:eastAsia="宋体"/>
                <w:color w:val="000000" w:themeColor="text1"/>
                <w:kern w:val="0"/>
                <w:sz w:val="24"/>
                <w:szCs w:val="24"/>
                <w14:textFill>
                  <w14:solidFill>
                    <w14:schemeClr w14:val="tx1"/>
                  </w14:solidFill>
                </w14:textFill>
              </w:rPr>
              <w:t>）</w:t>
            </w:r>
          </w:p>
        </w:tc>
        <w:tc>
          <w:tcPr>
            <w:tcW w:w="1160"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imes New Roman" w:hAnsi="Times New Roman" w:eastAsia="宋体"/>
                <w:color w:val="000000" w:themeColor="text1"/>
                <w:kern w:val="0"/>
                <w:sz w:val="24"/>
                <w:szCs w:val="24"/>
                <w14:textFill>
                  <w14:solidFill>
                    <w14:schemeClr w14:val="tx1"/>
                  </w14:solidFill>
                </w14:textFill>
              </w:rPr>
            </w:pPr>
            <w:r>
              <w:rPr>
                <w:rFonts w:ascii="Times New Roman" w:hAnsi="Times New Roman" w:eastAsia="宋体"/>
                <w:color w:val="000000" w:themeColor="text1"/>
                <w:kern w:val="0"/>
                <w:sz w:val="24"/>
                <w:szCs w:val="24"/>
                <w14:textFill>
                  <w14:solidFill>
                    <w14:schemeClr w14:val="tx1"/>
                  </w14:solidFill>
                </w14:textFill>
              </w:rPr>
              <w:t>99.96</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imes New Roman" w:hAnsi="Times New Roman"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&gt;</w:t>
            </w:r>
            <w:r>
              <w:rPr>
                <w:rFonts w:ascii="Times New Roman" w:hAnsi="Times New Roman" w:eastAsia="宋体"/>
                <w:color w:val="000000" w:themeColor="text1"/>
                <w:kern w:val="0"/>
                <w:sz w:val="24"/>
                <w:szCs w:val="24"/>
                <w14:textFill>
                  <w14:solidFill>
                    <w14:schemeClr w14:val="tx1"/>
                  </w14:solidFill>
                </w14:textFill>
              </w:rPr>
              <w:t>99.95</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imes New Roman" w:hAnsi="Times New Roman" w:eastAsia="宋体"/>
                <w:color w:val="000000" w:themeColor="text1"/>
                <w:kern w:val="0"/>
                <w:sz w:val="24"/>
                <w:szCs w:val="24"/>
                <w14:textFill>
                  <w14:solidFill>
                    <w14:schemeClr w14:val="tx1"/>
                  </w14:solidFill>
                </w14:textFill>
              </w:rPr>
            </w:pPr>
            <w:r>
              <w:rPr>
                <w:rFonts w:hint="eastAsia" w:ascii="Times New Roman" w:hAnsi="Times New Roman" w:eastAsia="宋体"/>
                <w:color w:val="000000" w:themeColor="text1"/>
                <w:kern w:val="0"/>
                <w:sz w:val="24"/>
                <w:szCs w:val="24"/>
                <w14:textFill>
                  <w14:solidFill>
                    <w14:schemeClr w14:val="tx1"/>
                  </w14:solidFill>
                </w14:textFill>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4" w:type="dxa"/>
            <w:tcBorders>
              <w:top w:val="single" w:color="000000" w:sz="4" w:space="0"/>
              <w:left w:val="single" w:color="000000" w:sz="4" w:space="0"/>
              <w:bottom w:val="single" w:color="000000" w:sz="4" w:space="0"/>
              <w:right w:val="single" w:color="000000" w:sz="4" w:space="0"/>
            </w:tcBorders>
            <w:vAlign w:val="center"/>
          </w:tcPr>
          <w:p>
            <w:pPr>
              <w:spacing w:line="660" w:lineRule="exact"/>
              <w:ind w:firstLine="240" w:firstLineChars="100"/>
              <w:jc w:val="left"/>
              <w:rPr>
                <w:rFonts w:ascii="Times New Roman" w:hAnsi="Times New Roman" w:eastAsia="宋体"/>
                <w:kern w:val="0"/>
                <w:sz w:val="24"/>
                <w:szCs w:val="24"/>
              </w:rPr>
            </w:pPr>
            <w:r>
              <w:rPr>
                <w:rFonts w:hint="eastAsia" w:ascii="Times New Roman" w:hAnsi="Times New Roman" w:eastAsia="宋体"/>
                <w:kern w:val="0"/>
                <w:sz w:val="24"/>
                <w:szCs w:val="24"/>
              </w:rPr>
              <w:t>高中阶段教育毛入学率（</w:t>
            </w:r>
            <w:r>
              <w:rPr>
                <w:rFonts w:ascii="Times New Roman" w:hAnsi="Times New Roman" w:eastAsia="宋体"/>
                <w:kern w:val="0"/>
                <w:sz w:val="24"/>
                <w:szCs w:val="24"/>
              </w:rPr>
              <w:t>%</w:t>
            </w:r>
            <w:r>
              <w:rPr>
                <w:rFonts w:hint="eastAsia" w:ascii="Times New Roman" w:hAnsi="Times New Roman" w:eastAsia="宋体"/>
                <w:kern w:val="0"/>
                <w:sz w:val="24"/>
                <w:szCs w:val="24"/>
              </w:rPr>
              <w:t>）</w:t>
            </w:r>
          </w:p>
        </w:tc>
        <w:tc>
          <w:tcPr>
            <w:tcW w:w="1160"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imes New Roman" w:hAnsi="Times New Roman" w:eastAsia="宋体"/>
                <w:kern w:val="0"/>
                <w:sz w:val="24"/>
                <w:szCs w:val="24"/>
              </w:rPr>
            </w:pPr>
            <w:r>
              <w:rPr>
                <w:rFonts w:ascii="Times New Roman" w:hAnsi="Times New Roman" w:eastAsia="宋体"/>
                <w:kern w:val="0"/>
                <w:sz w:val="24"/>
                <w:szCs w:val="24"/>
              </w:rPr>
              <w:t>95.04</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imes New Roman" w:hAnsi="Times New Roman" w:eastAsia="宋体"/>
                <w:color w:val="000000" w:themeColor="text1"/>
                <w:kern w:val="0"/>
                <w:sz w:val="24"/>
                <w:szCs w:val="24"/>
                <w14:textFill>
                  <w14:solidFill>
                    <w14:schemeClr w14:val="tx1"/>
                  </w14:solidFill>
                </w14:textFill>
              </w:rPr>
            </w:pPr>
            <w:r>
              <w:rPr>
                <w:rFonts w:ascii="Times New Roman" w:hAnsi="Times New Roman" w:eastAsia="宋体"/>
                <w:color w:val="000000" w:themeColor="text1"/>
                <w:kern w:val="0"/>
                <w:sz w:val="24"/>
                <w:szCs w:val="24"/>
                <w14:textFill>
                  <w14:solidFill>
                    <w14:schemeClr w14:val="tx1"/>
                  </w14:solidFill>
                </w14:textFill>
              </w:rPr>
              <w:t>95.1</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imes New Roman" w:hAnsi="Times New Roman" w:eastAsia="宋体"/>
                <w:kern w:val="0"/>
                <w:sz w:val="24"/>
                <w:szCs w:val="24"/>
              </w:rPr>
            </w:pPr>
            <w:r>
              <w:rPr>
                <w:rFonts w:hint="eastAsia" w:ascii="Times New Roman" w:hAnsi="Times New Roman" w:eastAsia="宋体"/>
                <w:kern w:val="0"/>
                <w:sz w:val="24"/>
                <w:szCs w:val="24"/>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4"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left"/>
              <w:rPr>
                <w:rFonts w:ascii="Times New Roman" w:hAnsi="Times New Roman" w:eastAsia="宋体"/>
                <w:b/>
                <w:kern w:val="0"/>
                <w:sz w:val="24"/>
                <w:szCs w:val="24"/>
              </w:rPr>
            </w:pPr>
            <w:r>
              <w:rPr>
                <w:rFonts w:hint="eastAsia" w:ascii="Times New Roman" w:hAnsi="Times New Roman" w:eastAsia="宋体"/>
                <w:b/>
                <w:kern w:val="0"/>
                <w:sz w:val="24"/>
                <w:szCs w:val="24"/>
              </w:rPr>
              <w:t>职业教育</w:t>
            </w:r>
          </w:p>
        </w:tc>
        <w:tc>
          <w:tcPr>
            <w:tcW w:w="1160"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imes New Roman" w:hAnsi="Times New Roman" w:eastAsia="宋体"/>
                <w:color w:val="000000" w:themeColor="text1"/>
                <w:kern w:val="0"/>
                <w:sz w:val="24"/>
                <w:szCs w:val="24"/>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imes New Roman" w:hAnsi="Times New Roman" w:eastAsia="宋体"/>
                <w:kern w:val="0"/>
                <w:sz w:val="24"/>
                <w:szCs w:val="24"/>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imes New Roman" w:hAnsi="Times New Roman" w:eastAsia="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4"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imes New Roman" w:hAnsi="Times New Roman" w:eastAsia="宋体"/>
                <w:kern w:val="0"/>
                <w:sz w:val="24"/>
                <w:szCs w:val="24"/>
              </w:rPr>
            </w:pPr>
            <w:r>
              <w:rPr>
                <w:rFonts w:hint="eastAsia" w:ascii="Times New Roman" w:hAnsi="Times New Roman" w:eastAsia="宋体"/>
                <w:kern w:val="0"/>
                <w:sz w:val="24"/>
                <w:szCs w:val="24"/>
              </w:rPr>
              <w:t>中等职业教育在校生（人）</w:t>
            </w:r>
          </w:p>
        </w:tc>
        <w:tc>
          <w:tcPr>
            <w:tcW w:w="1160"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imes New Roman" w:hAnsi="Times New Roman" w:eastAsia="宋体"/>
                <w:color w:val="000000" w:themeColor="text1"/>
                <w:kern w:val="0"/>
                <w:sz w:val="24"/>
                <w:szCs w:val="24"/>
                <w14:textFill>
                  <w14:solidFill>
                    <w14:schemeClr w14:val="tx1"/>
                  </w14:solidFill>
                </w14:textFill>
              </w:rPr>
            </w:pPr>
            <w:r>
              <w:rPr>
                <w:rFonts w:ascii="Times New Roman" w:hAnsi="Times New Roman" w:eastAsia="宋体"/>
                <w:kern w:val="0"/>
                <w:sz w:val="24"/>
                <w:szCs w:val="24"/>
              </w:rPr>
              <w:t>6695</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imes New Roman" w:hAnsi="Times New Roman" w:eastAsia="宋体"/>
                <w:kern w:val="0"/>
                <w:sz w:val="24"/>
                <w:szCs w:val="24"/>
              </w:rPr>
            </w:pPr>
            <w:r>
              <w:rPr>
                <w:rFonts w:ascii="Times New Roman" w:hAnsi="Times New Roman" w:eastAsia="宋体"/>
                <w:kern w:val="0"/>
                <w:sz w:val="24"/>
                <w:szCs w:val="24"/>
              </w:rPr>
              <w:t>7000</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imes New Roman" w:hAnsi="Times New Roman" w:eastAsia="宋体"/>
                <w:kern w:val="0"/>
                <w:sz w:val="24"/>
                <w:szCs w:val="24"/>
              </w:rPr>
            </w:pPr>
            <w:r>
              <w:rPr>
                <w:rFonts w:hint="eastAsia" w:ascii="Times New Roman" w:hAnsi="Times New Roman" w:eastAsia="宋体"/>
                <w:kern w:val="0"/>
                <w:sz w:val="24"/>
                <w:szCs w:val="24"/>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4"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imes New Roman" w:hAnsi="Times New Roman" w:eastAsia="宋体"/>
                <w:kern w:val="0"/>
                <w:sz w:val="24"/>
                <w:szCs w:val="24"/>
              </w:rPr>
            </w:pPr>
            <w:r>
              <w:rPr>
                <w:rFonts w:hint="eastAsia" w:ascii="Times New Roman" w:hAnsi="Times New Roman" w:eastAsia="宋体"/>
                <w:kern w:val="0"/>
                <w:sz w:val="24"/>
                <w:szCs w:val="24"/>
              </w:rPr>
              <w:t>职业教育专科（含高专）在校生（人）</w:t>
            </w:r>
          </w:p>
        </w:tc>
        <w:tc>
          <w:tcPr>
            <w:tcW w:w="1160"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imes New Roman" w:hAnsi="Times New Roman" w:eastAsia="宋体"/>
                <w:color w:val="000000" w:themeColor="text1"/>
                <w:kern w:val="0"/>
                <w:sz w:val="24"/>
                <w:szCs w:val="24"/>
                <w14:textFill>
                  <w14:solidFill>
                    <w14:schemeClr w14:val="tx1"/>
                  </w14:solidFill>
                </w14:textFill>
              </w:rPr>
            </w:pPr>
            <w:r>
              <w:rPr>
                <w:rFonts w:ascii="Times New Roman" w:hAnsi="Times New Roman" w:eastAsia="宋体"/>
                <w:kern w:val="0"/>
                <w:sz w:val="24"/>
                <w:szCs w:val="24"/>
              </w:rPr>
              <w:t>6148</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imes New Roman" w:hAnsi="Times New Roman" w:eastAsia="宋体"/>
                <w:kern w:val="0"/>
                <w:sz w:val="24"/>
                <w:szCs w:val="24"/>
              </w:rPr>
            </w:pPr>
            <w:r>
              <w:rPr>
                <w:rFonts w:ascii="Times New Roman" w:hAnsi="Times New Roman" w:eastAsia="宋体"/>
                <w:kern w:val="0"/>
                <w:sz w:val="24"/>
                <w:szCs w:val="24"/>
              </w:rPr>
              <w:t>8000</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imes New Roman" w:hAnsi="Times New Roman" w:eastAsia="宋体"/>
                <w:kern w:val="0"/>
                <w:sz w:val="24"/>
                <w:szCs w:val="24"/>
              </w:rPr>
            </w:pPr>
            <w:r>
              <w:rPr>
                <w:rFonts w:hint="eastAsia" w:ascii="Times New Roman" w:hAnsi="Times New Roman" w:eastAsia="宋体"/>
                <w:kern w:val="0"/>
                <w:sz w:val="24"/>
                <w:szCs w:val="24"/>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4"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imes New Roman" w:hAnsi="Times New Roman" w:eastAsia="宋体"/>
                <w:color w:val="000000" w:themeColor="text1"/>
                <w:kern w:val="0"/>
                <w:sz w:val="24"/>
                <w:szCs w:val="24"/>
                <w14:textFill>
                  <w14:solidFill>
                    <w14:schemeClr w14:val="tx1"/>
                  </w14:solidFill>
                </w14:textFill>
              </w:rPr>
            </w:pPr>
            <w:r>
              <w:rPr>
                <w:rFonts w:hint="eastAsia" w:ascii="Times New Roman" w:hAnsi="Times New Roman" w:eastAsia="宋体"/>
                <w:color w:val="000000" w:themeColor="text1"/>
                <w:kern w:val="0"/>
                <w:sz w:val="24"/>
                <w:szCs w:val="24"/>
                <w14:textFill>
                  <w14:solidFill>
                    <w14:schemeClr w14:val="tx1"/>
                  </w14:solidFill>
                </w14:textFill>
              </w:rPr>
              <w:t>现代学徒制培养比例（</w:t>
            </w:r>
            <w:r>
              <w:rPr>
                <w:rFonts w:ascii="Times New Roman" w:hAnsi="Times New Roman" w:eastAsia="宋体"/>
                <w:color w:val="000000" w:themeColor="text1"/>
                <w:kern w:val="0"/>
                <w:sz w:val="24"/>
                <w:szCs w:val="24"/>
                <w14:textFill>
                  <w14:solidFill>
                    <w14:schemeClr w14:val="tx1"/>
                  </w14:solidFill>
                </w14:textFill>
              </w:rPr>
              <w:t>%</w:t>
            </w:r>
            <w:r>
              <w:rPr>
                <w:rFonts w:hint="eastAsia" w:ascii="Times New Roman" w:hAnsi="Times New Roman" w:eastAsia="宋体"/>
                <w:color w:val="000000" w:themeColor="text1"/>
                <w:kern w:val="0"/>
                <w:sz w:val="24"/>
                <w:szCs w:val="24"/>
                <w14:textFill>
                  <w14:solidFill>
                    <w14:schemeClr w14:val="tx1"/>
                  </w14:solidFill>
                </w14:textFill>
              </w:rPr>
              <w:t>）</w:t>
            </w:r>
          </w:p>
        </w:tc>
        <w:tc>
          <w:tcPr>
            <w:tcW w:w="1160"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imes New Roman" w:hAnsi="Times New Roman"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imes New Roman" w:hAnsi="Times New Roman" w:eastAsia="宋体"/>
                <w:color w:val="000000" w:themeColor="text1"/>
                <w:kern w:val="0"/>
                <w:sz w:val="24"/>
                <w:szCs w:val="24"/>
                <w14:textFill>
                  <w14:solidFill>
                    <w14:schemeClr w14:val="tx1"/>
                  </w14:solidFill>
                </w14:textFill>
              </w:rPr>
            </w:pPr>
            <w:r>
              <w:rPr>
                <w:rFonts w:ascii="Times New Roman" w:hAnsi="Times New Roman" w:eastAsia="宋体"/>
                <w:color w:val="000000" w:themeColor="text1"/>
                <w:kern w:val="0"/>
                <w:sz w:val="24"/>
                <w:szCs w:val="24"/>
                <w14:textFill>
                  <w14:solidFill>
                    <w14:schemeClr w14:val="tx1"/>
                  </w14:solidFill>
                </w14:textFill>
              </w:rPr>
              <w:t>10</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imes New Roman" w:hAnsi="Times New Roman" w:eastAsia="宋体"/>
                <w:color w:val="000000" w:themeColor="text1"/>
                <w:kern w:val="0"/>
                <w:sz w:val="24"/>
                <w:szCs w:val="24"/>
                <w14:textFill>
                  <w14:solidFill>
                    <w14:schemeClr w14:val="tx1"/>
                  </w14:solidFill>
                </w14:textFill>
              </w:rPr>
            </w:pPr>
            <w:r>
              <w:rPr>
                <w:rFonts w:hint="eastAsia" w:ascii="Times New Roman" w:hAnsi="Times New Roman" w:eastAsia="宋体"/>
                <w:color w:val="000000" w:themeColor="text1"/>
                <w:kern w:val="0"/>
                <w:sz w:val="24"/>
                <w:szCs w:val="24"/>
                <w14:textFill>
                  <w14:solidFill>
                    <w14:schemeClr w14:val="tx1"/>
                  </w14:solidFill>
                </w14:textFill>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4"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imes New Roman" w:hAnsi="Times New Roman" w:eastAsia="宋体"/>
                <w:kern w:val="0"/>
                <w:sz w:val="24"/>
                <w:szCs w:val="24"/>
              </w:rPr>
            </w:pPr>
            <w:r>
              <w:rPr>
                <w:rFonts w:hint="eastAsia" w:ascii="Times New Roman" w:hAnsi="Times New Roman" w:eastAsia="宋体"/>
                <w:kern w:val="0"/>
                <w:sz w:val="24"/>
                <w:szCs w:val="24"/>
              </w:rPr>
              <w:t>双师型教师占专业课教师比例（</w:t>
            </w:r>
            <w:r>
              <w:rPr>
                <w:rFonts w:ascii="Times New Roman" w:hAnsi="Times New Roman" w:eastAsia="宋体"/>
                <w:kern w:val="0"/>
                <w:sz w:val="24"/>
                <w:szCs w:val="24"/>
              </w:rPr>
              <w:t>%</w:t>
            </w:r>
            <w:r>
              <w:rPr>
                <w:rFonts w:hint="eastAsia" w:ascii="Times New Roman" w:hAnsi="Times New Roman" w:eastAsia="宋体"/>
                <w:kern w:val="0"/>
                <w:sz w:val="24"/>
                <w:szCs w:val="24"/>
              </w:rPr>
              <w:t>）</w:t>
            </w:r>
          </w:p>
        </w:tc>
        <w:tc>
          <w:tcPr>
            <w:tcW w:w="1160"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imes New Roman" w:hAnsi="Times New Roman" w:eastAsia="宋体"/>
                <w:color w:val="000000" w:themeColor="text1"/>
                <w:kern w:val="0"/>
                <w:sz w:val="24"/>
                <w:szCs w:val="24"/>
                <w14:textFill>
                  <w14:solidFill>
                    <w14:schemeClr w14:val="tx1"/>
                  </w14:solidFill>
                </w14:textFill>
              </w:rPr>
            </w:pPr>
            <w:r>
              <w:rPr>
                <w:rFonts w:hint="eastAsia" w:ascii="Times New Roman" w:hAnsi="Times New Roman" w:eastAsia="宋体"/>
                <w:color w:val="000000" w:themeColor="text1"/>
                <w:kern w:val="0"/>
                <w:sz w:val="24"/>
                <w:szCs w:val="24"/>
                <w14:textFill>
                  <w14:solidFill>
                    <w14:schemeClr w14:val="tx1"/>
                  </w14:solidFill>
                </w14:textFill>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imes New Roman" w:hAnsi="Times New Roman" w:eastAsia="宋体"/>
                <w:kern w:val="0"/>
                <w:sz w:val="24"/>
                <w:szCs w:val="24"/>
              </w:rPr>
            </w:pPr>
            <w:r>
              <w:rPr>
                <w:rFonts w:ascii="Times New Roman" w:hAnsi="Times New Roman" w:eastAsia="宋体"/>
                <w:kern w:val="0"/>
                <w:sz w:val="24"/>
                <w:szCs w:val="24"/>
              </w:rPr>
              <w:t>60</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imes New Roman" w:hAnsi="Times New Roman" w:eastAsia="宋体"/>
                <w:kern w:val="0"/>
                <w:sz w:val="24"/>
                <w:szCs w:val="24"/>
              </w:rPr>
            </w:pPr>
            <w:r>
              <w:rPr>
                <w:rFonts w:hint="eastAsia" w:ascii="Times New Roman" w:hAnsi="Times New Roman" w:eastAsia="宋体"/>
                <w:kern w:val="0"/>
                <w:sz w:val="24"/>
                <w:szCs w:val="24"/>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4"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left"/>
              <w:rPr>
                <w:rFonts w:ascii="Times New Roman" w:hAnsi="Times New Roman" w:eastAsia="宋体"/>
                <w:b/>
                <w:kern w:val="0"/>
                <w:sz w:val="24"/>
                <w:szCs w:val="24"/>
              </w:rPr>
            </w:pPr>
            <w:r>
              <w:rPr>
                <w:rFonts w:hint="eastAsia" w:ascii="Times New Roman" w:hAnsi="Times New Roman" w:eastAsia="宋体"/>
                <w:b/>
                <w:kern w:val="0"/>
                <w:sz w:val="24"/>
                <w:szCs w:val="24"/>
              </w:rPr>
              <w:t>普通教育</w:t>
            </w:r>
          </w:p>
        </w:tc>
        <w:tc>
          <w:tcPr>
            <w:tcW w:w="1160"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imes New Roman" w:hAnsi="Times New Roman" w:eastAsia="宋体"/>
                <w:color w:val="000000" w:themeColor="text1"/>
                <w:kern w:val="0"/>
                <w:sz w:val="24"/>
                <w:szCs w:val="24"/>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imes New Roman" w:hAnsi="Times New Roman" w:eastAsia="宋体"/>
                <w:kern w:val="0"/>
                <w:sz w:val="24"/>
                <w:szCs w:val="24"/>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imes New Roman" w:hAnsi="Times New Roman" w:eastAsia="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4"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imes New Roman" w:hAnsi="Times New Roman" w:eastAsia="宋体"/>
                <w:kern w:val="0"/>
                <w:sz w:val="24"/>
                <w:szCs w:val="24"/>
              </w:rPr>
            </w:pPr>
            <w:r>
              <w:rPr>
                <w:rFonts w:hint="eastAsia" w:ascii="Times New Roman" w:hAnsi="Times New Roman" w:eastAsia="宋体"/>
                <w:kern w:val="0"/>
                <w:sz w:val="24"/>
                <w:szCs w:val="24"/>
              </w:rPr>
              <w:t>普通高中在校人数（人）</w:t>
            </w:r>
          </w:p>
        </w:tc>
        <w:tc>
          <w:tcPr>
            <w:tcW w:w="1160"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imes New Roman" w:hAnsi="Times New Roman" w:eastAsia="宋体"/>
                <w:color w:val="000000" w:themeColor="text1"/>
                <w:kern w:val="0"/>
                <w:sz w:val="24"/>
                <w:szCs w:val="24"/>
                <w14:textFill>
                  <w14:solidFill>
                    <w14:schemeClr w14:val="tx1"/>
                  </w14:solidFill>
                </w14:textFill>
              </w:rPr>
            </w:pPr>
            <w:r>
              <w:rPr>
                <w:rFonts w:ascii="Times New Roman" w:hAnsi="Times New Roman" w:eastAsia="宋体"/>
                <w:kern w:val="0"/>
                <w:sz w:val="24"/>
                <w:szCs w:val="24"/>
              </w:rPr>
              <w:t>24003</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imes New Roman" w:hAnsi="Times New Roman" w:eastAsia="宋体"/>
                <w:kern w:val="0"/>
                <w:sz w:val="24"/>
                <w:szCs w:val="24"/>
              </w:rPr>
            </w:pPr>
            <w:r>
              <w:rPr>
                <w:rFonts w:ascii="Times New Roman" w:hAnsi="Times New Roman" w:eastAsia="宋体"/>
                <w:kern w:val="0"/>
                <w:sz w:val="24"/>
                <w:szCs w:val="24"/>
              </w:rPr>
              <w:t>24000</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imes New Roman" w:hAnsi="Times New Roman" w:eastAsia="宋体"/>
                <w:kern w:val="0"/>
                <w:sz w:val="24"/>
                <w:szCs w:val="24"/>
              </w:rPr>
            </w:pPr>
            <w:r>
              <w:rPr>
                <w:rFonts w:hint="eastAsia" w:ascii="Times New Roman" w:hAnsi="Times New Roman" w:eastAsia="宋体"/>
                <w:kern w:val="0"/>
                <w:sz w:val="24"/>
                <w:szCs w:val="24"/>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4"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left"/>
              <w:rPr>
                <w:rFonts w:ascii="Times New Roman" w:hAnsi="Times New Roman" w:eastAsia="宋体"/>
                <w:b/>
                <w:kern w:val="0"/>
                <w:sz w:val="24"/>
                <w:szCs w:val="24"/>
              </w:rPr>
            </w:pPr>
            <w:r>
              <w:rPr>
                <w:rFonts w:hint="eastAsia" w:ascii="Times New Roman" w:hAnsi="Times New Roman" w:eastAsia="宋体"/>
                <w:b/>
                <w:kern w:val="0"/>
                <w:sz w:val="24"/>
                <w:szCs w:val="24"/>
              </w:rPr>
              <w:t>人力资源开发水平</w:t>
            </w:r>
          </w:p>
        </w:tc>
        <w:tc>
          <w:tcPr>
            <w:tcW w:w="1160"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imes New Roman" w:hAnsi="Times New Roman" w:eastAsia="宋体"/>
                <w:color w:val="000000" w:themeColor="text1"/>
                <w:kern w:val="0"/>
                <w:sz w:val="24"/>
                <w:szCs w:val="24"/>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imes New Roman" w:hAnsi="Times New Roman" w:eastAsia="宋体"/>
                <w:kern w:val="0"/>
                <w:sz w:val="24"/>
                <w:szCs w:val="24"/>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imes New Roman" w:hAnsi="Times New Roman" w:eastAsia="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4"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imes New Roman" w:hAnsi="Times New Roman" w:eastAsia="宋体"/>
                <w:kern w:val="0"/>
                <w:sz w:val="24"/>
                <w:szCs w:val="24"/>
              </w:rPr>
            </w:pPr>
            <w:r>
              <w:rPr>
                <w:rFonts w:hint="eastAsia" w:ascii="Times New Roman" w:hAnsi="Times New Roman" w:eastAsia="宋体"/>
                <w:kern w:val="0"/>
                <w:sz w:val="24"/>
                <w:szCs w:val="24"/>
              </w:rPr>
              <w:t>劳动年龄人口平均受教育年限（年）</w:t>
            </w:r>
          </w:p>
        </w:tc>
        <w:tc>
          <w:tcPr>
            <w:tcW w:w="1160"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imes New Roman" w:hAnsi="Times New Roman" w:eastAsia="宋体"/>
                <w:kern w:val="0"/>
                <w:sz w:val="24"/>
                <w:szCs w:val="24"/>
              </w:rPr>
            </w:pPr>
            <w:r>
              <w:rPr>
                <w:rFonts w:ascii="Times New Roman" w:hAnsi="Times New Roman" w:eastAsia="宋体"/>
                <w:color w:val="000000" w:themeColor="text1"/>
                <w:kern w:val="0"/>
                <w:sz w:val="24"/>
                <w:szCs w:val="24"/>
                <w14:textFill>
                  <w14:solidFill>
                    <w14:schemeClr w14:val="tx1"/>
                  </w14:solidFill>
                </w14:textFill>
              </w:rPr>
              <w:t>10.8</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imes New Roman" w:hAnsi="Times New Roman" w:eastAsia="宋体"/>
                <w:kern w:val="0"/>
                <w:sz w:val="24"/>
                <w:szCs w:val="24"/>
              </w:rPr>
            </w:pPr>
            <w:r>
              <w:rPr>
                <w:rFonts w:ascii="Times New Roman" w:hAnsi="Times New Roman" w:eastAsia="宋体"/>
                <w:kern w:val="0"/>
                <w:sz w:val="24"/>
                <w:szCs w:val="24"/>
              </w:rPr>
              <w:t>11.62</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660" w:lineRule="exact"/>
              <w:jc w:val="center"/>
              <w:rPr>
                <w:rFonts w:ascii="Times New Roman" w:hAnsi="Times New Roman" w:eastAsia="宋体"/>
                <w:kern w:val="0"/>
                <w:sz w:val="24"/>
                <w:szCs w:val="24"/>
              </w:rPr>
            </w:pPr>
            <w:r>
              <w:rPr>
                <w:rFonts w:hint="eastAsia" w:ascii="Times New Roman" w:hAnsi="Times New Roman" w:eastAsia="宋体"/>
                <w:kern w:val="0"/>
                <w:sz w:val="24"/>
                <w:szCs w:val="24"/>
              </w:rPr>
              <w:t>约束性</w:t>
            </w:r>
          </w:p>
        </w:tc>
      </w:tr>
    </w:tbl>
    <w:p>
      <w:pPr>
        <w:pStyle w:val="6"/>
        <w:keepNext w:val="0"/>
        <w:keepLines w:val="0"/>
        <w:spacing w:before="156" w:beforeLines="50" w:after="156" w:afterLines="50" w:line="240" w:lineRule="auto"/>
        <w:ind w:firstLine="640" w:firstLineChars="200"/>
        <w:rPr>
          <w:rFonts w:ascii="Times New Roman" w:hAnsi="Times New Roman" w:eastAsia="黑体" w:cs="Times New Roman"/>
          <w:b w:val="0"/>
          <w:sz w:val="32"/>
          <w:szCs w:val="32"/>
        </w:rPr>
      </w:pPr>
      <w:bookmarkStart w:id="7" w:name="_Toc99381127"/>
      <w:r>
        <w:rPr>
          <w:rFonts w:hint="eastAsia" w:ascii="Times New Roman" w:hAnsi="Times New Roman" w:eastAsia="黑体" w:cs="Times New Roman"/>
          <w:b w:val="0"/>
          <w:sz w:val="32"/>
          <w:szCs w:val="32"/>
        </w:rPr>
        <w:t>三、切实加强党对教育工作的全面领导</w:t>
      </w:r>
      <w:bookmarkEnd w:id="7"/>
    </w:p>
    <w:p>
      <w:pPr>
        <w:pStyle w:val="7"/>
        <w:keepNext w:val="0"/>
        <w:keepLines w:val="0"/>
        <w:widowControl/>
        <w:spacing w:before="156" w:beforeLines="50" w:after="0"/>
        <w:ind w:firstLine="642" w:firstLineChars="200"/>
        <w:rPr>
          <w:rFonts w:ascii="Times New Roman" w:hAnsi="Times New Roman" w:eastAsia="楷体_GB2312" w:cs="Times New Roman"/>
        </w:rPr>
      </w:pPr>
      <w:bookmarkStart w:id="8" w:name="_Toc99381128"/>
      <w:r>
        <w:rPr>
          <w:rFonts w:hint="eastAsia" w:ascii="Times New Roman" w:hAnsi="Times New Roman" w:eastAsia="楷体_GB2312" w:cs="Times New Roman"/>
        </w:rPr>
        <w:t>（一）牢牢掌握党对教育工作的领导权</w:t>
      </w:r>
      <w:bookmarkEnd w:id="8"/>
    </w:p>
    <w:p>
      <w:pPr>
        <w:spacing w:after="120"/>
        <w:ind w:firstLine="640" w:firstLineChars="200"/>
        <w:rPr>
          <w:rFonts w:ascii="Times New Roman" w:hAnsi="Times New Roman" w:eastAsia="仿宋_GB2312"/>
          <w:sz w:val="32"/>
          <w:szCs w:val="32"/>
        </w:rPr>
      </w:pPr>
      <w:r>
        <w:rPr>
          <w:rFonts w:hint="eastAsia" w:ascii="仿宋_GB2312" w:hAnsi="Times New Roman" w:eastAsia="仿宋_GB2312"/>
          <w:sz w:val="32"/>
          <w:szCs w:val="32"/>
        </w:rPr>
        <w:t>全市教育系统要坚持和加强党对教育工作的全面领导，深刻认识</w:t>
      </w:r>
      <w:r>
        <w:rPr>
          <w:rFonts w:hint="eastAsia" w:ascii="Times New Roman" w:hAnsi="Times New Roman" w:eastAsia="仿宋_GB2312"/>
          <w:sz w:val="32"/>
          <w:szCs w:val="32"/>
        </w:rPr>
        <w:t>“两个确立”的重要意义，切实增强“四个意识”、坚定“四个自信”、做到“两个维护”，为加快教育现代化、办好人民满意教育提供坚强组织保证。进一步健全完善党的领导的组织体系、制度体系和工作机制，健全完善党委统一领导、党政齐抓共管、部门各负其责的教育工作领导体制。全面落实中小学校党组织领导的校长负责制</w:t>
      </w:r>
      <w:r>
        <w:rPr>
          <w:rFonts w:hint="eastAsia" w:ascii="仿宋_GB2312" w:hAnsi="Times New Roman" w:eastAsia="仿宋_GB2312"/>
          <w:sz w:val="32"/>
          <w:szCs w:val="32"/>
        </w:rPr>
        <w:t>，健全完善党政主要领导深入学校调研、上思政课、联系学校等工作制度。健全完善意识形态工作体制机制，认真落实党委（党组）意识形态工作责任制，牢牢把握党对学校意识形态工作的领导权、管理权和话语权。加强教育系统统一战线工作，深化对党外知识分子的思想政治引领。</w:t>
      </w:r>
    </w:p>
    <w:p>
      <w:pPr>
        <w:pStyle w:val="7"/>
        <w:keepNext w:val="0"/>
        <w:keepLines w:val="0"/>
        <w:widowControl/>
        <w:spacing w:before="156" w:beforeLines="50" w:after="0"/>
        <w:ind w:firstLine="642" w:firstLineChars="200"/>
        <w:rPr>
          <w:rFonts w:ascii="Times New Roman" w:hAnsi="Times New Roman" w:eastAsia="楷体_GB2312" w:cs="Times New Roman"/>
        </w:rPr>
      </w:pPr>
      <w:bookmarkStart w:id="9" w:name="_Toc99381129"/>
      <w:r>
        <w:rPr>
          <w:rFonts w:hint="eastAsia" w:ascii="Times New Roman" w:hAnsi="Times New Roman" w:eastAsia="楷体_GB2312" w:cs="Times New Roman"/>
        </w:rPr>
        <w:t>（二）全面加强教育系统党的建设</w:t>
      </w:r>
      <w:bookmarkEnd w:id="9"/>
    </w:p>
    <w:p>
      <w:pPr>
        <w:spacing w:after="120"/>
        <w:ind w:firstLine="640" w:firstLineChars="200"/>
        <w:rPr>
          <w:rFonts w:ascii="Times New Roman" w:hAnsi="Times New Roman" w:eastAsia="仿宋_GB2312"/>
          <w:sz w:val="32"/>
          <w:szCs w:val="32"/>
        </w:rPr>
      </w:pPr>
      <w:r>
        <w:rPr>
          <w:rFonts w:hint="eastAsia" w:ascii="仿宋_GB2312" w:hAnsi="Times New Roman" w:eastAsia="仿宋_GB2312"/>
          <w:sz w:val="32"/>
          <w:szCs w:val="32"/>
        </w:rPr>
        <w:t>实施党建品牌提升工程，开展</w:t>
      </w:r>
      <w:r>
        <w:rPr>
          <w:rFonts w:hint="eastAsia" w:ascii="Times New Roman" w:hAnsi="Times New Roman" w:eastAsia="仿宋_GB2312"/>
          <w:sz w:val="32"/>
          <w:szCs w:val="32"/>
        </w:rPr>
        <w:t>“红色育人”党建品牌创建工作</w:t>
      </w:r>
      <w:r>
        <w:rPr>
          <w:rFonts w:hint="eastAsia" w:ascii="仿宋_GB2312" w:hAnsi="Times New Roman" w:eastAsia="仿宋_GB2312"/>
          <w:sz w:val="32"/>
          <w:szCs w:val="32"/>
        </w:rPr>
        <w:t>，在党组织中建强红色堡垒，在广大教师中弘扬红烛精神，在广大学生中传承红色基因，推动党建、业务双融合双促进，全面提升教育系统党的建设质量。严肃党内政治生活，认真落实</w:t>
      </w:r>
      <w:r>
        <w:rPr>
          <w:rFonts w:hint="eastAsia" w:ascii="Times New Roman" w:hAnsi="Times New Roman" w:eastAsia="仿宋_GB2312"/>
          <w:sz w:val="32"/>
          <w:szCs w:val="32"/>
        </w:rPr>
        <w:t>“三会一课”、民主生活会、党组织换届等制度，推进</w:t>
      </w:r>
      <w:r>
        <w:rPr>
          <w:rFonts w:hint="eastAsia" w:ascii="仿宋_GB2312" w:hAnsi="Times New Roman" w:eastAsia="仿宋_GB2312"/>
          <w:sz w:val="32"/>
          <w:szCs w:val="32"/>
        </w:rPr>
        <w:t>中小学党组织标准化建设。强化党建带群建、团建、队建工作力度，以党建带动工会、共青团、妇联、少先队等群团组织和学生会组织、学生社团建设。加强民办学校党的建设。做好发展党员工作，加强教育系统党员干部政治能力培训。深入开展教育系统</w:t>
      </w:r>
      <w:r>
        <w:rPr>
          <w:rFonts w:hint="eastAsia" w:ascii="Times New Roman" w:hAnsi="Times New Roman" w:eastAsia="仿宋_GB2312"/>
          <w:sz w:val="32"/>
          <w:szCs w:val="32"/>
        </w:rPr>
        <w:t>“四史”专题教育，推动党史学习教育常态化长效化。</w:t>
      </w:r>
    </w:p>
    <w:p>
      <w:pPr>
        <w:pStyle w:val="7"/>
        <w:keepNext w:val="0"/>
        <w:keepLines w:val="0"/>
        <w:widowControl/>
        <w:spacing w:before="156" w:beforeLines="50" w:after="0"/>
        <w:ind w:firstLine="642" w:firstLineChars="200"/>
        <w:rPr>
          <w:rFonts w:ascii="Times New Roman" w:hAnsi="Times New Roman" w:eastAsia="楷体_GB2312" w:cs="Times New Roman"/>
        </w:rPr>
      </w:pPr>
      <w:bookmarkStart w:id="10" w:name="_Toc99381130"/>
      <w:r>
        <w:rPr>
          <w:rFonts w:hint="eastAsia" w:ascii="Times New Roman" w:hAnsi="Times New Roman" w:eastAsia="楷体_GB2312" w:cs="Times New Roman"/>
        </w:rPr>
        <w:t>（三）坚定不移全面从严治党</w:t>
      </w:r>
      <w:bookmarkEnd w:id="10"/>
    </w:p>
    <w:p>
      <w:pPr>
        <w:spacing w:after="120"/>
        <w:ind w:firstLine="640" w:firstLineChars="200"/>
        <w:rPr>
          <w:rFonts w:ascii="Times New Roman" w:hAnsi="Times New Roman" w:eastAsia="仿宋_GB2312"/>
          <w:sz w:val="32"/>
          <w:szCs w:val="32"/>
        </w:rPr>
      </w:pPr>
      <w:r>
        <w:rPr>
          <w:rFonts w:hint="eastAsia" w:ascii="仿宋_GB2312" w:hAnsi="Times New Roman" w:eastAsia="仿宋_GB2312"/>
          <w:sz w:val="32"/>
          <w:szCs w:val="32"/>
        </w:rPr>
        <w:t>落实全面从严治党主体责任，层层压紧压实全面从严治党责任链条。持之以恒正风肃纪，严格落实中央八项规定及其实施细则精神，紧盯</w:t>
      </w:r>
      <w:r>
        <w:rPr>
          <w:rFonts w:hint="eastAsia" w:ascii="Times New Roman" w:hAnsi="Times New Roman" w:eastAsia="仿宋_GB2312"/>
          <w:sz w:val="32"/>
          <w:szCs w:val="32"/>
        </w:rPr>
        <w:t>“四风”问题新变化、新特点、新表现，推动全面从严治党“两个责任”贯通协同，营造风清气正的教育系统良好政治生态。强化监督执纪问责，强化政治监督，完善党中央重大决策部署贯彻落实的督查问责机制，推进警示教育常态化制度化。健全廉政风险防控体系，压实管党治校政治责任</w:t>
      </w:r>
      <w:r>
        <w:rPr>
          <w:rFonts w:hint="eastAsia" w:ascii="仿宋_GB2312" w:hAnsi="Times New Roman" w:eastAsia="仿宋_GB2312"/>
          <w:sz w:val="32"/>
          <w:szCs w:val="32"/>
        </w:rPr>
        <w:t>，深入开展</w:t>
      </w:r>
      <w:r>
        <w:rPr>
          <w:rFonts w:hint="eastAsia" w:ascii="Times New Roman" w:hAnsi="Times New Roman" w:eastAsia="仿宋_GB2312"/>
          <w:sz w:val="32"/>
          <w:szCs w:val="32"/>
        </w:rPr>
        <w:t>“清廉校园”建设，构建不敢腐、不能腐、不想腐的长效机制。抓好教育系统党员教育管理工作，加强理想信念和党性教育，严明党的政治纪律和政治规矩。</w:t>
      </w:r>
    </w:p>
    <w:p>
      <w:pPr>
        <w:pStyle w:val="6"/>
        <w:keepNext w:val="0"/>
        <w:keepLines w:val="0"/>
        <w:spacing w:before="156" w:beforeLines="50" w:after="156" w:afterLines="50" w:line="240" w:lineRule="auto"/>
        <w:ind w:firstLine="640" w:firstLineChars="200"/>
        <w:rPr>
          <w:rFonts w:ascii="Times New Roman" w:hAnsi="Times New Roman" w:eastAsia="黑体" w:cs="Times New Roman"/>
          <w:b w:val="0"/>
          <w:sz w:val="32"/>
          <w:szCs w:val="32"/>
        </w:rPr>
      </w:pPr>
      <w:bookmarkStart w:id="11" w:name="_Toc99381131"/>
      <w:r>
        <w:rPr>
          <w:rFonts w:ascii="Times New Roman" w:hAnsi="Times New Roman" w:eastAsia="黑体" w:cs="Times New Roman"/>
          <w:b w:val="0"/>
          <w:sz w:val="32"/>
          <w:szCs w:val="32"/>
        </w:rPr>
        <w:t>四、全面落实立德树人，大力发展素质教育</w:t>
      </w:r>
      <w:bookmarkEnd w:id="11"/>
    </w:p>
    <w:p>
      <w:pPr>
        <w:spacing w:line="600" w:lineRule="exact"/>
        <w:ind w:firstLine="640" w:firstLineChars="200"/>
        <w:rPr>
          <w:rFonts w:ascii="Times New Roman" w:hAnsi="Times New Roman" w:cs="Times New Roman"/>
          <w:lang w:bidi="en-US"/>
        </w:rPr>
      </w:pPr>
      <w:r>
        <w:rPr>
          <w:rFonts w:ascii="Times New Roman" w:hAnsi="Times New Roman" w:eastAsia="仿宋_GB2312" w:cs="Times New Roman"/>
          <w:sz w:val="32"/>
          <w:szCs w:val="32"/>
        </w:rPr>
        <w:t>全面贯彻党的教育方针，树立科学的教育质量观，健全立德树人落实机制，着力坚定理想信念，厚植爱国主义情怀，加强品德修养，增长知识见识，培养奋斗精神，增强综合素质，构建德智体美劳全面培养的教育体系。</w:t>
      </w:r>
    </w:p>
    <w:p>
      <w:pPr>
        <w:pStyle w:val="7"/>
        <w:keepNext w:val="0"/>
        <w:keepLines w:val="0"/>
        <w:widowControl/>
        <w:spacing w:before="156" w:beforeLines="50" w:after="0"/>
        <w:ind w:firstLine="642" w:firstLineChars="200"/>
        <w:rPr>
          <w:rFonts w:ascii="Times New Roman" w:hAnsi="Times New Roman" w:eastAsia="楷体_GB2312" w:cs="Times New Roman"/>
        </w:rPr>
      </w:pPr>
      <w:bookmarkStart w:id="12" w:name="_Toc99381132"/>
      <w:r>
        <w:rPr>
          <w:rFonts w:ascii="Times New Roman" w:hAnsi="Times New Roman" w:eastAsia="楷体_GB2312" w:cs="Times New Roman"/>
        </w:rPr>
        <w:t>（一）培育区域特色德育品牌</w:t>
      </w:r>
      <w:bookmarkEnd w:id="12"/>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践行社会主义核心价值观，擦亮“心行教育”阳泉德育品牌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广泛开展爱国主义宣教活动，厚植爱国主义情怀，不断提高学生的思想水平、政治觉悟、道德品质、文化素养、时代使命和社会责任意识。以学习习近平新时代中国特色社会主义思想“三团巡讲”为载体，建立完善习近平新时代中国特色社会主义思想进教材进课堂进头脑工作长效机制，切实以习近平新时代中国特色社会主义思想铸魂育人。在市县两级典型示范学校开展“一校一项目、一校一特色”活动，形成新时代中小学德育“典型突出、特色鲜明、成果丰富、效果显著”的先进经验和创新案例。将德育融入教育教学全过程，构建大中小幼一体化德育体系，开展“三全育人”综合改革试点，营造有利于学生全面成长和个体最优发展的育人环境。</w:t>
      </w:r>
    </w:p>
    <w:p>
      <w:pPr>
        <w:pStyle w:val="7"/>
        <w:keepNext w:val="0"/>
        <w:keepLines w:val="0"/>
        <w:spacing w:before="156" w:beforeLines="50" w:after="0"/>
        <w:ind w:firstLine="642" w:firstLineChars="200"/>
        <w:rPr>
          <w:rFonts w:ascii="Times New Roman" w:hAnsi="Times New Roman" w:eastAsia="楷体_GB2312" w:cs="Times New Roman"/>
        </w:rPr>
      </w:pPr>
      <w:bookmarkStart w:id="13" w:name="_Toc99381133"/>
      <w:r>
        <w:rPr>
          <w:rFonts w:ascii="Times New Roman" w:hAnsi="Times New Roman" w:eastAsia="楷体_GB2312" w:cs="Times New Roman"/>
        </w:rPr>
        <w:t>（二）一体推进思想政治教育</w:t>
      </w:r>
      <w:bookmarkEnd w:id="13"/>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深入贯彻落实《关于深化新时代学校思想政治理论课改革创新的若干意见》文件精神，统筹推进大中小学思政课一体化建设，构建大中小幼一体化思政课工作体系。</w:t>
      </w:r>
      <w:r>
        <w:rPr>
          <w:rFonts w:hint="eastAsia" w:ascii="Times New Roman" w:hAnsi="Times New Roman" w:eastAsia="仿宋_GB2312" w:cs="Times New Roman"/>
          <w:sz w:val="32"/>
          <w:szCs w:val="32"/>
        </w:rPr>
        <w:t>大力开展理想信念、社会主义核心价值观、中华优秀传统文化、革命文化、科技创新文化及总体国家安全观等教育。深入挖掘各类课程和教学方式中蕴含的思政教育资源，增强思政教育的协同效应。</w:t>
      </w:r>
      <w:r>
        <w:rPr>
          <w:rFonts w:ascii="Times New Roman" w:hAnsi="Times New Roman" w:eastAsia="仿宋_GB2312" w:cs="Times New Roman"/>
          <w:sz w:val="32"/>
          <w:szCs w:val="32"/>
        </w:rPr>
        <w:t>深化思政课教育教学改革创新，</w:t>
      </w:r>
      <w:r>
        <w:rPr>
          <w:rFonts w:hint="eastAsia" w:ascii="Times New Roman" w:hAnsi="Times New Roman" w:eastAsia="仿宋_GB2312" w:cs="Times New Roman"/>
          <w:sz w:val="32"/>
          <w:szCs w:val="32"/>
        </w:rPr>
        <w:t>开展思政课教师集体备课行动和素质展示活动，</w:t>
      </w:r>
      <w:r>
        <w:rPr>
          <w:rFonts w:ascii="Times New Roman" w:hAnsi="Times New Roman" w:eastAsia="仿宋_GB2312" w:cs="Times New Roman"/>
          <w:sz w:val="32"/>
          <w:szCs w:val="32"/>
        </w:rPr>
        <w:t>探索成立思想政治理论课程资源共享联盟，打造高质量教学资源库。加强新时代中小学思政教师队伍建设，培育和宣传德育工作者等先进典型。</w:t>
      </w:r>
      <w:r>
        <w:rPr>
          <w:rFonts w:hint="eastAsia" w:ascii="Times New Roman" w:hAnsi="Times New Roman" w:eastAsia="仿宋_GB2312" w:cs="Times New Roman"/>
          <w:sz w:val="32"/>
          <w:szCs w:val="32"/>
        </w:rPr>
        <w:t>成立学校思政课教学指导委员会。</w:t>
      </w:r>
      <w:r>
        <w:rPr>
          <w:rFonts w:ascii="Times New Roman" w:hAnsi="Times New Roman" w:eastAsia="仿宋_GB2312" w:cs="Times New Roman"/>
          <w:sz w:val="32"/>
          <w:szCs w:val="32"/>
        </w:rPr>
        <w:t>建强配齐高校辅导员、思政课教师、专职组织员，建立健全岗位绩效、双线晋升、培训研修、考核评价等工作机制，补齐“三支队伍”短板。</w:t>
      </w:r>
      <w:r>
        <w:rPr>
          <w:rFonts w:hint="eastAsia" w:ascii="Times New Roman" w:hAnsi="Times New Roman" w:eastAsia="仿宋_GB2312" w:cs="Times New Roman"/>
          <w:sz w:val="32"/>
          <w:szCs w:val="32"/>
        </w:rPr>
        <w:t>持续推动“一校一案”落实《中小学德育指南》。加强网络思政工作建设。持续推动文明校园创建。充分发挥教育系统关心下一代委员会育人作用。</w:t>
      </w:r>
      <w:r>
        <w:rPr>
          <w:rFonts w:ascii="Times New Roman" w:hAnsi="Times New Roman" w:eastAsia="仿宋_GB2312" w:cs="Times New Roman"/>
          <w:sz w:val="32"/>
          <w:szCs w:val="32"/>
        </w:rPr>
        <w:t>完善各类学校党建带团建队建机制，构建党、团、队相衔接的思想政治教育体系。</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jc w:val="center"/>
              <w:outlineLvl w:val="2"/>
              <w:rPr>
                <w:rFonts w:ascii="Times New Roman" w:hAnsi="Times New Roman" w:eastAsia="宋体" w:cs="Times New Roman"/>
                <w:b/>
                <w:bCs/>
              </w:rPr>
            </w:pPr>
            <w:bookmarkStart w:id="14" w:name="_Toc99381134"/>
            <w:r>
              <w:rPr>
                <w:rFonts w:ascii="Times New Roman" w:hAnsi="Times New Roman" w:eastAsia="宋体" w:cs="Times New Roman"/>
                <w:b/>
                <w:bCs/>
                <w:sz w:val="28"/>
                <w:szCs w:val="28"/>
                <w:lang w:val="zh-CN"/>
              </w:rPr>
              <w:t>专栏1  深化新时代学校思政课改革创新质量持续提升工程</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实施思政课教师队伍培养培训计划，按照“六个要”标准组织开展习近平新时代中国特色社会主义思想专题培训，全面提升思政课教师的政治素养和专业水平。</w:t>
            </w:r>
          </w:p>
          <w:p>
            <w:pPr>
              <w:spacing w:line="4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积极创建省级思政教育工作室，打造特色文化育人品牌，探索开设思政微课。</w:t>
            </w:r>
          </w:p>
          <w:p>
            <w:pPr>
              <w:spacing w:line="4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培育建设一批思政课名师工作室，凝聚教学科研合力，促进教学水平提升、科研成果产出及转化。</w:t>
            </w:r>
          </w:p>
          <w:p>
            <w:pPr>
              <w:spacing w:line="460" w:lineRule="exact"/>
              <w:ind w:firstLine="480" w:firstLineChars="200"/>
              <w:rPr>
                <w:rFonts w:ascii="Times New Roman" w:hAnsi="Times New Roman" w:eastAsia="宋体" w:cs="Times New Roman"/>
              </w:rPr>
            </w:pPr>
            <w:r>
              <w:rPr>
                <w:rFonts w:ascii="Times New Roman" w:hAnsi="Times New Roman" w:eastAsia="宋体" w:cs="Times New Roman"/>
                <w:sz w:val="24"/>
                <w:szCs w:val="24"/>
              </w:rPr>
              <w:t>在中小学深入开展“学习新思想，做好接班人”“开学第一课”等主题明确、内容丰富、形式多样、仪式感强的教育活动。</w:t>
            </w:r>
          </w:p>
        </w:tc>
      </w:tr>
    </w:tbl>
    <w:p>
      <w:pPr>
        <w:pStyle w:val="7"/>
        <w:keepNext w:val="0"/>
        <w:keepLines w:val="0"/>
        <w:spacing w:before="156" w:beforeLines="50" w:after="0"/>
        <w:ind w:firstLine="642" w:firstLineChars="200"/>
        <w:rPr>
          <w:rFonts w:ascii="Times New Roman" w:hAnsi="Times New Roman" w:eastAsia="楷体_GB2312" w:cs="Times New Roman"/>
        </w:rPr>
      </w:pPr>
      <w:bookmarkStart w:id="15" w:name="_Toc99381135"/>
      <w:r>
        <w:rPr>
          <w:rFonts w:ascii="Times New Roman" w:hAnsi="Times New Roman" w:eastAsia="楷体_GB2312" w:cs="Times New Roman"/>
        </w:rPr>
        <w:t>（三）构建劳动实践教育体系</w:t>
      </w:r>
      <w:bookmarkEnd w:id="15"/>
    </w:p>
    <w:p>
      <w:pPr>
        <w:ind w:firstLine="640" w:firstLineChars="200"/>
        <w:rPr>
          <w:rFonts w:ascii="Calibri" w:hAnsi="Calibri" w:eastAsia="宋体" w:cs="Times New Roman"/>
          <w:szCs w:val="21"/>
        </w:rPr>
      </w:pPr>
      <w:r>
        <w:rPr>
          <w:rFonts w:ascii="Times New Roman" w:hAnsi="Times New Roman" w:eastAsia="仿宋_GB2312" w:cs="Times New Roman"/>
          <w:sz w:val="32"/>
          <w:szCs w:val="32"/>
        </w:rPr>
        <w:t>将劳动教育纳入大中小学培养教育方案和职业院校、普通高等学校人才培养方案，开足开齐劳动教育必修课程，加强不同教育阶段劳动课程的衔接，构建具有综合性、实践性、开放性、针对性的劳动教育课程体系。</w:t>
      </w:r>
      <w:r>
        <w:rPr>
          <w:rFonts w:hint="eastAsia" w:ascii="仿宋_GB2312" w:hAnsi="Times New Roman" w:eastAsia="仿宋_GB2312" w:cs="Times New Roman"/>
          <w:sz w:val="32"/>
          <w:szCs w:val="32"/>
        </w:rPr>
        <w:t>在大中小学校设立劳动周，开展校园劳动文化建设、劳动教育成果展示交流活动等活动。</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丰富与阳泉产业发展相契合的劳动教育实践资源，加快建设校内劳动教育场所和校外劳动教育实践基地，</w:t>
      </w:r>
      <w:r>
        <w:rPr>
          <w:rFonts w:hint="eastAsia" w:ascii="Times New Roman" w:hAnsi="Times New Roman" w:eastAsia="仿宋_GB2312" w:cs="Times New Roman"/>
          <w:color w:val="000000" w:themeColor="text1"/>
          <w:sz w:val="32"/>
          <w:szCs w:val="32"/>
          <w14:textFill>
            <w14:solidFill>
              <w14:schemeClr w14:val="tx1"/>
            </w14:solidFill>
          </w14:textFill>
        </w:rPr>
        <w:t>统筹各类优质社会资源，积极与高校或企业寻</w:t>
      </w:r>
      <w:r>
        <w:rPr>
          <w:rFonts w:hint="eastAsia" w:ascii="Times New Roman" w:hAnsi="Times New Roman" w:eastAsia="仿宋_GB2312" w:cs="Times New Roman"/>
          <w:sz w:val="32"/>
          <w:szCs w:val="32"/>
        </w:rPr>
        <w:t>求合作。</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到2025年底，全市建成</w:t>
      </w:r>
      <w:r>
        <w:rPr>
          <w:rFonts w:hint="eastAsia" w:ascii="仿宋_GB2312" w:hAnsi="仿宋_GB2312" w:eastAsia="仿宋_GB2312" w:cs="仿宋_GB2312"/>
          <w:color w:val="000000" w:themeColor="text1"/>
          <w:sz w:val="32"/>
          <w:szCs w:val="32"/>
          <w14:textFill>
            <w14:solidFill>
              <w14:schemeClr w14:val="tx1"/>
            </w14:solidFill>
          </w14:textFill>
        </w:rPr>
        <w:t>40-50个县区级劳动教育实践基地，15-20个市级劳动教育实践基地</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、争取建成3-5个省级劳动教育实践基地。</w:t>
      </w:r>
      <w:r>
        <w:rPr>
          <w:rFonts w:ascii="Times New Roman" w:hAnsi="Times New Roman" w:eastAsia="仿宋_GB2312" w:cs="Times New Roman"/>
          <w:sz w:val="32"/>
          <w:szCs w:val="32"/>
        </w:rPr>
        <w:t>开展形式多样的劳动主题教育活动，结合学雷锋纪念日、五一劳动节等，将劳动习惯、劳动品质的养成教育融入校园文化建设中，营造劳动光荣、创造伟大的校园文化。将劳动教育纳入学生综合素质评价，制定劳动教育评价标准及相关制度，鼓励学生开展校内外劳动、家务劳动，引导学生热爱劳动、尊重劳动，培养学生吃苦耐劳和团队协作精神，构建以学生为主导、家庭为基础、社会全方位支持的贯通一体、开放协同的劳动教育工作格局。到2025年，基本形成课程完善、资源丰富、形式多样、机制健全的劳动教育体系。</w:t>
      </w:r>
    </w:p>
    <w:p>
      <w:pPr>
        <w:pStyle w:val="7"/>
        <w:keepNext w:val="0"/>
        <w:keepLines w:val="0"/>
        <w:spacing w:before="156" w:beforeLines="50" w:after="0"/>
        <w:ind w:firstLine="642" w:firstLineChars="200"/>
        <w:rPr>
          <w:rFonts w:ascii="Times New Roman" w:hAnsi="Times New Roman" w:eastAsia="楷体_GB2312" w:cs="Times New Roman"/>
        </w:rPr>
      </w:pPr>
      <w:bookmarkStart w:id="16" w:name="_Toc99381136"/>
      <w:r>
        <w:rPr>
          <w:rFonts w:ascii="Times New Roman" w:hAnsi="Times New Roman" w:eastAsia="楷体_GB2312" w:cs="Times New Roman"/>
        </w:rPr>
        <w:t>（四）全面推进体育美育工作</w:t>
      </w:r>
      <w:bookmarkEnd w:id="16"/>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组织实施好学校体育美育浸润行动计划，持续支持中小学体育、美育优质均衡发展，实现义务教育阶段让每名学生掌握1-3项体育技能和艺术特长。开展阳光体育活动，强化体育教学和课外锻炼，着力保障中小学生每天校内、校外各1小时体育活动时间。开展平衡膳食校园健康促进行动，遏制中小学生视力不良检出率和肥胖检出率的增长趋势。全面深化学校美育综合改革，健全美育机制，改进美育教学，推进课程教学、社会实践和校园文化建设深度融合，构建大中小幼相衔接的美育课程体系，不断提高学生审美情趣和人文素养。大力开展体育节、艺术节进校园等品牌活动，实施中小学中华优秀传统文化素养提升工程，积极传承弘扬中华优秀语言文化，推进中华优秀传统文化特色校建设，强化青少年学生文化认同和文化自信。</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jc w:val="center"/>
              <w:outlineLvl w:val="2"/>
              <w:rPr>
                <w:rFonts w:ascii="Times New Roman" w:hAnsi="Times New Roman" w:eastAsia="宋体" w:cs="Times New Roman"/>
                <w:b/>
                <w:bCs/>
                <w:sz w:val="28"/>
                <w:szCs w:val="28"/>
                <w:lang w:val="zh-CN"/>
              </w:rPr>
            </w:pPr>
            <w:bookmarkStart w:id="17" w:name="_Toc99381137"/>
            <w:r>
              <w:rPr>
                <w:rFonts w:ascii="Times New Roman" w:hAnsi="Times New Roman" w:eastAsia="宋体" w:cs="Times New Roman"/>
                <w:b/>
                <w:bCs/>
                <w:sz w:val="28"/>
                <w:szCs w:val="28"/>
                <w:lang w:val="zh-CN"/>
              </w:rPr>
              <w:t>专栏2  学校体育美育教师配备和场地器材建设行动计划</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根据体育美育教师缺口，制定实施计划，在编制总量内每年划出一定比例用于招聘体育美育教师，三年内配齐配强。</w:t>
            </w:r>
          </w:p>
          <w:p>
            <w:pPr>
              <w:spacing w:line="4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义务教育阶段学校每5个教学班配备1名体育教师，高中阶段学校每6个班配备1名体育教师，农村200名学生以上的中小学校至少配备1名专职体育教师，高等学校公共体育课按320:1配备体育教师。</w:t>
            </w:r>
          </w:p>
          <w:p>
            <w:pPr>
              <w:spacing w:line="4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小学按每9个教学班配备1名音乐教师、1名美术教师；初中按每14个教学班配备1名音乐教师、1名美术教师；高中按每12个教学班配备1名音乐教师、1名美术教师。</w:t>
            </w:r>
          </w:p>
          <w:p>
            <w:pPr>
              <w:spacing w:line="460" w:lineRule="exact"/>
              <w:ind w:firstLine="480" w:firstLineChars="200"/>
              <w:rPr>
                <w:rFonts w:ascii="Times New Roman" w:hAnsi="Times New Roman" w:eastAsia="宋体" w:cs="Times New Roman"/>
              </w:rPr>
            </w:pPr>
            <w:r>
              <w:rPr>
                <w:rFonts w:ascii="Times New Roman" w:hAnsi="Times New Roman" w:eastAsia="宋体" w:cs="Times New Roman"/>
                <w:sz w:val="24"/>
                <w:szCs w:val="24"/>
              </w:rPr>
              <w:t>高校按生师比500:1配齐公共艺术课教师，其中专职公共艺术课教师人数应占艺术教师的50%以上。</w:t>
            </w:r>
          </w:p>
        </w:tc>
      </w:tr>
    </w:tbl>
    <w:p>
      <w:pPr>
        <w:pStyle w:val="7"/>
        <w:keepNext w:val="0"/>
        <w:keepLines w:val="0"/>
        <w:spacing w:before="156" w:beforeLines="50" w:after="0"/>
        <w:ind w:firstLine="642" w:firstLineChars="200"/>
        <w:rPr>
          <w:rFonts w:ascii="Times New Roman" w:hAnsi="Times New Roman" w:eastAsia="楷体_GB2312" w:cs="Times New Roman"/>
        </w:rPr>
      </w:pPr>
      <w:bookmarkStart w:id="18" w:name="_Toc99381138"/>
      <w:r>
        <w:rPr>
          <w:rFonts w:ascii="Times New Roman" w:hAnsi="Times New Roman" w:eastAsia="楷体_GB2312" w:cs="Times New Roman"/>
        </w:rPr>
        <w:t>（五）深化法治国防生态教育</w:t>
      </w:r>
      <w:bookmarkEnd w:id="18"/>
    </w:p>
    <w:p>
      <w:pPr>
        <w:spacing w:line="600" w:lineRule="exact"/>
        <w:ind w:firstLine="640" w:firstLineChars="200"/>
        <w:rPr>
          <w:rFonts w:ascii="Times New Roman" w:hAnsi="Times New Roman" w:eastAsia="仿宋_GB2312" w:cs="Times New Roman"/>
          <w:sz w:val="32"/>
          <w:szCs w:val="32"/>
        </w:rPr>
      </w:pPr>
      <w:r>
        <w:rPr>
          <w:rFonts w:hint="eastAsia" w:ascii="仿宋_GB2312" w:hAnsi="Times New Roman" w:eastAsia="仿宋_GB2312" w:cs="Times New Roman"/>
          <w:sz w:val="32"/>
          <w:szCs w:val="32"/>
        </w:rPr>
        <w:t>以宪法教育为核心，以民法典教育为重点，深入学习宣传</w:t>
      </w:r>
    </w:p>
    <w:p>
      <w:pPr>
        <w:spacing w:line="600" w:lineRule="exact"/>
        <w:rPr>
          <w:rFonts w:ascii="Times New Roman" w:hAnsi="Times New Roman" w:eastAsia="仿宋_GB2312" w:cs="Times New Roman"/>
          <w:sz w:val="32"/>
          <w:szCs w:val="32"/>
        </w:rPr>
      </w:pPr>
      <w:r>
        <w:rPr>
          <w:rFonts w:hint="eastAsia" w:ascii="仿宋_GB2312" w:hAnsi="Times New Roman" w:eastAsia="仿宋_GB2312" w:cs="Times New Roman"/>
          <w:sz w:val="32"/>
          <w:szCs w:val="32"/>
        </w:rPr>
        <w:t>教育法律法规及未成年人保护法、预防未成年人犯罪法等其他法律法规，</w:t>
      </w:r>
      <w:r>
        <w:rPr>
          <w:rFonts w:ascii="仿宋_GB2312" w:hAnsi="Times New Roman" w:eastAsia="仿宋_GB2312" w:cs="Times New Roman"/>
          <w:sz w:val="32"/>
          <w:szCs w:val="32"/>
        </w:rPr>
        <w:t>深入推进教育普法工作，开展</w:t>
      </w:r>
      <w:r>
        <w:rPr>
          <w:rFonts w:ascii="Times New Roman" w:hAnsi="Times New Roman" w:eastAsia="仿宋_GB2312" w:cs="Times New Roman"/>
          <w:sz w:val="32"/>
          <w:szCs w:val="32"/>
        </w:rPr>
        <w:t>“</w:t>
      </w:r>
      <w:r>
        <w:rPr>
          <w:rFonts w:ascii="仿宋_GB2312" w:hAnsi="Times New Roman" w:eastAsia="仿宋_GB2312" w:cs="Times New Roman"/>
          <w:sz w:val="32"/>
          <w:szCs w:val="32"/>
        </w:rPr>
        <w:t>学宪法、讲宪法</w:t>
      </w:r>
      <w:r>
        <w:rPr>
          <w:rFonts w:ascii="Times New Roman" w:hAnsi="Times New Roman" w:eastAsia="仿宋_GB2312" w:cs="Times New Roman"/>
          <w:sz w:val="32"/>
          <w:szCs w:val="32"/>
        </w:rPr>
        <w:t>”</w:t>
      </w:r>
      <w:r>
        <w:rPr>
          <w:rFonts w:hint="eastAsia" w:ascii="仿宋_GB2312" w:hAnsi="Times New Roman" w:eastAsia="仿宋_GB2312" w:cs="Times New Roman"/>
          <w:sz w:val="32"/>
          <w:szCs w:val="32"/>
        </w:rPr>
        <w:t>活动和国家宪法日</w:t>
      </w:r>
      <w:r>
        <w:rPr>
          <w:rFonts w:hint="eastAsia" w:ascii="Times New Roman" w:hAnsi="Times New Roman" w:eastAsia="仿宋_GB2312" w:cs="Times New Roman"/>
          <w:sz w:val="32"/>
          <w:szCs w:val="32"/>
        </w:rPr>
        <w:t>“宪法晨读”</w:t>
      </w:r>
      <w:r>
        <w:rPr>
          <w:rFonts w:ascii="仿宋_GB2312" w:hAnsi="Times New Roman" w:eastAsia="仿宋_GB2312" w:cs="Times New Roman"/>
          <w:sz w:val="32"/>
          <w:szCs w:val="32"/>
        </w:rPr>
        <w:t>活动。完善中小学法治教育教学资源体系，不断提升青少年法治教育的专业化水平</w:t>
      </w:r>
      <w:r>
        <w:rPr>
          <w:rFonts w:hint="eastAsia" w:ascii="仿宋_GB2312" w:hAnsi="Times New Roman" w:eastAsia="仿宋_GB2312" w:cs="Times New Roman"/>
          <w:sz w:val="32"/>
          <w:szCs w:val="32"/>
        </w:rPr>
        <w:t>。配齐配强中小学法治教师、法治辅导员队伍，完善中小学法治教育教学资源体系。大力推进青少年法治教育实践基地建设。</w:t>
      </w:r>
      <w:r>
        <w:rPr>
          <w:rFonts w:ascii="仿宋_GB2312" w:hAnsi="Times New Roman" w:eastAsia="仿宋_GB2312" w:cs="Times New Roman"/>
          <w:sz w:val="32"/>
          <w:szCs w:val="32"/>
        </w:rPr>
        <w:t>深化学校国防教育改革创新，将国防教育内容有机融入各级各类教育课程，拓展丰富学校国防教育实践活动，增强青少年国防观念和忧患意识。将生态文明教育贯穿于教育教学活动各环节，纳入教育督导指标体系和文明校园创建工作，加快建设节约型校园、绿色校园，引导学生树立绿水青山就是金山银山的理念。积极组织开展生态文明科普宣传，大力倡导绿色生活方式，组织学生参加植树节、世界环境日等实践活动，使学生尊重自然、顺应自然、保护自然。</w:t>
      </w:r>
    </w:p>
    <w:p>
      <w:pPr>
        <w:pStyle w:val="7"/>
        <w:keepNext w:val="0"/>
        <w:keepLines w:val="0"/>
        <w:spacing w:before="156" w:beforeLines="50" w:after="0"/>
        <w:ind w:firstLine="642" w:firstLineChars="200"/>
        <w:rPr>
          <w:rFonts w:ascii="Times New Roman" w:hAnsi="Times New Roman" w:eastAsia="楷体_GB2312" w:cs="Times New Roman"/>
        </w:rPr>
      </w:pPr>
      <w:bookmarkStart w:id="19" w:name="_Toc99381139"/>
      <w:r>
        <w:rPr>
          <w:rFonts w:ascii="Times New Roman" w:hAnsi="Times New Roman" w:eastAsia="楷体_GB2312" w:cs="Times New Roman"/>
        </w:rPr>
        <w:t>（六）健全多元协同育人机制</w:t>
      </w:r>
      <w:bookmarkEnd w:id="19"/>
    </w:p>
    <w:p>
      <w:pPr>
        <w:spacing w:line="600" w:lineRule="exact"/>
        <w:ind w:firstLine="640" w:firstLineChars="200"/>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充分发挥家庭第一课堂重要作用，建立健全家庭教育工作机制，加强家长委员会、家长学校、家长课堂建设，引导家长切实改善家庭教育，用良好家教家风涵育孩子道德品行。构建覆盖城乡的家庭教育指导服务体系，积极开发家庭教育教材和活动指导手册，家校协同加强中小学生作业、睡眠、手机、读物、体质管理，促进学生健康成长。重视青少年心理健康教育，落实高校学生心理健康教育指导纲要要求，积极谋划中小学心理健康教育特色学校及高等院校心理健康教育咨询示范中心创建，完善心理健康教育工作体系，规范发展心理健康教育服务，形成教育教学、实践活动、咨询服务、预防干预“四位一体”的心理健康教育工作格局。</w:t>
      </w:r>
    </w:p>
    <w:p>
      <w:pPr>
        <w:pStyle w:val="6"/>
        <w:keepNext w:val="0"/>
        <w:keepLines w:val="0"/>
        <w:spacing w:before="156" w:beforeLines="50" w:after="156" w:afterLines="50" w:line="240" w:lineRule="auto"/>
        <w:ind w:firstLine="640" w:firstLineChars="200"/>
        <w:rPr>
          <w:rFonts w:ascii="Times New Roman" w:hAnsi="Times New Roman" w:eastAsia="黑体" w:cs="Times New Roman"/>
          <w:b w:val="0"/>
          <w:sz w:val="32"/>
          <w:szCs w:val="32"/>
        </w:rPr>
      </w:pPr>
      <w:bookmarkStart w:id="20" w:name="_Toc99381140"/>
      <w:r>
        <w:rPr>
          <w:rFonts w:ascii="Times New Roman" w:hAnsi="Times New Roman" w:eastAsia="黑体" w:cs="Times New Roman"/>
          <w:b w:val="0"/>
          <w:sz w:val="32"/>
          <w:szCs w:val="32"/>
        </w:rPr>
        <w:t>五、坚持公平优质发展，提升基础教育质量</w:t>
      </w:r>
      <w:bookmarkEnd w:id="20"/>
    </w:p>
    <w:p>
      <w:pPr>
        <w:spacing w:line="600" w:lineRule="exact"/>
        <w:ind w:firstLine="640" w:firstLineChars="200"/>
        <w:rPr>
          <w:rFonts w:ascii="Times New Roman" w:hAnsi="Times New Roman" w:eastAsia="仿宋_GB2312" w:cs="Times New Roman"/>
        </w:rPr>
      </w:pPr>
      <w:r>
        <w:rPr>
          <w:rFonts w:ascii="Times New Roman" w:hAnsi="Times New Roman" w:eastAsia="仿宋_GB2312" w:cs="Times New Roman"/>
          <w:sz w:val="32"/>
          <w:szCs w:val="32"/>
        </w:rPr>
        <w:t>优化基础教育资源配置</w:t>
      </w:r>
      <w:r>
        <w:rPr>
          <w:rFonts w:hint="eastAsia" w:ascii="Times New Roman" w:hAnsi="Times New Roman" w:eastAsia="仿宋_GB2312" w:cs="Times New Roman"/>
          <w:sz w:val="32"/>
          <w:szCs w:val="32"/>
        </w:rPr>
        <w:t>，加强教育</w:t>
      </w:r>
      <w:r>
        <w:rPr>
          <w:rFonts w:ascii="Times New Roman" w:hAnsi="Times New Roman" w:eastAsia="仿宋_GB2312" w:cs="Times New Roman"/>
          <w:sz w:val="32"/>
          <w:szCs w:val="32"/>
        </w:rPr>
        <w:t>公共服务体系建设，健全学前教育、义务教育、高中阶段教育和特殊教育保障机制，全面</w:t>
      </w:r>
      <w:r>
        <w:rPr>
          <w:rFonts w:hint="eastAsia" w:ascii="Times New Roman" w:hAnsi="Times New Roman" w:eastAsia="仿宋_GB2312" w:cs="Times New Roman"/>
          <w:sz w:val="32"/>
          <w:szCs w:val="32"/>
        </w:rPr>
        <w:t>提升</w:t>
      </w:r>
      <w:r>
        <w:rPr>
          <w:rFonts w:ascii="Times New Roman" w:hAnsi="Times New Roman" w:eastAsia="仿宋_GB2312" w:cs="Times New Roman"/>
          <w:sz w:val="32"/>
          <w:szCs w:val="32"/>
        </w:rPr>
        <w:t>基础教育发展水平和供给能力。</w:t>
      </w:r>
    </w:p>
    <w:p>
      <w:pPr>
        <w:pStyle w:val="7"/>
        <w:keepNext w:val="0"/>
        <w:keepLines w:val="0"/>
        <w:spacing w:before="156" w:beforeLines="50" w:after="0"/>
        <w:ind w:firstLine="642" w:firstLineChars="200"/>
        <w:rPr>
          <w:rFonts w:ascii="Times New Roman" w:hAnsi="Times New Roman" w:eastAsia="楷体_GB2312" w:cs="Times New Roman"/>
          <w:color w:val="000000" w:themeColor="text1"/>
          <w14:textFill>
            <w14:solidFill>
              <w14:schemeClr w14:val="tx1"/>
            </w14:solidFill>
          </w14:textFill>
        </w:rPr>
      </w:pPr>
      <w:bookmarkStart w:id="21" w:name="_Toc99381141"/>
      <w:r>
        <w:rPr>
          <w:rFonts w:hint="eastAsia" w:ascii="Times New Roman" w:hAnsi="Times New Roman" w:eastAsia="楷体_GB2312" w:cs="Times New Roman"/>
          <w:color w:val="000000" w:themeColor="text1"/>
          <w14:textFill>
            <w14:solidFill>
              <w14:schemeClr w14:val="tx1"/>
            </w14:solidFill>
          </w14:textFill>
        </w:rPr>
        <w:t>（一）推进“双减”政策持续落地见效</w:t>
      </w:r>
      <w:bookmarkEnd w:id="21"/>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全面落实中央、省、市“双减”政策落实落地，从提高教育教学管理、提高作业管理水平、提高课后服务水平入手，健全作业管理机制，减少作业总量，提高作业质量，严格考试管理，开展“5+2”课后服务全覆盖，拓宽服务渠道，丰富服务内容，确保学生在校学足学好。切实保障学生每天各一小时校内、校外体育活动落到实处。规范校外培训机构培训行为，切实减轻学生过重校外培训负担、家庭教育支出和家长相应精力负担，人民群众教育满意度进一步提升。</w:t>
      </w:r>
    </w:p>
    <w:p>
      <w:pPr>
        <w:spacing w:line="600" w:lineRule="exact"/>
        <w:ind w:firstLine="642"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（二）推进学前教育普及普惠发展</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积极扩大普惠性学前教育资源，大力实施公办园挖潜增量工程，将普惠性幼儿园建设纳入城乡公共管理和公共服务设施规划，进一步完善普惠性学前教育保障机制，动态调整公办园和普惠性民办园收费标准，加强对非营利性民办园收费成本调查和收费监管。全面提高幼儿园保教质量，</w:t>
      </w:r>
      <w:r>
        <w:rPr>
          <w:rFonts w:hint="eastAsia" w:ascii="Times New Roman" w:hAnsi="Times New Roman" w:eastAsia="仿宋_GB2312" w:cs="Times New Roman"/>
          <w:sz w:val="32"/>
          <w:szCs w:val="32"/>
        </w:rPr>
        <w:t>落实</w:t>
      </w:r>
      <w:r>
        <w:rPr>
          <w:rFonts w:ascii="Times New Roman" w:hAnsi="Times New Roman" w:eastAsia="仿宋_GB2312" w:cs="Times New Roman"/>
          <w:sz w:val="32"/>
          <w:szCs w:val="32"/>
        </w:rPr>
        <w:t>《3-6岁儿童学习与发展指南》，创设丰富学习环境，合理安排幼儿生活，防止和纠正“小学化”倾向。全面改善幼儿园办园条件，推进农村乡镇幼儿园和村幼儿园一体化管理，完善优质园与薄弱园、公办园与民办园帮扶合作机制。到“十四五”末，基本建成广覆盖、保基本、有质量的县乡村三级学前教育公共服务体系。</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jc w:val="center"/>
              <w:outlineLvl w:val="2"/>
              <w:rPr>
                <w:rFonts w:ascii="Times New Roman" w:hAnsi="Times New Roman" w:eastAsia="宋体" w:cs="Times New Roman"/>
                <w:b/>
                <w:bCs/>
                <w:sz w:val="28"/>
                <w:szCs w:val="28"/>
                <w:lang w:val="zh-CN"/>
              </w:rPr>
            </w:pPr>
            <w:bookmarkStart w:id="22" w:name="_Toc99381142"/>
            <w:r>
              <w:rPr>
                <w:rFonts w:ascii="Times New Roman" w:hAnsi="Times New Roman" w:eastAsia="宋体" w:cs="Times New Roman"/>
                <w:b/>
                <w:bCs/>
                <w:sz w:val="28"/>
                <w:szCs w:val="28"/>
                <w:lang w:val="zh-CN"/>
              </w:rPr>
              <w:t>专栏3  学前教育普及普惠发展工程</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60" w:lineRule="exact"/>
              <w:ind w:firstLine="480" w:firstLineChars="200"/>
              <w:rPr>
                <w:rFonts w:ascii="Times New Roman" w:hAnsi="Times New Roman" w:eastAsia="宋体" w:cs="Times New Roman"/>
              </w:rPr>
            </w:pPr>
            <w:r>
              <w:rPr>
                <w:rFonts w:ascii="Times New Roman" w:hAnsi="Times New Roman" w:eastAsia="宋体" w:cs="Times New Roman"/>
                <w:sz w:val="24"/>
                <w:szCs w:val="24"/>
              </w:rPr>
              <w:t>继续实施学前教育行动计划，大力发展公办园，积极扶持普惠性民办幼儿园，构建以普惠性资源为主的办园体系。将城镇小区配套幼儿园办成公办园或委托办成普惠性民办幼儿园，鼓励优质公办园举办分园或合作办园，支持机关、国有企事业单位、街道等集体组织办园。“十四五”期间，新建15所公办幼儿园，新增公办园学位2200个，认定10所普惠性民办幼儿园，新增普惠性民办园学位500个，到“十四五”末，基本实现普惠性学前教育资源覆盖率87%，公办园在园幼儿占比达到62%，到2035年，在全省率先全面普及学前三年教育。</w:t>
            </w:r>
          </w:p>
        </w:tc>
      </w:tr>
    </w:tbl>
    <w:p>
      <w:pPr>
        <w:pStyle w:val="7"/>
        <w:keepNext w:val="0"/>
        <w:keepLines w:val="0"/>
        <w:spacing w:before="156" w:beforeLines="50" w:after="0"/>
        <w:ind w:firstLine="642" w:firstLineChars="200"/>
        <w:rPr>
          <w:rFonts w:ascii="Times New Roman" w:hAnsi="Times New Roman" w:eastAsia="楷体_GB2312" w:cs="Times New Roman"/>
        </w:rPr>
      </w:pPr>
      <w:bookmarkStart w:id="23" w:name="_Toc99381143"/>
      <w:r>
        <w:rPr>
          <w:rFonts w:ascii="Times New Roman" w:hAnsi="Times New Roman" w:eastAsia="楷体_GB2312" w:cs="Times New Roman"/>
        </w:rPr>
        <w:t>（三）推进义务教育优质均衡发展</w:t>
      </w:r>
      <w:bookmarkEnd w:id="23"/>
    </w:p>
    <w:p>
      <w:pPr>
        <w:ind w:firstLine="640" w:firstLineChars="200"/>
        <w:rPr>
          <w:rFonts w:ascii="Times New Roman" w:hAnsi="Times New Roman" w:eastAsia="宋体" w:cs="Times New Roman"/>
          <w:color w:val="000000"/>
          <w:kern w:val="0"/>
          <w:sz w:val="24"/>
          <w:szCs w:val="24"/>
        </w:rPr>
      </w:pPr>
      <w:r>
        <w:rPr>
          <w:rFonts w:ascii="Times New Roman" w:hAnsi="Times New Roman" w:eastAsia="仿宋_GB2312" w:cs="Times New Roman"/>
          <w:sz w:val="32"/>
          <w:szCs w:val="32"/>
        </w:rPr>
        <w:t>全面启动全国义务教育优质均衡发展县（区）创建工作，深入推进基础教育六个领先发展行动，实施义务教育优质均衡工程，确保义务教育学校办学条件、教师编制、生均公用经费基准定额、基本装备配置以及学校管理等达到省定办学标准。完善县域内城乡义务教育一体化发展机制，坚持就近就便服从就优原则，科学规划城乡义务教育学校布局。</w:t>
      </w:r>
      <w:r>
        <w:rPr>
          <w:rFonts w:hint="eastAsia" w:ascii="仿宋_GB2312" w:hAnsi="Times New Roman" w:eastAsia="仿宋_GB2312" w:cs="Times New Roman"/>
          <w:bCs/>
          <w:color w:val="000000" w:themeColor="text1"/>
          <w:kern w:val="0"/>
          <w:sz w:val="32"/>
          <w:szCs w:val="32"/>
          <w14:textFill>
            <w14:solidFill>
              <w14:schemeClr w14:val="tx1"/>
            </w14:solidFill>
          </w14:textFill>
        </w:rPr>
        <w:t>针对城市区中小学布局南北不平衡的问题，进一步完善城市区中小学建设规划，</w:t>
      </w:r>
      <w:r>
        <w:rPr>
          <w:rFonts w:ascii="仿宋_GB2312" w:hAnsi="Times New Roman" w:eastAsia="仿宋_GB2312" w:cs="Times New Roman"/>
          <w:bCs/>
          <w:color w:val="000000" w:themeColor="text1"/>
          <w:kern w:val="0"/>
          <w:sz w:val="32"/>
          <w:szCs w:val="32"/>
          <w14:textFill>
            <w14:solidFill>
              <w14:schemeClr w14:val="tx1"/>
            </w14:solidFill>
          </w14:textFill>
        </w:rPr>
        <w:t>严格实施新建住宅区配套建设中小学，稳步扩大城镇学位供给</w:t>
      </w:r>
      <w:r>
        <w:rPr>
          <w:rFonts w:hint="eastAsia" w:ascii="仿宋_GB2312" w:hAnsi="Times New Roman" w:eastAsia="仿宋_GB2312" w:cs="Times New Roman"/>
          <w:bCs/>
          <w:color w:val="000000" w:themeColor="text1"/>
          <w:kern w:val="0"/>
          <w:sz w:val="32"/>
          <w:szCs w:val="32"/>
          <w14:textFill>
            <w14:solidFill>
              <w14:schemeClr w14:val="tx1"/>
            </w14:solidFill>
          </w14:textFill>
        </w:rPr>
        <w:t>。</w:t>
      </w:r>
      <w:r>
        <w:rPr>
          <w:rFonts w:ascii="Times New Roman" w:hAnsi="Times New Roman" w:eastAsia="仿宋_GB2312" w:cs="Times New Roman"/>
          <w:sz w:val="32"/>
          <w:szCs w:val="32"/>
        </w:rPr>
        <w:t>办好乡村小规模学校，</w:t>
      </w:r>
      <w:r>
        <w:rPr>
          <w:rFonts w:ascii="Times New Roman" w:hAnsi="Times New Roman" w:eastAsia="仿宋_GB2312" w:cs="Times New Roman"/>
          <w:color w:val="000000" w:themeColor="text1"/>
          <w:sz w:val="32"/>
          <w:szCs w:val="32"/>
          <w14:textFill>
            <w14:solidFill>
              <w14:schemeClr w14:val="tx1"/>
            </w14:solidFill>
          </w14:textFill>
        </w:rPr>
        <w:t>鼓励建设九年一贯制学校。</w:t>
      </w:r>
      <w:r>
        <w:rPr>
          <w:rFonts w:ascii="Times New Roman" w:hAnsi="Times New Roman" w:eastAsia="仿宋_GB2312" w:cs="Times New Roman"/>
          <w:sz w:val="32"/>
          <w:szCs w:val="32"/>
        </w:rPr>
        <w:t>进一步健全进城务工人员随迁子女接受教育保障机制，完善农村留守儿童关爱保护机制，做好农村地区控辍保学工作。实施城镇中小学“放心午餐”计划，开展面向中小学生的课后服务。</w:t>
      </w:r>
      <w:r>
        <w:rPr>
          <w:rFonts w:ascii="Times New Roman" w:hAnsi="Times New Roman" w:eastAsia="仿宋_GB2312" w:cs="Times New Roman"/>
          <w:kern w:val="0"/>
          <w:sz w:val="32"/>
          <w:szCs w:val="32"/>
          <w:lang w:val="zh-CN"/>
        </w:rPr>
        <w:t>推动义务教育质量监测县（区）全覆盖，树立正确的教育价值评价导向。</w:t>
      </w:r>
      <w:r>
        <w:rPr>
          <w:rFonts w:ascii="Times New Roman" w:hAnsi="Times New Roman" w:eastAsia="仿宋_GB2312" w:cs="Times New Roman"/>
          <w:sz w:val="32"/>
          <w:szCs w:val="32"/>
        </w:rPr>
        <w:t>深化 “集团化”“学区制”办学模式改革，力争到“十四五”末，全市义务教育从基本均衡向优质均衡迈进。</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560" w:lineRule="exact"/>
              <w:jc w:val="center"/>
              <w:rPr>
                <w:rFonts w:ascii="Times New Roman" w:hAnsi="Times New Roman" w:eastAsia="宋体" w:cs="Times New Roman"/>
                <w:b/>
                <w:bCs/>
                <w:sz w:val="28"/>
                <w:szCs w:val="28"/>
                <w:lang w:val="zh-CN"/>
              </w:rPr>
            </w:pPr>
            <w:r>
              <w:rPr>
                <w:rFonts w:ascii="Times New Roman" w:hAnsi="Times New Roman" w:eastAsia="宋体" w:cs="Times New Roman"/>
                <w:b/>
                <w:bCs/>
                <w:sz w:val="28"/>
                <w:szCs w:val="28"/>
                <w:lang w:val="zh-CN"/>
              </w:rPr>
              <w:t>专栏4  义务教育优质均衡发展工程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8"/>
              <w:widowControl/>
              <w:wordWrap w:val="0"/>
              <w:adjustRightInd w:val="0"/>
              <w:snapToGrid w:val="0"/>
              <w:spacing w:before="0" w:beforeAutospacing="0" w:after="0" w:afterAutospacing="0" w:line="440" w:lineRule="exact"/>
              <w:ind w:firstLine="480" w:firstLineChars="200"/>
              <w:jc w:val="both"/>
            </w:pPr>
            <w:r>
              <w:rPr>
                <w:rFonts w:eastAsiaTheme="minorEastAsia"/>
                <w:color w:val="000000" w:themeColor="text1"/>
                <w:kern w:val="2"/>
                <w:szCs w:val="24"/>
                <w14:textFill>
                  <w14:solidFill>
                    <w14:schemeClr w14:val="tx1"/>
                  </w14:solidFill>
                </w14:textFill>
              </w:rPr>
              <w:t>按照“市级统筹、一县一策、一校一案”的工作思路，推进县域义务教育学校布局优化工作，提高办学效益。按照10分钟生活圈或2万人口配建一所小学，15分钟生活圈或3万人口配建一所初中的要求，制定和完善城</w:t>
            </w:r>
            <w:r>
              <w:rPr>
                <w:rFonts w:hint="eastAsia" w:eastAsiaTheme="minorEastAsia"/>
                <w:color w:val="000000" w:themeColor="text1"/>
                <w:kern w:val="2"/>
                <w:szCs w:val="24"/>
                <w14:textFill>
                  <w14:solidFill>
                    <w14:schemeClr w14:val="tx1"/>
                  </w14:solidFill>
                </w14:textFill>
              </w:rPr>
              <w:t>镇</w:t>
            </w:r>
            <w:r>
              <w:rPr>
                <w:rFonts w:eastAsiaTheme="minorEastAsia"/>
                <w:color w:val="000000" w:themeColor="text1"/>
                <w:kern w:val="2"/>
                <w:szCs w:val="24"/>
                <w14:textFill>
                  <w14:solidFill>
                    <w14:schemeClr w14:val="tx1"/>
                  </w14:solidFill>
                </w14:textFill>
              </w:rPr>
              <w:t>中小学布局规划，坚持“撤建并举”，新改扩建一批城</w:t>
            </w:r>
            <w:r>
              <w:rPr>
                <w:rFonts w:hint="eastAsia" w:eastAsiaTheme="minorEastAsia"/>
                <w:color w:val="000000" w:themeColor="text1"/>
                <w:kern w:val="2"/>
                <w:szCs w:val="24"/>
                <w14:textFill>
                  <w14:solidFill>
                    <w14:schemeClr w14:val="tx1"/>
                  </w14:solidFill>
                </w14:textFill>
              </w:rPr>
              <w:t>镇</w:t>
            </w:r>
            <w:r>
              <w:rPr>
                <w:rFonts w:eastAsiaTheme="minorEastAsia"/>
                <w:color w:val="000000" w:themeColor="text1"/>
                <w:kern w:val="2"/>
                <w:szCs w:val="24"/>
                <w14:textFill>
                  <w14:solidFill>
                    <w14:schemeClr w14:val="tx1"/>
                  </w14:solidFill>
                </w14:textFill>
              </w:rPr>
              <w:t>中小学校</w:t>
            </w:r>
            <w:r>
              <w:rPr>
                <w:rFonts w:hint="eastAsia" w:eastAsiaTheme="minorEastAsia"/>
                <w:color w:val="000000" w:themeColor="text1"/>
                <w:kern w:val="2"/>
                <w:szCs w:val="24"/>
                <w14:textFill>
                  <w14:solidFill>
                    <w14:schemeClr w14:val="tx1"/>
                  </w14:solidFill>
                </w14:textFill>
              </w:rPr>
              <w:t>和</w:t>
            </w:r>
            <w:r>
              <w:rPr>
                <w:rFonts w:eastAsiaTheme="minorEastAsia"/>
                <w:color w:val="000000" w:themeColor="text1"/>
                <w:kern w:val="2"/>
                <w:szCs w:val="24"/>
                <w14:textFill>
                  <w14:solidFill>
                    <w14:schemeClr w14:val="tx1"/>
                  </w14:solidFill>
                </w14:textFill>
              </w:rPr>
              <w:t>寄宿制学校，新增8000个中小学学位。</w:t>
            </w:r>
            <w:r>
              <w:rPr>
                <w:rFonts w:hint="eastAsia" w:eastAsiaTheme="minorEastAsia"/>
                <w:kern w:val="2"/>
                <w:szCs w:val="24"/>
              </w:rPr>
              <w:t>2</w:t>
            </w:r>
            <w:r>
              <w:rPr>
                <w:rFonts w:hint="eastAsia" w:eastAsiaTheme="minorEastAsia"/>
                <w:color w:val="000000" w:themeColor="text1"/>
                <w:kern w:val="2"/>
                <w:szCs w:val="24"/>
                <w14:textFill>
                  <w14:solidFill>
                    <w14:schemeClr w14:val="tx1"/>
                  </w14:solidFill>
                </w14:textFill>
              </w:rPr>
              <w:t>021—2025年实施义务教育薄弱环节改善与能力提升计划，投入资金16296万元，改造建设学校133个。</w:t>
            </w:r>
          </w:p>
        </w:tc>
      </w:tr>
    </w:tbl>
    <w:p>
      <w:pPr>
        <w:pStyle w:val="7"/>
        <w:keepNext w:val="0"/>
        <w:keepLines w:val="0"/>
        <w:spacing w:before="156" w:beforeLines="50" w:after="0"/>
        <w:ind w:firstLine="642" w:firstLineChars="200"/>
        <w:rPr>
          <w:rFonts w:ascii="Times New Roman" w:hAnsi="Times New Roman" w:eastAsia="楷体_GB2312" w:cs="Times New Roman"/>
        </w:rPr>
      </w:pPr>
      <w:bookmarkStart w:id="24" w:name="_Toc99381144"/>
      <w:r>
        <w:rPr>
          <w:rFonts w:ascii="Times New Roman" w:hAnsi="Times New Roman" w:eastAsia="楷体_GB2312" w:cs="Times New Roman"/>
        </w:rPr>
        <w:t>（四）推进高中教育高质特色发展</w:t>
      </w:r>
      <w:bookmarkEnd w:id="24"/>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贯彻落实国省关于 “每个县都要办好一所普通高中”要求，实施县域普通高中</w:t>
      </w:r>
      <w:r>
        <w:rPr>
          <w:rFonts w:hint="eastAsia" w:ascii="Times New Roman" w:hAnsi="Times New Roman" w:eastAsia="仿宋_GB2312" w:cs="Times New Roman"/>
          <w:sz w:val="32"/>
          <w:szCs w:val="32"/>
        </w:rPr>
        <w:t>高质量发展行动</w:t>
      </w:r>
      <w:r>
        <w:rPr>
          <w:rFonts w:ascii="Times New Roman" w:hAnsi="Times New Roman" w:eastAsia="仿宋_GB2312" w:cs="Times New Roman"/>
          <w:sz w:val="32"/>
          <w:szCs w:val="32"/>
        </w:rPr>
        <w:t>计划，</w:t>
      </w:r>
      <w:r>
        <w:rPr>
          <w:rFonts w:hint="eastAsia" w:ascii="Times New Roman" w:hAnsi="Times New Roman" w:eastAsia="仿宋_GB2312" w:cs="Times New Roman"/>
          <w:sz w:val="32"/>
          <w:szCs w:val="32"/>
        </w:rPr>
        <w:t>每个县区都办好一所省级示范高中和一所特色普通高中，</w:t>
      </w:r>
      <w:r>
        <w:rPr>
          <w:rFonts w:ascii="Times New Roman" w:hAnsi="Times New Roman" w:eastAsia="仿宋_GB2312" w:cs="Times New Roman"/>
          <w:sz w:val="32"/>
          <w:szCs w:val="32"/>
        </w:rPr>
        <w:t>推动县域普通高中多样化特色优质发展。全面深化普通高中课程改革，重构普通高中课程设置、师资配备、教学组织形式等，逐步推行“选课制”“走班制”，进一步完善高中学业水平考试和学生综合素质评价制度。积极推动高中多样化办学，避免普通高中“同质化”倾向，实现普通高中教育在全省优质均衡领先发展。建立健全普及高中阶段教育保障机制，落实高中阶段教育补助政策，实现家庭困难学生资助全覆盖，使绝大多数城乡新增劳动力接受高中阶段教育。</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560" w:lineRule="exact"/>
              <w:jc w:val="center"/>
              <w:rPr>
                <w:rFonts w:ascii="Times New Roman" w:hAnsi="Times New Roman" w:eastAsia="宋体" w:cs="Times New Roman"/>
                <w:b/>
                <w:bCs/>
                <w:sz w:val="28"/>
                <w:szCs w:val="28"/>
                <w:lang w:val="zh-CN"/>
              </w:rPr>
            </w:pPr>
            <w:r>
              <w:rPr>
                <w:rFonts w:ascii="Times New Roman" w:hAnsi="Times New Roman" w:eastAsia="宋体" w:cs="Times New Roman"/>
                <w:b/>
                <w:bCs/>
                <w:sz w:val="28"/>
                <w:szCs w:val="28"/>
                <w:lang w:val="zh-CN"/>
              </w:rPr>
              <w:t xml:space="preserve">专栏5 </w:t>
            </w:r>
            <w:r>
              <w:rPr>
                <w:rFonts w:ascii="Times New Roman" w:hAnsi="Times New Roman" w:eastAsia="宋体" w:cs="Times New Roman"/>
                <w:b/>
                <w:bCs/>
                <w:color w:val="000000" w:themeColor="text1"/>
                <w:sz w:val="28"/>
                <w:szCs w:val="28"/>
                <w:lang w:val="zh-CN"/>
                <w14:textFill>
                  <w14:solidFill>
                    <w14:schemeClr w14:val="tx1"/>
                  </w14:solidFill>
                </w14:textFill>
              </w:rPr>
              <w:t xml:space="preserve"> 县域普通高中高质量发展行动计划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8"/>
              <w:widowControl/>
              <w:wordWrap w:val="0"/>
              <w:adjustRightInd w:val="0"/>
              <w:snapToGrid w:val="0"/>
              <w:spacing w:before="0" w:beforeAutospacing="0" w:after="0" w:afterAutospacing="0" w:line="440" w:lineRule="exact"/>
              <w:ind w:firstLine="480" w:firstLineChars="200"/>
              <w:jc w:val="both"/>
              <w:rPr>
                <w:rFonts w:eastAsiaTheme="minorEastAsia"/>
                <w:kern w:val="2"/>
                <w:szCs w:val="24"/>
              </w:rPr>
            </w:pPr>
            <w:r>
              <w:rPr>
                <w:rFonts w:eastAsiaTheme="minorEastAsia"/>
                <w:color w:val="000000" w:themeColor="text1"/>
                <w:kern w:val="2"/>
                <w:szCs w:val="24"/>
                <w14:textFill>
                  <w14:solidFill>
                    <w14:schemeClr w14:val="tx1"/>
                  </w14:solidFill>
                </w14:textFill>
              </w:rPr>
              <w:t>加快县域普通高中布局调整，进一步优化学校功能空间</w:t>
            </w:r>
            <w:r>
              <w:rPr>
                <w:rFonts w:eastAsiaTheme="minorEastAsia"/>
                <w:kern w:val="2"/>
                <w:szCs w:val="24"/>
              </w:rPr>
              <w:t>。</w:t>
            </w:r>
          </w:p>
          <w:p>
            <w:pPr>
              <w:pStyle w:val="18"/>
              <w:widowControl/>
              <w:wordWrap w:val="0"/>
              <w:adjustRightInd w:val="0"/>
              <w:snapToGrid w:val="0"/>
              <w:spacing w:before="0" w:beforeAutospacing="0" w:after="0" w:afterAutospacing="0" w:line="440" w:lineRule="exact"/>
              <w:ind w:firstLine="480" w:firstLineChars="200"/>
              <w:jc w:val="both"/>
              <w:rPr>
                <w:rFonts w:eastAsiaTheme="minorEastAsia"/>
                <w:kern w:val="2"/>
                <w:szCs w:val="24"/>
              </w:rPr>
            </w:pPr>
            <w:r>
              <w:rPr>
                <w:rFonts w:eastAsiaTheme="minorEastAsia"/>
                <w:kern w:val="2"/>
                <w:szCs w:val="24"/>
              </w:rPr>
              <w:t>适应普通高中新课程新教材实施和高考综合改革，加大跨学科教室、“大、中、小”普通教室改造提升力度。</w:t>
            </w:r>
          </w:p>
          <w:p>
            <w:pPr>
              <w:pStyle w:val="18"/>
              <w:widowControl/>
              <w:wordWrap w:val="0"/>
              <w:adjustRightInd w:val="0"/>
              <w:snapToGrid w:val="0"/>
              <w:spacing w:before="0" w:beforeAutospacing="0" w:after="0" w:afterAutospacing="0" w:line="440" w:lineRule="exact"/>
              <w:ind w:firstLine="480" w:firstLineChars="200"/>
              <w:jc w:val="both"/>
              <w:rPr>
                <w:rFonts w:eastAsiaTheme="minorEastAsia"/>
                <w:kern w:val="2"/>
                <w:szCs w:val="24"/>
              </w:rPr>
            </w:pPr>
            <w:r>
              <w:rPr>
                <w:rFonts w:eastAsiaTheme="minorEastAsia"/>
                <w:kern w:val="2"/>
                <w:szCs w:val="24"/>
              </w:rPr>
              <w:t>优化校舍功能，建设一批走班教学所需的教室和特色建设所需的学科教室、创新实验室、社团活动室等，所有普通高中学校办学条件达到国家和省定标准。</w:t>
            </w:r>
          </w:p>
          <w:p>
            <w:pPr>
              <w:pStyle w:val="18"/>
              <w:widowControl/>
              <w:wordWrap w:val="0"/>
              <w:adjustRightInd w:val="0"/>
              <w:snapToGrid w:val="0"/>
              <w:spacing w:before="0" w:beforeAutospacing="0" w:after="0" w:afterAutospacing="0" w:line="440" w:lineRule="exact"/>
              <w:ind w:firstLine="480" w:firstLineChars="200"/>
              <w:jc w:val="both"/>
              <w:rPr>
                <w:rFonts w:eastAsiaTheme="minorEastAsia"/>
                <w:kern w:val="2"/>
                <w:szCs w:val="24"/>
              </w:rPr>
            </w:pPr>
            <w:r>
              <w:rPr>
                <w:rFonts w:eastAsiaTheme="minorEastAsia"/>
                <w:kern w:val="2"/>
                <w:szCs w:val="24"/>
              </w:rPr>
              <w:t>深化新课程实施，加强对新课程新教材理念及实施方案的学习与研究，开展高中新课程实施监测，引导学校根据学生的学习能力和思维水平设置分层分类课程，依据国家课程方案进行校本化实施。</w:t>
            </w:r>
          </w:p>
          <w:p>
            <w:pPr>
              <w:pStyle w:val="18"/>
              <w:widowControl/>
              <w:wordWrap w:val="0"/>
              <w:adjustRightInd w:val="0"/>
              <w:snapToGrid w:val="0"/>
              <w:spacing w:before="0" w:beforeAutospacing="0" w:after="0" w:afterAutospacing="0" w:line="440" w:lineRule="exact"/>
              <w:ind w:firstLine="480" w:firstLineChars="200"/>
              <w:jc w:val="both"/>
            </w:pPr>
            <w:r>
              <w:rPr>
                <w:rFonts w:eastAsiaTheme="minorEastAsia"/>
                <w:kern w:val="2"/>
                <w:szCs w:val="24"/>
              </w:rPr>
              <w:t>加强精品地方课程和特色校本课程建设，建设符合认知规律、具有科学性、规范性和高选择性的课程体系。</w:t>
            </w:r>
          </w:p>
        </w:tc>
      </w:tr>
    </w:tbl>
    <w:p>
      <w:pPr>
        <w:pStyle w:val="7"/>
        <w:keepNext w:val="0"/>
        <w:keepLines w:val="0"/>
        <w:spacing w:before="156" w:beforeLines="50" w:after="0"/>
        <w:ind w:firstLine="642" w:firstLineChars="200"/>
        <w:rPr>
          <w:rFonts w:ascii="Times New Roman" w:hAnsi="Times New Roman" w:eastAsia="楷体_GB2312" w:cs="Times New Roman"/>
        </w:rPr>
      </w:pPr>
      <w:bookmarkStart w:id="25" w:name="_Toc99381145"/>
      <w:r>
        <w:rPr>
          <w:rFonts w:ascii="Times New Roman" w:hAnsi="Times New Roman" w:eastAsia="楷体_GB2312" w:cs="Times New Roman"/>
        </w:rPr>
        <w:t>（五）推进特殊教育稳步提升发展</w:t>
      </w:r>
      <w:bookmarkEnd w:id="25"/>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深入实施特殊教育提升计划，提高特殊教育普及水平、教育质量和保障条件，加强学校无障碍设施建设，实现市、县、校三级特殊教育资源中心全覆盖。坚持按需施教，以随班就读为主体，以特殊教育学校为骨干，以送教上门和远程教育为补充，落实特殊教育学校课程方案，加强融合教育课程建设，完善学前教育、义务教育、高中教育相连接的特殊教育体系。充分发挥家庭在残疾儿童少年教育和康复中的作用，增强孤独症儿童针对性的</w:t>
      </w:r>
      <w:r>
        <w:rPr>
          <w:rFonts w:ascii="Times New Roman" w:hAnsi="Times New Roman" w:eastAsia="仿宋_GB2312" w:cs="Times New Roman"/>
          <w:color w:val="000000" w:themeColor="text1"/>
          <w:sz w:val="32"/>
          <w:szCs w:val="32"/>
          <w14:textFill>
            <w14:solidFill>
              <w14:schemeClr w14:val="tx1"/>
            </w14:solidFill>
          </w14:textFill>
        </w:rPr>
        <w:t>教育</w:t>
      </w:r>
      <w:r>
        <w:rPr>
          <w:rFonts w:hint="eastAsia" w:ascii="Times New Roman" w:hAnsi="Times New Roman" w:eastAsia="仿宋_GB2312" w:cs="Times New Roman"/>
          <w:color w:val="000000" w:themeColor="text1"/>
          <w:sz w:val="32"/>
          <w:szCs w:val="32"/>
          <w14:textFill>
            <w14:solidFill>
              <w14:schemeClr w14:val="tx1"/>
            </w14:solidFill>
          </w14:textFill>
        </w:rPr>
        <w:t>及康复</w:t>
      </w:r>
      <w:r>
        <w:rPr>
          <w:rFonts w:ascii="Times New Roman" w:hAnsi="Times New Roman" w:eastAsia="仿宋_GB2312" w:cs="Times New Roman"/>
          <w:color w:val="000000" w:themeColor="text1"/>
          <w:sz w:val="32"/>
          <w:szCs w:val="32"/>
          <w14:textFill>
            <w14:solidFill>
              <w14:schemeClr w14:val="tx1"/>
            </w14:solidFill>
          </w14:textFill>
        </w:rPr>
        <w:t>训练。</w:t>
      </w:r>
      <w:r>
        <w:rPr>
          <w:rFonts w:ascii="Times New Roman" w:hAnsi="Times New Roman" w:eastAsia="仿宋_GB2312" w:cs="Times New Roman"/>
          <w:sz w:val="32"/>
          <w:szCs w:val="32"/>
        </w:rPr>
        <w:t>加大康复人才教育培养培训力度，提高康复服务从业人员能力素质。大力推广国家通用手语、通用盲文。到“十四五”末，实现三类残疾少年儿童入学率达到97%以上。</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560" w:lineRule="exact"/>
              <w:jc w:val="center"/>
              <w:rPr>
                <w:rFonts w:ascii="Times New Roman" w:hAnsi="Times New Roman" w:eastAsia="宋体" w:cs="Times New Roman"/>
                <w:b/>
                <w:bCs/>
                <w:sz w:val="28"/>
                <w:szCs w:val="28"/>
                <w:lang w:val="zh-CN"/>
              </w:rPr>
            </w:pPr>
            <w:r>
              <w:rPr>
                <w:rFonts w:ascii="Times New Roman" w:hAnsi="Times New Roman" w:eastAsia="宋体" w:cs="Times New Roman"/>
                <w:b/>
                <w:bCs/>
                <w:sz w:val="28"/>
                <w:szCs w:val="28"/>
                <w:lang w:val="zh-CN"/>
              </w:rPr>
              <w:t>专栏</w:t>
            </w:r>
            <w:r>
              <w:rPr>
                <w:rFonts w:hint="eastAsia" w:ascii="Times New Roman" w:hAnsi="Times New Roman" w:eastAsia="宋体" w:cs="Times New Roman"/>
                <w:b/>
                <w:bCs/>
                <w:sz w:val="28"/>
                <w:szCs w:val="28"/>
                <w:lang w:val="zh-CN"/>
              </w:rPr>
              <w:t>6</w:t>
            </w:r>
            <w:r>
              <w:rPr>
                <w:rFonts w:ascii="Times New Roman" w:hAnsi="Times New Roman" w:eastAsia="宋体" w:cs="Times New Roman"/>
                <w:b/>
                <w:bCs/>
                <w:sz w:val="28"/>
                <w:szCs w:val="28"/>
                <w:lang w:val="zh-CN"/>
              </w:rPr>
              <w:t xml:space="preserve"> </w:t>
            </w:r>
            <w:r>
              <w:rPr>
                <w:rFonts w:hint="eastAsia" w:ascii="Times New Roman" w:hAnsi="Times New Roman" w:eastAsia="宋体" w:cs="Times New Roman"/>
                <w:b/>
                <w:bCs/>
                <w:sz w:val="28"/>
                <w:szCs w:val="28"/>
                <w:lang w:val="zh-CN"/>
              </w:rPr>
              <w:t xml:space="preserve"> </w:t>
            </w:r>
            <w:r>
              <w:rPr>
                <w:rFonts w:ascii="Times New Roman" w:hAnsi="Times New Roman" w:eastAsia="宋体" w:cs="Times New Roman"/>
                <w:b/>
                <w:bCs/>
                <w:sz w:val="28"/>
                <w:szCs w:val="28"/>
                <w:lang w:val="zh-CN"/>
              </w:rPr>
              <w:t>特殊教育提升计划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8"/>
              <w:widowControl/>
              <w:wordWrap w:val="0"/>
              <w:adjustRightInd w:val="0"/>
              <w:snapToGrid w:val="0"/>
              <w:spacing w:before="0" w:beforeAutospacing="0" w:after="0" w:afterAutospacing="0" w:line="440" w:lineRule="exact"/>
              <w:ind w:firstLine="480" w:firstLineChars="200"/>
              <w:jc w:val="both"/>
            </w:pPr>
            <w:r>
              <w:rPr>
                <w:rFonts w:hint="eastAsia" w:eastAsiaTheme="minorEastAsia"/>
                <w:kern w:val="2"/>
                <w:szCs w:val="24"/>
              </w:rPr>
              <w:t>支持建设孤独症儿童特殊教育学校（部），逐步完善面向孤独症儿童和超常儿童的特殊教育服务机制。深化特殊教育改革，推进特殊教育学校实行十五年一贯制办学，推动特殊教育课程教学改革，全面提升特殊教育质量。鼓励20万人口以上的县（区）办好一所达到标准的特殊教育学校。</w:t>
            </w:r>
          </w:p>
        </w:tc>
      </w:tr>
    </w:tbl>
    <w:p>
      <w:pPr>
        <w:pStyle w:val="6"/>
        <w:keepNext w:val="0"/>
        <w:keepLines w:val="0"/>
        <w:spacing w:before="156" w:beforeLines="50" w:after="156" w:afterLines="50" w:line="240" w:lineRule="auto"/>
        <w:ind w:firstLine="640" w:firstLineChars="200"/>
        <w:rPr>
          <w:rFonts w:ascii="Times New Roman" w:hAnsi="Times New Roman" w:eastAsia="黑体" w:cs="Times New Roman"/>
          <w:b w:val="0"/>
          <w:sz w:val="32"/>
          <w:szCs w:val="32"/>
        </w:rPr>
      </w:pPr>
      <w:bookmarkStart w:id="26" w:name="_Toc99381146"/>
      <w:r>
        <w:rPr>
          <w:rFonts w:ascii="Times New Roman" w:hAnsi="Times New Roman" w:eastAsia="黑体" w:cs="Times New Roman"/>
          <w:b w:val="0"/>
          <w:sz w:val="32"/>
          <w:szCs w:val="32"/>
        </w:rPr>
        <w:t>六、激活职教高教活力，构筑人力资源支撑</w:t>
      </w:r>
      <w:bookmarkEnd w:id="26"/>
    </w:p>
    <w:p>
      <w:pPr>
        <w:spacing w:line="600" w:lineRule="exact"/>
        <w:ind w:firstLine="640" w:firstLineChars="200"/>
        <w:rPr>
          <w:rFonts w:ascii="Times New Roman" w:hAnsi="Times New Roman" w:eastAsia="仿宋_GB2312" w:cs="Times New Roman"/>
          <w:lang w:bidi="en-US"/>
        </w:rPr>
      </w:pPr>
      <w:r>
        <w:rPr>
          <w:rFonts w:ascii="Times New Roman" w:hAnsi="Times New Roman" w:eastAsia="仿宋_GB2312" w:cs="Times New Roman"/>
          <w:sz w:val="32"/>
          <w:szCs w:val="32"/>
        </w:rPr>
        <w:t>以提高质量、促进就业和服务发展为导向，优化职业教育结构，统筹职业院校布局，完善职业技能培训制度体系，构建与经济社会发展和深化教育改革相适应的新时代职业教育体系，大力发展继续教育，打造服务全民的终身学习平台，推进教育整体高质量发展。</w:t>
      </w:r>
    </w:p>
    <w:p>
      <w:pPr>
        <w:pStyle w:val="7"/>
        <w:keepNext w:val="0"/>
        <w:keepLines w:val="0"/>
        <w:spacing w:before="156" w:beforeLines="50" w:after="0"/>
        <w:ind w:firstLine="642" w:firstLineChars="200"/>
        <w:rPr>
          <w:rFonts w:ascii="Times New Roman" w:hAnsi="Times New Roman" w:eastAsia="楷体_GB2312" w:cs="Times New Roman"/>
        </w:rPr>
      </w:pPr>
      <w:bookmarkStart w:id="27" w:name="_Toc99381147"/>
      <w:r>
        <w:rPr>
          <w:rFonts w:ascii="Times New Roman" w:hAnsi="Times New Roman" w:eastAsia="楷体_GB2312" w:cs="Times New Roman"/>
        </w:rPr>
        <w:t>（一）增强职业教育适应性</w:t>
      </w:r>
      <w:bookmarkEnd w:id="27"/>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面落实《关于推动现代职业教育高质量发展的意见》、《国家职业教育改革实施方案》，坚持纵向贯通、横向融通，健全服务全产业链、全生活领域和全生命周期的职业技术教育和培训体系，培养培训高素质技术技能人才。围绕</w:t>
      </w:r>
      <w:r>
        <w:rPr>
          <w:rFonts w:hint="eastAsia" w:ascii="Times New Roman" w:hAnsi="Times New Roman" w:eastAsia="仿宋_GB2312" w:cs="Times New Roman"/>
          <w:sz w:val="32"/>
          <w:szCs w:val="32"/>
        </w:rPr>
        <w:t>全</w:t>
      </w:r>
      <w:r>
        <w:rPr>
          <w:rFonts w:ascii="Times New Roman" w:hAnsi="Times New Roman" w:eastAsia="仿宋_GB2312" w:cs="Times New Roman"/>
          <w:sz w:val="32"/>
          <w:szCs w:val="32"/>
        </w:rPr>
        <w:t>市优势产业、战略性新兴产业，持续优化中职学校专业结构，推进省级特色高水平中职专业建设，提高高职院校服务经济社会发展的能力，打造适</w:t>
      </w:r>
      <w:r>
        <w:rPr>
          <w:rFonts w:hint="eastAsia" w:ascii="Times New Roman" w:hAnsi="Times New Roman" w:eastAsia="仿宋_GB2312" w:cs="Times New Roman"/>
          <w:sz w:val="32"/>
          <w:szCs w:val="32"/>
        </w:rPr>
        <w:t>应</w:t>
      </w:r>
      <w:r>
        <w:rPr>
          <w:rFonts w:ascii="Times New Roman" w:hAnsi="Times New Roman" w:eastAsia="仿宋_GB2312" w:cs="Times New Roman"/>
          <w:sz w:val="32"/>
          <w:szCs w:val="32"/>
        </w:rPr>
        <w:t>全市经济发展的专业群。深化产教融合，实施校企“双元”协同育人计划，推进“工学结合、校企合作”育人模式改革。采取“金融+财政+土地+信用”的组合式激励方式，加大企业等社会力量参与职业教育的支持力度，鼓励企业积极参与认证“产教融合型”企业，促进“引教入企”和“引企入教”同步推进。</w:t>
      </w:r>
      <w:r>
        <w:rPr>
          <w:rFonts w:ascii="Times New Roman" w:hAnsi="Times New Roman" w:eastAsia="仿宋_GB2312" w:cs="Times New Roman"/>
          <w:color w:val="000000" w:themeColor="text1"/>
          <w:sz w:val="32"/>
          <w:szCs w:val="32"/>
          <w14:textFill>
            <w14:solidFill>
              <w14:schemeClr w14:val="tx1"/>
            </w14:solidFill>
          </w14:textFill>
        </w:rPr>
        <w:t>吸纳重点产业大中型企业和科研机构，瞄准我市产业优化省级方向，组建职业教育集团，推进产教融合。</w:t>
      </w:r>
      <w:r>
        <w:rPr>
          <w:rFonts w:ascii="Times New Roman" w:hAnsi="Times New Roman" w:eastAsia="仿宋_GB2312" w:cs="Times New Roman"/>
          <w:sz w:val="32"/>
          <w:szCs w:val="32"/>
        </w:rPr>
        <w:t>探索开展跨区域人才培养、课程开发、实习实训基地共享、教学科研成果共享、技术技能大赛等交流合作，鼓励职业院校参与高水平重点专业和高水平实训基地建设计划。</w:t>
      </w:r>
    </w:p>
    <w:p>
      <w:pPr>
        <w:pStyle w:val="7"/>
        <w:keepNext w:val="0"/>
        <w:keepLines w:val="0"/>
        <w:spacing w:before="156" w:beforeLines="50" w:after="0"/>
        <w:ind w:firstLine="642" w:firstLineChars="200"/>
        <w:rPr>
          <w:rFonts w:ascii="Times New Roman" w:hAnsi="Times New Roman" w:eastAsia="楷体_GB2312" w:cs="Times New Roman"/>
        </w:rPr>
      </w:pPr>
      <w:bookmarkStart w:id="28" w:name="_Toc99381148"/>
      <w:r>
        <w:rPr>
          <w:rFonts w:ascii="Times New Roman" w:hAnsi="Times New Roman" w:eastAsia="楷体_GB2312" w:cs="Times New Roman"/>
        </w:rPr>
        <w:t>（二）促进职教高教衔接</w:t>
      </w:r>
      <w:bookmarkEnd w:id="28"/>
    </w:p>
    <w:p>
      <w:pPr>
        <w:ind w:firstLine="640" w:firstLineChars="200"/>
        <w:rPr>
          <w:rFonts w:ascii="仿宋_GB2312" w:eastAsia="仿宋_GB2312"/>
          <w:sz w:val="32"/>
          <w:szCs w:val="32"/>
        </w:rPr>
      </w:pPr>
      <w:r>
        <w:rPr>
          <w:rFonts w:hint="eastAsia" w:ascii="仿宋_GB2312" w:eastAsia="仿宋_GB2312"/>
          <w:sz w:val="32"/>
          <w:szCs w:val="32"/>
        </w:rPr>
        <w:t>深入推动中职、高职、职业本科和应用型本科各学段相互衔接，针对培养周期长、技能要求高的专业通过实施“3+2”、五年一贯制和高职与本科贯通等长学制培养，实现中高职纵向贯通。统筹推进职业学校布局结构调整及优化，引导职业教育资源进一步向产业和人口集聚区集中。探索职业教育集团化办学，夯实中职教育基础地位，深化省级示范校建设。按照全市实施优质教育重塑工程和全民技能提升工程的决策部署，以建设“双高计划”院校为目标，按照“一本</w:t>
      </w:r>
      <w:r>
        <w:rPr>
          <w:rFonts w:ascii="仿宋_GB2312" w:eastAsia="仿宋_GB2312"/>
          <w:sz w:val="32"/>
          <w:szCs w:val="32"/>
        </w:rPr>
        <w:t>两专、一综一特</w:t>
      </w:r>
      <w:r>
        <w:rPr>
          <w:rFonts w:hint="eastAsia" w:ascii="仿宋_GB2312" w:eastAsia="仿宋_GB2312"/>
          <w:sz w:val="32"/>
          <w:szCs w:val="32"/>
        </w:rPr>
        <w:t>”</w:t>
      </w:r>
      <w:r>
        <w:rPr>
          <w:rFonts w:hint="eastAsia" w:ascii="仿宋_GB2312" w:eastAsia="仿宋_GB2312"/>
          <w:color w:val="000000" w:themeColor="text1"/>
          <w:sz w:val="32"/>
          <w:szCs w:val="32"/>
          <w14:textFill>
            <w14:solidFill>
              <w14:schemeClr w14:val="tx1"/>
            </w14:solidFill>
          </w14:textFill>
        </w:rPr>
        <w:t>发展</w:t>
      </w:r>
      <w:r>
        <w:rPr>
          <w:rFonts w:ascii="仿宋_GB2312" w:eastAsia="仿宋_GB2312"/>
          <w:sz w:val="32"/>
          <w:szCs w:val="32"/>
        </w:rPr>
        <w:t>思路，</w:t>
      </w:r>
      <w:r>
        <w:rPr>
          <w:rFonts w:ascii="仿宋_GB2312" w:eastAsia="仿宋_GB2312"/>
          <w:color w:val="000000" w:themeColor="text1"/>
          <w:sz w:val="32"/>
          <w:szCs w:val="32"/>
          <w14:textFill>
            <w14:solidFill>
              <w14:schemeClr w14:val="tx1"/>
            </w14:solidFill>
          </w14:textFill>
        </w:rPr>
        <w:t>重点</w:t>
      </w:r>
      <w:r>
        <w:rPr>
          <w:rFonts w:hint="eastAsia" w:ascii="仿宋_GB2312" w:eastAsia="仿宋_GB2312"/>
          <w:color w:val="000000" w:themeColor="text1"/>
          <w:sz w:val="32"/>
          <w:szCs w:val="32"/>
          <w14:textFill>
            <w14:solidFill>
              <w14:schemeClr w14:val="tx1"/>
            </w14:solidFill>
          </w14:textFill>
        </w:rPr>
        <w:t>支持</w:t>
      </w:r>
      <w:r>
        <w:rPr>
          <w:rFonts w:ascii="仿宋_GB2312" w:eastAsia="仿宋_GB2312"/>
          <w:color w:val="000000" w:themeColor="text1"/>
          <w:sz w:val="32"/>
          <w:szCs w:val="32"/>
          <w14:textFill>
            <w14:solidFill>
              <w14:schemeClr w14:val="tx1"/>
            </w14:solidFill>
          </w14:textFill>
        </w:rPr>
        <w:t>山西工程技术</w:t>
      </w:r>
      <w:r>
        <w:rPr>
          <w:rFonts w:hint="eastAsia" w:ascii="仿宋_GB2312" w:eastAsia="仿宋_GB2312"/>
          <w:color w:val="000000" w:themeColor="text1"/>
          <w:sz w:val="32"/>
          <w:szCs w:val="32"/>
          <w14:textFill>
            <w14:solidFill>
              <w14:schemeClr w14:val="tx1"/>
            </w14:solidFill>
          </w14:textFill>
        </w:rPr>
        <w:t>学院建设特色鲜明高水平应用型本科高校，</w:t>
      </w:r>
      <w:r>
        <w:rPr>
          <w:rFonts w:hint="eastAsia" w:ascii="仿宋_GB2312" w:eastAsia="仿宋_GB2312"/>
          <w:sz w:val="32"/>
          <w:szCs w:val="32"/>
        </w:rPr>
        <w:t>重点扶持阳泉职业技术学院建设成为综合性专科学校，阳泉师范高等专科学校办出特色。</w:t>
      </w:r>
      <w:r>
        <w:rPr>
          <w:rFonts w:hint="eastAsia" w:ascii="仿宋_GB2312" w:eastAsia="仿宋_GB2312"/>
          <w:color w:val="000000" w:themeColor="text1"/>
          <w:sz w:val="32"/>
          <w:szCs w:val="32"/>
          <w14:textFill>
            <w14:solidFill>
              <w14:schemeClr w14:val="tx1"/>
            </w14:solidFill>
          </w14:textFill>
        </w:rPr>
        <w:t>鼓励</w:t>
      </w:r>
      <w:r>
        <w:rPr>
          <w:rFonts w:ascii="仿宋_GB2312" w:eastAsia="仿宋_GB2312"/>
          <w:color w:val="000000" w:themeColor="text1"/>
          <w:sz w:val="32"/>
          <w:szCs w:val="32"/>
          <w14:textFill>
            <w14:solidFill>
              <w14:schemeClr w14:val="tx1"/>
            </w14:solidFill>
          </w14:textFill>
        </w:rPr>
        <w:t>三所</w:t>
      </w:r>
      <w:r>
        <w:rPr>
          <w:rFonts w:hint="eastAsia" w:ascii="仿宋_GB2312" w:eastAsia="仿宋_GB2312"/>
          <w:color w:val="000000" w:themeColor="text1"/>
          <w:sz w:val="32"/>
          <w:szCs w:val="32"/>
          <w14:textFill>
            <w14:solidFill>
              <w14:schemeClr w14:val="tx1"/>
            </w14:solidFill>
          </w14:textFill>
        </w:rPr>
        <w:t>院校</w:t>
      </w:r>
      <w:r>
        <w:rPr>
          <w:rFonts w:hint="eastAsia" w:ascii="仿宋_GB2312" w:eastAsia="仿宋_GB2312"/>
          <w:sz w:val="32"/>
          <w:szCs w:val="32"/>
        </w:rPr>
        <w:t>集中力量培育建设一批优势特色学科和优势特色专业，不断扩大优质教育资源的辐射带动作用，</w:t>
      </w:r>
      <w:r>
        <w:rPr>
          <w:rFonts w:hint="eastAsia" w:ascii="仿宋_GB2312" w:eastAsia="仿宋_GB2312"/>
          <w:color w:val="000000" w:themeColor="text1"/>
          <w:sz w:val="32"/>
          <w:szCs w:val="32"/>
          <w14:textFill>
            <w14:solidFill>
              <w14:schemeClr w14:val="tx1"/>
            </w14:solidFill>
          </w14:textFill>
        </w:rPr>
        <w:t>为我市、</w:t>
      </w:r>
      <w:r>
        <w:rPr>
          <w:rFonts w:ascii="仿宋_GB2312" w:eastAsia="仿宋_GB2312"/>
          <w:color w:val="000000" w:themeColor="text1"/>
          <w:sz w:val="32"/>
          <w:szCs w:val="32"/>
          <w14:textFill>
            <w14:solidFill>
              <w14:schemeClr w14:val="tx1"/>
            </w14:solidFill>
          </w14:textFill>
        </w:rPr>
        <w:t>我省</w:t>
      </w:r>
      <w:r>
        <w:rPr>
          <w:rFonts w:hint="eastAsia" w:ascii="仿宋_GB2312" w:eastAsia="仿宋_GB2312"/>
          <w:color w:val="000000" w:themeColor="text1"/>
          <w:sz w:val="32"/>
          <w:szCs w:val="32"/>
          <w14:textFill>
            <w14:solidFill>
              <w14:schemeClr w14:val="tx1"/>
            </w14:solidFill>
          </w14:textFill>
        </w:rPr>
        <w:t>以及周边区域经济和社会发展提供强有力的人才、技术和智力支撑。</w:t>
      </w:r>
      <w:r>
        <w:rPr>
          <w:rFonts w:hint="eastAsia" w:ascii="仿宋_GB2312" w:eastAsia="仿宋_GB2312"/>
          <w:sz w:val="32"/>
          <w:szCs w:val="32"/>
        </w:rPr>
        <w:t>到“十四五”末，基本建成适应阳泉高质量发展需要，职业院校学历教育和职业培训并重，职业教育与普通教育相互融通，各级职业教育有效衔接的现代职业教育体系。</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560" w:lineRule="exact"/>
              <w:jc w:val="center"/>
              <w:rPr>
                <w:rFonts w:ascii="Times New Roman" w:hAnsi="Times New Roman" w:eastAsia="宋体" w:cs="Times New Roman"/>
                <w:b/>
                <w:bCs/>
                <w:sz w:val="28"/>
                <w:szCs w:val="28"/>
                <w:lang w:val="zh-CN"/>
              </w:rPr>
            </w:pPr>
            <w:r>
              <w:rPr>
                <w:rFonts w:ascii="Times New Roman" w:hAnsi="Times New Roman" w:eastAsia="宋体" w:cs="Times New Roman"/>
                <w:b/>
                <w:bCs/>
                <w:sz w:val="28"/>
                <w:szCs w:val="28"/>
                <w:lang w:val="zh-CN"/>
              </w:rPr>
              <w:t>专栏</w:t>
            </w:r>
            <w:r>
              <w:rPr>
                <w:rFonts w:hint="eastAsia" w:ascii="Times New Roman" w:hAnsi="Times New Roman" w:eastAsia="宋体" w:cs="Times New Roman"/>
                <w:b/>
                <w:bCs/>
                <w:sz w:val="28"/>
                <w:szCs w:val="28"/>
                <w:lang w:val="zh-CN"/>
              </w:rPr>
              <w:t>7</w:t>
            </w:r>
            <w:r>
              <w:rPr>
                <w:rFonts w:ascii="Times New Roman" w:hAnsi="Times New Roman" w:eastAsia="宋体" w:cs="Times New Roman"/>
                <w:b/>
                <w:bCs/>
                <w:sz w:val="28"/>
                <w:szCs w:val="28"/>
                <w:lang w:val="zh-CN"/>
              </w:rPr>
              <w:t xml:space="preserve">  职业教育建设重点项目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8"/>
              <w:widowControl/>
              <w:wordWrap w:val="0"/>
              <w:adjustRightInd w:val="0"/>
              <w:snapToGrid w:val="0"/>
              <w:spacing w:before="0" w:beforeAutospacing="0" w:after="0" w:afterAutospacing="0" w:line="440" w:lineRule="exact"/>
              <w:ind w:firstLine="480" w:firstLineChars="200"/>
              <w:jc w:val="both"/>
            </w:pPr>
            <w:r>
              <w:rPr>
                <w:rFonts w:eastAsiaTheme="minorEastAsia"/>
                <w:kern w:val="2"/>
                <w:szCs w:val="24"/>
              </w:rPr>
              <w:t>阳泉市职业教育中心建设项目：布局在阳泉职业技术学院以南，占地500亩，集聚师生5000人以上。创设教育体验实践基地、综合实验中心、产业测试中心、创新创业服务中心等。</w:t>
            </w:r>
          </w:p>
        </w:tc>
      </w:tr>
    </w:tbl>
    <w:p>
      <w:pPr>
        <w:pStyle w:val="7"/>
        <w:keepNext w:val="0"/>
        <w:keepLines w:val="0"/>
        <w:spacing w:before="156" w:beforeLines="50" w:after="0"/>
        <w:ind w:firstLine="642" w:firstLineChars="200"/>
        <w:rPr>
          <w:rFonts w:ascii="Times New Roman" w:hAnsi="Times New Roman" w:eastAsia="楷体_GB2312" w:cs="Times New Roman"/>
        </w:rPr>
      </w:pPr>
      <w:bookmarkStart w:id="29" w:name="_Toc99381149"/>
      <w:r>
        <w:rPr>
          <w:rFonts w:ascii="Times New Roman" w:hAnsi="Times New Roman" w:eastAsia="楷体_GB2312" w:cs="Times New Roman"/>
        </w:rPr>
        <w:t>（三）做足技能培训成色</w:t>
      </w:r>
      <w:bookmarkEnd w:id="29"/>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落实职业学校实施学历教育与培训并举的法定职责，形成政府主导、产教融合、校企合作、就业牵引、政策激励的职业技能培训格局。鼓励职业学校积极参与“全民技能提升工程”，面向在校学生和全体社会成员开展大规模、多层次、多样化的职业技能培训和社会化、专业化的职业能力评价。高标准</w:t>
      </w:r>
      <w:r>
        <w:rPr>
          <w:rFonts w:hint="eastAsia" w:ascii="Times New Roman" w:hAnsi="Times New Roman" w:eastAsia="仿宋_GB2312" w:cs="Times New Roman"/>
          <w:sz w:val="32"/>
          <w:szCs w:val="32"/>
        </w:rPr>
        <w:t>建设</w:t>
      </w:r>
      <w:r>
        <w:rPr>
          <w:rFonts w:ascii="Times New Roman" w:hAnsi="Times New Roman" w:eastAsia="仿宋_GB2312" w:cs="Times New Roman"/>
          <w:sz w:val="32"/>
          <w:szCs w:val="32"/>
        </w:rPr>
        <w:t>阳泉职业教育中心，更好搭建</w:t>
      </w:r>
      <w:r>
        <w:rPr>
          <w:rFonts w:hint="eastAsia" w:ascii="Times New Roman" w:hAnsi="Times New Roman" w:eastAsia="仿宋_GB2312" w:cs="Times New Roman"/>
          <w:sz w:val="32"/>
          <w:szCs w:val="32"/>
        </w:rPr>
        <w:t>全民技能提升的</w:t>
      </w:r>
      <w:r>
        <w:rPr>
          <w:rFonts w:ascii="Times New Roman" w:hAnsi="Times New Roman" w:eastAsia="仿宋_GB2312" w:cs="Times New Roman"/>
          <w:sz w:val="32"/>
          <w:szCs w:val="32"/>
        </w:rPr>
        <w:t>教育平台。加强技术技能人才需求分析和信息收集，确保培训与地方产业需求有效对接。支持职业院校服务乡村振兴战略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加大农村实用人才和新型职业农民培训力度，加快培养高素质农民。探索建立部门或行业牵头、职业学校和企业有效参与的企业职工培训平台，将职业学校纳入当地重点职业培训机构目录清单。普遍实行1+X证书制度，支持职业学校探索建立弹性学制，积极谋划学历证书和职业技能等级证书学习成果互认，学历证书和职业技能等级证书互通衔接，提升职业技能等级证书“含金量”。</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jc w:val="center"/>
              <w:outlineLvl w:val="2"/>
              <w:rPr>
                <w:rFonts w:ascii="Times New Roman" w:hAnsi="Times New Roman" w:eastAsia="宋体" w:cs="Times New Roman"/>
                <w:b/>
                <w:bCs/>
                <w:color w:val="000000" w:themeColor="text1"/>
                <w:sz w:val="28"/>
                <w:szCs w:val="28"/>
                <w:lang w:val="zh-CN"/>
                <w14:textFill>
                  <w14:solidFill>
                    <w14:schemeClr w14:val="tx1"/>
                  </w14:solidFill>
                </w14:textFill>
              </w:rPr>
            </w:pPr>
            <w:bookmarkStart w:id="30" w:name="_Toc99381150"/>
            <w:r>
              <w:rPr>
                <w:rFonts w:ascii="Times New Roman" w:hAnsi="Times New Roman" w:eastAsia="宋体" w:cs="Times New Roman"/>
                <w:b/>
                <w:bCs/>
                <w:color w:val="000000" w:themeColor="text1"/>
                <w:sz w:val="28"/>
                <w:szCs w:val="28"/>
                <w:lang w:val="zh-CN"/>
                <w14:textFill>
                  <w14:solidFill>
                    <w14:schemeClr w14:val="tx1"/>
                  </w14:solidFill>
                </w14:textFill>
              </w:rPr>
              <w:t>专栏</w:t>
            </w:r>
            <w:r>
              <w:rPr>
                <w:rFonts w:hint="eastAsia" w:ascii="Times New Roman" w:hAnsi="Times New Roman" w:eastAsia="宋体" w:cs="Times New Roman"/>
                <w:b/>
                <w:bCs/>
                <w:color w:val="000000" w:themeColor="text1"/>
                <w:sz w:val="28"/>
                <w:szCs w:val="28"/>
                <w:lang w:val="zh-CN"/>
                <w14:textFill>
                  <w14:solidFill>
                    <w14:schemeClr w14:val="tx1"/>
                  </w14:solidFill>
                </w14:textFill>
              </w:rPr>
              <w:t>8</w:t>
            </w:r>
            <w:r>
              <w:rPr>
                <w:rFonts w:ascii="Times New Roman" w:hAnsi="Times New Roman" w:eastAsia="宋体" w:cs="Times New Roman"/>
                <w:b/>
                <w:bCs/>
                <w:color w:val="000000" w:themeColor="text1"/>
                <w:sz w:val="28"/>
                <w:szCs w:val="28"/>
                <w:lang w:val="zh-CN"/>
                <w14:textFill>
                  <w14:solidFill>
                    <w14:schemeClr w14:val="tx1"/>
                  </w14:solidFill>
                </w14:textFill>
              </w:rPr>
              <w:t xml:space="preserve">  </w:t>
            </w:r>
            <w:r>
              <w:rPr>
                <w:rFonts w:hint="eastAsia" w:ascii="Times New Roman" w:hAnsi="Times New Roman" w:eastAsia="宋体" w:cs="Times New Roman"/>
                <w:b/>
                <w:bCs/>
                <w:color w:val="000000" w:themeColor="text1"/>
                <w:sz w:val="28"/>
                <w:szCs w:val="28"/>
                <w:lang w:val="zh-CN"/>
                <w14:textFill>
                  <w14:solidFill>
                    <w14:schemeClr w14:val="tx1"/>
                  </w14:solidFill>
                </w14:textFill>
              </w:rPr>
              <w:t>阳泉</w:t>
            </w:r>
            <w:r>
              <w:rPr>
                <w:rFonts w:hint="eastAsia" w:ascii="Times New Roman" w:hAnsi="Times New Roman" w:eastAsia="宋体" w:cs="Times New Roman"/>
                <w:b/>
                <w:bCs/>
                <w:color w:val="000000" w:themeColor="text1"/>
                <w:sz w:val="28"/>
                <w:szCs w:val="28"/>
                <w14:textFill>
                  <w14:solidFill>
                    <w14:schemeClr w14:val="tx1"/>
                  </w14:solidFill>
                </w14:textFill>
              </w:rPr>
              <w:t>特殊教育职业培训基地</w:t>
            </w:r>
            <w:r>
              <w:rPr>
                <w:rFonts w:hint="eastAsia" w:ascii="Times New Roman" w:hAnsi="Times New Roman" w:eastAsia="宋体" w:cs="Times New Roman"/>
                <w:b/>
                <w:bCs/>
                <w:color w:val="000000" w:themeColor="text1"/>
                <w:sz w:val="28"/>
                <w:szCs w:val="28"/>
                <w:lang w:val="zh-CN"/>
                <w14:textFill>
                  <w14:solidFill>
                    <w14:schemeClr w14:val="tx1"/>
                  </w14:solidFill>
                </w14:textFill>
              </w:rPr>
              <w:t>建设项目</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6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充分发挥山西省唯一培养特殊教育师资的高职专业优势，积极打造“新特教”，组建“山西特教联盟”，将阳泉师范高等专科学校建设成为全省特殊教育师资培养培训基地。</w:t>
            </w:r>
          </w:p>
          <w:p>
            <w:pPr>
              <w:spacing w:line="46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积极支持阳泉师范高等专科学校探索“学科+特殊教育”人才培养模式，着力培养特殊教育师资，打造高素质的残疾人事业人才队伍。</w:t>
            </w:r>
          </w:p>
          <w:p>
            <w:pPr>
              <w:spacing w:line="46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支持阳泉师范高等专科学校附属康复中心建设，推动学校从传统师范类专科院校向高水平应用型新师范转型。</w:t>
            </w:r>
          </w:p>
        </w:tc>
      </w:tr>
    </w:tbl>
    <w:p>
      <w:pPr>
        <w:pStyle w:val="7"/>
        <w:keepNext w:val="0"/>
        <w:keepLines w:val="0"/>
        <w:spacing w:before="156" w:beforeLines="50" w:after="0"/>
        <w:ind w:firstLine="642" w:firstLineChars="200"/>
        <w:rPr>
          <w:rFonts w:ascii="Times New Roman" w:hAnsi="Times New Roman" w:eastAsia="楷体_GB2312" w:cs="Times New Roman"/>
        </w:rPr>
      </w:pPr>
      <w:bookmarkStart w:id="31" w:name="_Toc99381151"/>
      <w:r>
        <w:rPr>
          <w:rFonts w:ascii="Times New Roman" w:hAnsi="Times New Roman" w:eastAsia="楷体_GB2312" w:cs="Times New Roman"/>
        </w:rPr>
        <w:t>（四）构建终身学习体系</w:t>
      </w:r>
      <w:bookmarkEnd w:id="31"/>
    </w:p>
    <w:p>
      <w:pPr>
        <w:pStyle w:val="2"/>
        <w:ind w:firstLine="640" w:firstLineChars="200"/>
        <w:rPr>
          <w:rFonts w:ascii="Times New Roman" w:hAnsi="Times New Roman" w:eastAsia="仿宋_GB2312"/>
          <w:sz w:val="32"/>
          <w:szCs w:val="32"/>
        </w:rPr>
      </w:pPr>
      <w:r>
        <w:rPr>
          <w:rFonts w:ascii="Times New Roman" w:hAnsi="Times New Roman" w:eastAsia="仿宋_GB2312"/>
          <w:sz w:val="32"/>
          <w:szCs w:val="32"/>
        </w:rPr>
        <w:t>完善职业教育、高等教育、继续教育统筹协调机制，</w:t>
      </w:r>
      <w:r>
        <w:rPr>
          <w:rFonts w:hint="eastAsia" w:ascii="Times New Roman" w:hAnsi="Times New Roman" w:eastAsia="仿宋_GB2312"/>
          <w:sz w:val="32"/>
          <w:szCs w:val="32"/>
        </w:rPr>
        <w:t>推动职业院校扩大培训规模，多渠道扩大终身教育资源。</w:t>
      </w:r>
      <w:r>
        <w:rPr>
          <w:rFonts w:ascii="Times New Roman" w:hAnsi="Times New Roman" w:eastAsia="仿宋_GB2312"/>
          <w:sz w:val="32"/>
          <w:szCs w:val="32"/>
        </w:rPr>
        <w:t>探索建立“学分银行”机制和不同类型学习成果的互认与衔接机制和转换认定等制度，促进学历教育之间、学历教育与非学历教育之间纵向衔接、横向沟通。有序推进社区教育建设，积极培育社区教育培训品牌项目，创新发展老年教育，鼓励有条件的职业院校开设老年教育相关专业和课程，满足各类居民学习提高和修身益智的需求。利用阳泉开放大学的优势资源及现代技术，大力发展数字化远程教育，谋划建设覆盖城乡的数字化终身学习网络，着力打造学习机会开放多样、学习资源丰富共享，人人皆学、处处能学、时时可学的终身学习服务平台，加快建设学习型社会，举办全民终身学习周。</w:t>
      </w:r>
    </w:p>
    <w:p>
      <w:pPr>
        <w:pStyle w:val="6"/>
        <w:keepNext w:val="0"/>
        <w:keepLines w:val="0"/>
        <w:spacing w:before="156" w:beforeLines="50" w:after="156" w:afterLines="50" w:line="240" w:lineRule="auto"/>
        <w:ind w:firstLine="640" w:firstLineChars="200"/>
        <w:rPr>
          <w:rFonts w:ascii="Times New Roman" w:hAnsi="Times New Roman" w:eastAsia="黑体" w:cs="Times New Roman"/>
          <w:b w:val="0"/>
          <w:sz w:val="32"/>
          <w:szCs w:val="32"/>
        </w:rPr>
      </w:pPr>
      <w:bookmarkStart w:id="32" w:name="_Toc99381152"/>
      <w:r>
        <w:rPr>
          <w:rFonts w:ascii="Times New Roman" w:hAnsi="Times New Roman" w:eastAsia="黑体" w:cs="Times New Roman"/>
          <w:b w:val="0"/>
          <w:sz w:val="32"/>
          <w:szCs w:val="32"/>
        </w:rPr>
        <w:t>七、深化重点领域改革，推进教育制度创新</w:t>
      </w:r>
      <w:bookmarkEnd w:id="32"/>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以重点领域改革为突破口，着眼于“教好”“学好”“管好”，全面深化教育综合改革和制度创新，持续推进教育治理体系和治理能力现代化，不断激发教育事业发展生机活力。</w:t>
      </w:r>
    </w:p>
    <w:p>
      <w:pPr>
        <w:pStyle w:val="7"/>
        <w:keepNext w:val="0"/>
        <w:keepLines w:val="0"/>
        <w:spacing w:before="156" w:beforeLines="50" w:after="0"/>
        <w:ind w:firstLine="642" w:firstLineChars="200"/>
        <w:rPr>
          <w:rFonts w:ascii="Times New Roman" w:hAnsi="Times New Roman" w:eastAsia="楷体_GB2312" w:cs="Times New Roman"/>
        </w:rPr>
      </w:pPr>
      <w:bookmarkStart w:id="33" w:name="_Toc99381153"/>
      <w:r>
        <w:rPr>
          <w:rFonts w:ascii="Times New Roman" w:hAnsi="Times New Roman" w:eastAsia="楷体_GB2312" w:cs="Times New Roman"/>
        </w:rPr>
        <w:t>（一）完善教育治理体系</w:t>
      </w:r>
      <w:bookmarkEnd w:id="33"/>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持续深化教育领域“放管服效”改革，明确政府管理权限和职责，优化管理流程，提高管理效能，推动教育行政管理由直接管理向间接管理、由办教育向管教育、由管理向服务转变，形成政事分开、权责明确、统筹协调、规范有序的管理体制。实施权力清单、责任清单和负面清单制度，明确教育治理相关主体的权责边界，确保事有人管、责有人负。加强教育法制建设，完善教育领域规章、规范性文件制定和清理机制，建立健全教育系统公职律师和法律顾问制度。依法确立和落实学校办学主体地位，深化章程建设和校务公开，确保学校办学自主权在阳光下运行。全面推进依法治校，完善教职工代表大会制度和学生代表大会制度，促进和规范理事会建设，不断完善内部治理结构。建立健全学校干部队伍选拔任用机制，优选配强学校短缺人才干部。探索建立和落实中小学党组织领导的校长负责制，实行领导干部任期制和交流制，提升中小学校党组织的组织力和领导力。</w:t>
      </w:r>
    </w:p>
    <w:p>
      <w:pPr>
        <w:pStyle w:val="7"/>
        <w:keepNext w:val="0"/>
        <w:keepLines w:val="0"/>
        <w:spacing w:before="156" w:beforeLines="50" w:after="0"/>
        <w:ind w:firstLine="642" w:firstLineChars="200"/>
        <w:rPr>
          <w:rFonts w:ascii="Times New Roman" w:hAnsi="Times New Roman" w:eastAsia="楷体_GB2312" w:cs="Times New Roman"/>
        </w:rPr>
      </w:pPr>
      <w:bookmarkStart w:id="34" w:name="_Toc99381154"/>
      <w:r>
        <w:rPr>
          <w:rFonts w:ascii="Times New Roman" w:hAnsi="Times New Roman" w:eastAsia="楷体_GB2312" w:cs="Times New Roman"/>
        </w:rPr>
        <w:t>（二）推进招生制度改革</w:t>
      </w:r>
      <w:bookmarkEnd w:id="34"/>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完善义务教育免试就近入学办法，推进学区制和九年一贯制对口招生，将民办义务教育学校纳入审批地统一管理，与公办学校同步招生，统筹做好外来务工人员随迁子女入学工作。健全初中学业水平考试制度，完善初中综合素质评价办法，提高中考体育分值，探索将音乐、美术学科考试成绩直接计入中考录取总分。持续做好中考改革试点工作，完善职业高中春季招生政策。</w:t>
      </w:r>
      <w:r>
        <w:rPr>
          <w:rFonts w:ascii="Times New Roman" w:hAnsi="Times New Roman" w:eastAsia="仿宋_GB2312" w:cs="Times New Roman"/>
          <w:color w:val="000000" w:themeColor="text1"/>
          <w:sz w:val="32"/>
          <w:szCs w:val="32"/>
          <w14:textFill>
            <w14:solidFill>
              <w14:schemeClr w14:val="tx1"/>
            </w14:solidFill>
          </w14:textFill>
        </w:rPr>
        <w:t>全面实施高中阶段考试招生制度改革，改进高中阶段学校招生方式，建立中等职业学校和普通高中统一招生平台。</w:t>
      </w:r>
      <w:r>
        <w:rPr>
          <w:rFonts w:ascii="Times New Roman" w:hAnsi="Times New Roman" w:eastAsia="仿宋_GB2312" w:cs="Times New Roman"/>
          <w:sz w:val="32"/>
          <w:szCs w:val="32"/>
        </w:rPr>
        <w:t>推进普通高中自主招生改革，完善优质高中招生名额统筹分配办法，实现每所初中校学生升入优质高中的机会基本均等。完善考试招生保障制度，构建政府宏观管理、招考分离、监督有力的考试招生运行机制。</w:t>
      </w:r>
    </w:p>
    <w:p>
      <w:pPr>
        <w:pStyle w:val="7"/>
        <w:keepNext w:val="0"/>
        <w:keepLines w:val="0"/>
        <w:spacing w:before="156" w:beforeLines="50" w:after="0"/>
        <w:ind w:firstLine="642" w:firstLineChars="200"/>
        <w:rPr>
          <w:rFonts w:ascii="Times New Roman" w:hAnsi="Times New Roman" w:eastAsia="楷体_GB2312" w:cs="Times New Roman"/>
        </w:rPr>
      </w:pPr>
      <w:bookmarkStart w:id="35" w:name="_Toc99381155"/>
      <w:r>
        <w:rPr>
          <w:rFonts w:ascii="Times New Roman" w:hAnsi="Times New Roman" w:eastAsia="楷体_GB2312" w:cs="Times New Roman"/>
        </w:rPr>
        <w:t>（三）构建多元评价体系</w:t>
      </w:r>
      <w:bookmarkEnd w:id="35"/>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落实《深化新时代教育评价改革总体方案》，围绕党委和政府、学校、教师、学生、社会五类主体，</w:t>
      </w:r>
      <w:r>
        <w:rPr>
          <w:rFonts w:ascii="Times New Roman" w:hAnsi="Times New Roman" w:eastAsia="仿宋_GB2312" w:cs="Times New Roman"/>
          <w:color w:val="000000" w:themeColor="text1"/>
          <w:sz w:val="32"/>
          <w:szCs w:val="32"/>
          <w14:textFill>
            <w14:solidFill>
              <w14:schemeClr w14:val="tx1"/>
            </w14:solidFill>
          </w14:textFill>
        </w:rPr>
        <w:t>着力破除教育评价改革中存在的唯分数、唯升学、唯文凭、唯论文、唯帽子问题，</w:t>
      </w:r>
      <w:r>
        <w:rPr>
          <w:rFonts w:ascii="Times New Roman" w:hAnsi="Times New Roman" w:eastAsia="仿宋_GB2312" w:cs="Times New Roman"/>
          <w:sz w:val="32"/>
          <w:szCs w:val="32"/>
        </w:rPr>
        <w:t>明确重点领域、关键环节和主攻方向，形成科学完善的教育评价改革制度体系。进一步加强党对教育工作的全面领导，提升党委政府教育工作评价的科学履责能力。完善基于标准、分级负责的学校发展性评价工作，建立以立德树人为成效、为核心的办学质量评价标准。推进师德师风考核与业务考核同台同标同值，实行以教书育人使命为核心的教育教学实绩考核，改进高校教师科研评价，推进人才称号回归学术性、荣誉性。深化育人方式改革，引导学生树立科学成才观，构建以“五育并举、全面发展”为核心的学生评价标准体系。</w:t>
      </w:r>
    </w:p>
    <w:p>
      <w:pPr>
        <w:pStyle w:val="7"/>
        <w:keepNext w:val="0"/>
        <w:keepLines w:val="0"/>
        <w:spacing w:before="156" w:beforeLines="50" w:after="0"/>
        <w:ind w:firstLine="642" w:firstLineChars="200"/>
        <w:rPr>
          <w:rFonts w:ascii="Times New Roman" w:hAnsi="Times New Roman" w:eastAsia="楷体_GB2312" w:cs="Times New Roman"/>
        </w:rPr>
      </w:pPr>
      <w:bookmarkStart w:id="36" w:name="_Toc99381156"/>
      <w:r>
        <w:rPr>
          <w:rFonts w:ascii="Times New Roman" w:hAnsi="Times New Roman" w:eastAsia="楷体_GB2312" w:cs="Times New Roman"/>
        </w:rPr>
        <w:t>（四）完善教育督导体制</w:t>
      </w:r>
      <w:bookmarkEnd w:id="36"/>
    </w:p>
    <w:p>
      <w:pPr>
        <w:spacing w:line="600" w:lineRule="exact"/>
        <w:ind w:firstLine="640" w:firstLineChars="200"/>
        <w:rPr>
          <w:rFonts w:ascii="Times New Roman" w:hAnsi="宋体" w:cs="Times New Roman"/>
          <w:b/>
          <w:bCs/>
          <w:color w:val="BF0000"/>
          <w:sz w:val="32"/>
          <w:szCs w:val="32"/>
        </w:rPr>
      </w:pPr>
      <w:r>
        <w:rPr>
          <w:rFonts w:ascii="Times New Roman" w:hAnsi="Times New Roman" w:eastAsia="仿宋_GB2312" w:cs="Times New Roman"/>
          <w:sz w:val="32"/>
          <w:szCs w:val="32"/>
        </w:rPr>
        <w:t>完善教育督导机构设置，在市级教育行政部门设总督学和副总督学，建成督导部门归口管理、专业机构提供服务、社会组织多方参与的“全领域、全口径、全支撑、全保障”教育督导体系。强化督政、督学和评估监测职能，建立市县两级联动的教育督导工作机制。健全市对县、县对乡党委政府履行教育职责年度督导评价体系，定期开展督导评价工作，加强对政府责任落实情况、教育系统贯彻党和政府重大教育布置情况、整治教育突出问题情况的督导检查。着力推进义务教育优质均衡发展、学前教育普及普惠督导评定工作</w:t>
      </w:r>
      <w:r>
        <w:rPr>
          <w:rFonts w:hint="eastAsia" w:ascii="Times New Roman" w:hAnsi="Times New Roman" w:cs="Times New Roman"/>
          <w:sz w:val="32"/>
          <w:szCs w:val="32"/>
        </w:rPr>
        <w:t>。</w:t>
      </w:r>
      <w:r>
        <w:rPr>
          <w:rFonts w:hint="eastAsia" w:ascii="Times New Roman" w:hAnsi="Times New Roman" w:eastAsia="仿宋_GB2312" w:cs="Times New Roman"/>
          <w:color w:val="000000" w:themeColor="text1"/>
          <w:sz w:val="32"/>
          <w:szCs w:val="32"/>
          <w14:textFill>
            <w14:solidFill>
              <w14:schemeClr w14:val="tx1"/>
            </w14:solidFill>
          </w14:textFill>
        </w:rPr>
        <w:t>完善教育督导反馈及整改制度，强化教育督导结果运用，强化教育督导权威，聚焦教育督导“长牙齿”，</w:t>
      </w:r>
      <w:r>
        <w:rPr>
          <w:rFonts w:ascii="Times New Roman" w:hAnsi="Times New Roman" w:eastAsia="仿宋_GB2312" w:cs="Times New Roman"/>
          <w:color w:val="000000" w:themeColor="text1"/>
          <w:sz w:val="32"/>
          <w:szCs w:val="32"/>
          <w14:textFill>
            <w14:solidFill>
              <w14:schemeClr w14:val="tx1"/>
            </w14:solidFill>
          </w14:textFill>
        </w:rPr>
        <w:t>提高公开监督和行政问责效果。</w:t>
      </w:r>
    </w:p>
    <w:p>
      <w:pPr>
        <w:pStyle w:val="7"/>
        <w:keepNext w:val="0"/>
        <w:keepLines w:val="0"/>
        <w:spacing w:before="156" w:beforeLines="50" w:after="0"/>
        <w:ind w:firstLine="642" w:firstLineChars="200"/>
        <w:rPr>
          <w:rFonts w:ascii="Times New Roman" w:hAnsi="Times New Roman" w:eastAsia="楷体_GB2312" w:cs="Times New Roman"/>
        </w:rPr>
      </w:pPr>
      <w:bookmarkStart w:id="37" w:name="_Toc99381157"/>
      <w:r>
        <w:rPr>
          <w:rFonts w:ascii="Times New Roman" w:hAnsi="Times New Roman" w:eastAsia="楷体_GB2312" w:cs="Times New Roman"/>
        </w:rPr>
        <w:t>（五）加快教育对外开放</w:t>
      </w:r>
      <w:bookmarkEnd w:id="37"/>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加强校际、校企、校地资源共享，支持各级各类学校与省内外优质学校或教育机构建立常态化的结对帮扶与交流合作机制。鼓励省属、市属重点企业参与高校学科专业建设、人才引进与培养、科技创新等工作，在土地、资金、税收、人才政策以及科技创新平台建设、校企合作等方面给予政策倾斜。支持以山西工程技术学院为代表的高校与世界高水平大学合作交流，鼓励教学科研人员在国际学术和行业组织、权威学术期刊任职，吸引海外高层次人才来我市任职任教、开展交流。支持基础教育学校、职业院校广泛开展国际交流，拓宽与国际友好城市青少年互访渠道。</w:t>
      </w:r>
      <w:r>
        <w:rPr>
          <w:rFonts w:hint="eastAsia" w:ascii="Times New Roman" w:hAnsi="Times New Roman" w:eastAsia="仿宋_GB2312" w:cs="Times New Roman"/>
          <w:color w:val="000000" w:themeColor="text1"/>
          <w:sz w:val="32"/>
          <w:szCs w:val="32"/>
          <w14:textFill>
            <w14:solidFill>
              <w14:schemeClr w14:val="tx1"/>
            </w14:solidFill>
          </w14:textFill>
        </w:rPr>
        <w:t>贯彻落实省委、省政府深化省校合作战略部署，开展大学生实习实训基地、高校优质生源基地、大学生联合培养基地建设，推动企事业单位同一流高校在人才招聘、培养、培训、技术合作等方面合作。</w:t>
      </w:r>
    </w:p>
    <w:p>
      <w:pPr>
        <w:pStyle w:val="7"/>
        <w:keepNext w:val="0"/>
        <w:keepLines w:val="0"/>
        <w:spacing w:before="156" w:beforeLines="50" w:after="0"/>
        <w:ind w:firstLine="642" w:firstLineChars="200"/>
        <w:rPr>
          <w:rFonts w:ascii="Times New Roman" w:hAnsi="Times New Roman" w:eastAsia="楷体_GB2312" w:cs="Times New Roman"/>
        </w:rPr>
      </w:pPr>
      <w:bookmarkStart w:id="38" w:name="_Toc99381158"/>
      <w:r>
        <w:rPr>
          <w:rFonts w:ascii="Times New Roman" w:hAnsi="Times New Roman" w:eastAsia="楷体_GB2312" w:cs="Times New Roman"/>
        </w:rPr>
        <w:t>（六）规范民办教育发展</w:t>
      </w:r>
      <w:bookmarkEnd w:id="38"/>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全面加强民办学校党的建设，开展民办义务教育学校章程专项核查，确保把党组织建设有关内容纳入学校章程。</w:t>
      </w:r>
      <w:r>
        <w:rPr>
          <w:rFonts w:hint="eastAsia" w:ascii="Times New Roman" w:hAnsi="Times New Roman" w:eastAsia="仿宋_GB2312" w:cs="Times New Roman"/>
          <w:color w:val="000000" w:themeColor="text1"/>
          <w:sz w:val="32"/>
          <w:szCs w:val="32"/>
          <w14:textFill>
            <w14:solidFill>
              <w14:schemeClr w14:val="tx1"/>
            </w14:solidFill>
          </w14:textFill>
        </w:rPr>
        <w:t>坚持民办教育公益性基本原则，落实立德树人根本任务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。控制民办学校办学规模，根据学生变化及时缩减规模，确保全市市域现有占比3.12%不再提高，原则上不再审批设立新的民办教育学校，各县（区）县域占比不得超过5%。</w:t>
      </w:r>
      <w:r>
        <w:rPr>
          <w:rFonts w:ascii="Times New Roman" w:hAnsi="Times New Roman" w:eastAsia="仿宋_GB2312" w:cs="Times New Roman"/>
          <w:color w:val="000000" w:themeColor="text1"/>
          <w:sz w:val="32"/>
          <w:szCs w:val="32"/>
          <w14:textFill>
            <w14:solidFill>
              <w14:schemeClr w14:val="tx1"/>
            </w14:solidFill>
          </w14:textFill>
        </w:rPr>
        <w:t>制定民办学校分类管理指导意见，促进非营利性与营利性民办学校</w:t>
      </w:r>
      <w:r>
        <w:rPr>
          <w:rFonts w:hint="eastAsia" w:ascii="Times New Roman" w:hAnsi="Times New Roman" w:eastAsia="仿宋_GB2312" w:cs="Times New Roman"/>
          <w:color w:val="000000" w:themeColor="text1"/>
          <w:sz w:val="32"/>
          <w:szCs w:val="32"/>
          <w14:textFill>
            <w14:solidFill>
              <w14:schemeClr w14:val="tx1"/>
            </w14:solidFill>
          </w14:textFill>
        </w:rPr>
        <w:t>规范</w:t>
      </w:r>
      <w:r>
        <w:rPr>
          <w:rFonts w:ascii="Times New Roman" w:hAnsi="Times New Roman" w:eastAsia="仿宋_GB2312" w:cs="Times New Roman"/>
          <w:color w:val="000000" w:themeColor="text1"/>
          <w:sz w:val="32"/>
          <w:szCs w:val="32"/>
          <w14:textFill>
            <w14:solidFill>
              <w14:schemeClr w14:val="tx1"/>
            </w14:solidFill>
          </w14:textFill>
        </w:rPr>
        <w:t>发展</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对非营利性民办义务教育收费实行政府指导价管理。</w:t>
      </w:r>
      <w:r>
        <w:rPr>
          <w:rFonts w:ascii="Times New Roman" w:hAnsi="Times New Roman" w:eastAsia="仿宋_GB2312" w:cs="Times New Roman"/>
          <w:color w:val="000000" w:themeColor="text1"/>
          <w:sz w:val="32"/>
          <w:szCs w:val="32"/>
          <w14:textFill>
            <w14:solidFill>
              <w14:schemeClr w14:val="tx1"/>
            </w14:solidFill>
          </w14:textFill>
        </w:rPr>
        <w:t>强化民办教育监督管理，持续开展校外培训机构专项治理，推动民办学校行业自律和规范办学。依法监督管理民办教育，健全民办学校办学质量监控体系，不断完善民办学校办学风险防范机制和退出机制。</w:t>
      </w:r>
    </w:p>
    <w:p>
      <w:pPr>
        <w:pStyle w:val="7"/>
        <w:keepNext w:val="0"/>
        <w:keepLines w:val="0"/>
        <w:spacing w:before="156" w:beforeLines="50" w:after="0"/>
        <w:ind w:firstLine="642" w:firstLineChars="200"/>
        <w:rPr>
          <w:rFonts w:ascii="Times New Roman" w:hAnsi="Times New Roman" w:eastAsia="楷体_GB2312" w:cs="Times New Roman"/>
        </w:rPr>
      </w:pPr>
      <w:bookmarkStart w:id="39" w:name="_Toc99381159"/>
      <w:r>
        <w:rPr>
          <w:rFonts w:hint="eastAsia" w:ascii="Times New Roman" w:hAnsi="Times New Roman" w:eastAsia="楷体_GB2312" w:cs="Times New Roman"/>
        </w:rPr>
        <w:t>（七）深化集团化办学改革</w:t>
      </w:r>
      <w:bookmarkEnd w:id="39"/>
    </w:p>
    <w:p>
      <w:pPr>
        <w:autoSpaceDE w:val="0"/>
        <w:spacing w:line="600" w:lineRule="exact"/>
        <w:ind w:firstLine="640" w:firstLineChars="200"/>
        <w:jc w:val="left"/>
        <w:rPr>
          <w:rFonts w:ascii="仿宋_GB2312" w:hAnsi="Times New Roman" w:eastAsia="仿宋_GB2312" w:cs="Times New Roman"/>
          <w:bCs/>
          <w:color w:val="000000" w:themeColor="text1"/>
          <w:kern w:val="0"/>
          <w:sz w:val="32"/>
          <w:szCs w:val="32"/>
          <w14:textFill>
            <w14:solidFill>
              <w14:schemeClr w14:val="tx1"/>
            </w14:solidFill>
          </w14:textFill>
        </w:rPr>
      </w:pPr>
      <w:r>
        <w:rPr>
          <w:rFonts w:hint="eastAsia" w:ascii="仿宋_GB2312" w:hAnsi="Times New Roman" w:eastAsia="仿宋_GB2312" w:cs="Times New Roman"/>
          <w:bCs/>
          <w:color w:val="000000" w:themeColor="text1"/>
          <w:kern w:val="0"/>
          <w:sz w:val="32"/>
          <w:szCs w:val="32"/>
          <w14:textFill>
            <w14:solidFill>
              <w14:schemeClr w14:val="tx1"/>
            </w14:solidFill>
          </w14:textFill>
        </w:rPr>
        <w:t>推行集团化办学模式改革，逐年扩大集团化办学范围，发挥优质教育资源和优质学校的辐射和引领作用，实现“五统一”，教育集团实行一个法人主体，一套班子统筹管理，龙头校及负责人统一管理集团内人、财、物、事，实现一体化办学。集团法人和班子按照干部管理权限任用，成员校班子由集团班子聘任。建立集团内教职工编制“总量控制、动态调整”机制，在核定的编制和岗位总量内，根据各成员校教育发展需求、学生数等情况，统筹教师选派、岗位设置、职称评聘等工作。集团校要统一公布招生时间、招生办法、招生范围、招生结果，按“免试就近”入学原则，按轨制、班容量均衡编班，扩大优质教育的学位供给。集团内各校建立统一的集团办学章程等各项规章制度，制定整体发展方向，统一办学理念，执行一体化管理。统一教学管理模式，统一教科研团队管理，统一学校、教师、学生、干部考核评价体系，实现高质量整体发展。</w:t>
      </w:r>
    </w:p>
    <w:p>
      <w:pPr>
        <w:pStyle w:val="6"/>
        <w:keepNext w:val="0"/>
        <w:keepLines w:val="0"/>
        <w:spacing w:before="156" w:beforeLines="50" w:after="156" w:afterLines="50" w:line="240" w:lineRule="auto"/>
        <w:ind w:firstLine="640" w:firstLineChars="200"/>
        <w:rPr>
          <w:rFonts w:ascii="Times New Roman" w:hAnsi="Times New Roman" w:eastAsia="黑体" w:cs="Times New Roman"/>
          <w:b w:val="0"/>
          <w:sz w:val="32"/>
          <w:szCs w:val="32"/>
        </w:rPr>
      </w:pPr>
      <w:bookmarkStart w:id="40" w:name="_Toc99381160"/>
      <w:r>
        <w:rPr>
          <w:rFonts w:ascii="Times New Roman" w:hAnsi="Times New Roman" w:eastAsia="黑体" w:cs="Times New Roman"/>
          <w:b w:val="0"/>
          <w:sz w:val="32"/>
          <w:szCs w:val="32"/>
        </w:rPr>
        <w:t>八、强化专业素养培育，打造一流师资队伍</w:t>
      </w:r>
      <w:bookmarkEnd w:id="40"/>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坚持以德为先、能力为主，健全教师队伍建设长效机制，创新教师培养培育方式，全面提升教师综合素质，打造一支有理想信念、有道德情操、有扎实学识、有仁爱之心的高素质专业化创新型教师队伍。</w:t>
      </w:r>
    </w:p>
    <w:p>
      <w:pPr>
        <w:pStyle w:val="7"/>
        <w:keepNext w:val="0"/>
        <w:keepLines w:val="0"/>
        <w:spacing w:before="156" w:beforeLines="50" w:after="0"/>
        <w:ind w:firstLine="642" w:firstLineChars="200"/>
        <w:rPr>
          <w:rFonts w:ascii="Times New Roman" w:hAnsi="Times New Roman" w:eastAsia="楷体_GB2312" w:cs="Times New Roman"/>
        </w:rPr>
      </w:pPr>
      <w:bookmarkStart w:id="41" w:name="_Toc99381161"/>
      <w:r>
        <w:rPr>
          <w:rFonts w:ascii="Times New Roman" w:hAnsi="Times New Roman" w:eastAsia="楷体_GB2312" w:cs="Times New Roman"/>
        </w:rPr>
        <w:t>（一）加强师德师风建设</w:t>
      </w:r>
      <w:bookmarkEnd w:id="41"/>
    </w:p>
    <w:p>
      <w:pPr>
        <w:spacing w:line="600" w:lineRule="exact"/>
        <w:ind w:firstLine="640" w:firstLineChars="200"/>
        <w:rPr>
          <w:rFonts w:ascii="Times New Roman" w:hAnsi="Times New Roman" w:eastAsia="仿宋_GB2312" w:cs="Times New Roman"/>
          <w:sz w:val="32"/>
          <w:szCs w:val="32"/>
        </w:rPr>
      </w:pPr>
      <w:bookmarkStart w:id="42" w:name="_Toc459219637"/>
      <w:r>
        <w:rPr>
          <w:rFonts w:ascii="Times New Roman" w:hAnsi="Times New Roman" w:eastAsia="仿宋_GB2312" w:cs="Times New Roman"/>
          <w:sz w:val="32"/>
          <w:szCs w:val="32"/>
        </w:rPr>
        <w:t>把师德建设摆在教师队伍建设的首位，健全教师职业道德教育、宣传、考核、监督与奖惩相结合的师德建设长效机制。把教师思想政治教育、职业理想教育、学术规范教育、法治教育以及心理健康教育融入职前培养、准入、职后培训和管理的全过程，全面提高师德水平。健全师德考核评价制度，将师德</w:t>
      </w:r>
      <w:r>
        <w:rPr>
          <w:rFonts w:hint="eastAsia" w:ascii="Times New Roman" w:hAnsi="Times New Roman" w:eastAsia="仿宋_GB2312" w:cs="Times New Roman"/>
          <w:sz w:val="32"/>
          <w:szCs w:val="32"/>
        </w:rPr>
        <w:t>师风</w:t>
      </w:r>
      <w:r>
        <w:rPr>
          <w:rFonts w:ascii="Times New Roman" w:hAnsi="Times New Roman" w:eastAsia="仿宋_GB2312" w:cs="Times New Roman"/>
          <w:sz w:val="32"/>
          <w:szCs w:val="32"/>
        </w:rPr>
        <w:t>作为</w:t>
      </w:r>
      <w:r>
        <w:rPr>
          <w:rFonts w:hint="eastAsia" w:ascii="Times New Roman" w:hAnsi="Times New Roman" w:eastAsia="仿宋_GB2312" w:cs="Times New Roman"/>
          <w:sz w:val="32"/>
          <w:szCs w:val="32"/>
        </w:rPr>
        <w:t>教师资格证</w:t>
      </w:r>
      <w:r>
        <w:rPr>
          <w:rFonts w:ascii="Times New Roman" w:hAnsi="Times New Roman" w:eastAsia="仿宋_GB2312" w:cs="Times New Roman"/>
          <w:sz w:val="32"/>
          <w:szCs w:val="32"/>
        </w:rPr>
        <w:t>定期注册、业绩考核、职称评审、岗位聘用、评优奖励的首要内容，实行师德</w:t>
      </w:r>
      <w:r>
        <w:rPr>
          <w:rFonts w:hint="eastAsia" w:ascii="Times New Roman" w:hAnsi="Times New Roman" w:eastAsia="仿宋_GB2312" w:cs="Times New Roman"/>
          <w:sz w:val="32"/>
          <w:szCs w:val="32"/>
        </w:rPr>
        <w:t>失范</w:t>
      </w:r>
      <w:r>
        <w:rPr>
          <w:rFonts w:ascii="Times New Roman" w:hAnsi="Times New Roman" w:eastAsia="仿宋_GB2312" w:cs="Times New Roman"/>
          <w:sz w:val="32"/>
          <w:szCs w:val="32"/>
        </w:rPr>
        <w:t>“一票否决制”，广泛接受学生、家长和社会的监督和评议。健全师德表彰激励制度，大力表彰师德模范和师德先进个人，弘扬高尚的师德师风。完善师德建设检查惩处机制，定期开展师德建设检查工作，及时发现和查处违反师德规范行为。加强学术道德与学术规范建设，健全学术不端行为监督和查处机制。严禁公办中小学校和在职中小学教师从事有偿补课。</w:t>
      </w:r>
    </w:p>
    <w:p>
      <w:pPr>
        <w:pStyle w:val="7"/>
        <w:keepNext w:val="0"/>
        <w:keepLines w:val="0"/>
        <w:spacing w:before="156" w:beforeLines="50" w:after="0" w:line="240" w:lineRule="auto"/>
        <w:ind w:firstLine="642" w:firstLineChars="200"/>
        <w:rPr>
          <w:rFonts w:ascii="Times New Roman" w:hAnsi="Times New Roman" w:eastAsia="楷体_GB2312" w:cs="Times New Roman"/>
        </w:rPr>
      </w:pPr>
      <w:bookmarkStart w:id="43" w:name="_Toc99381162"/>
      <w:r>
        <w:rPr>
          <w:rFonts w:ascii="Times New Roman" w:hAnsi="Times New Roman" w:eastAsia="楷体_GB2312" w:cs="Times New Roman"/>
        </w:rPr>
        <w:t>（二）提升教师专业水平</w:t>
      </w:r>
      <w:bookmarkEnd w:id="43"/>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支持阳泉师范高等专科学校发展，更多地招录乐教适教学生攻读师范专业。实施教师能力提升工程，推进“名师工作室”建设，建立健全名师、名校长及学科骨干</w:t>
      </w:r>
      <w:r>
        <w:rPr>
          <w:rFonts w:hint="eastAsia" w:ascii="Times New Roman" w:hAnsi="Times New Roman" w:eastAsia="仿宋_GB2312" w:cs="Times New Roman"/>
          <w:sz w:val="32"/>
          <w:szCs w:val="32"/>
        </w:rPr>
        <w:t>教师</w:t>
      </w:r>
      <w:r>
        <w:rPr>
          <w:rFonts w:ascii="Times New Roman" w:hAnsi="Times New Roman" w:eastAsia="仿宋_GB2312" w:cs="Times New Roman"/>
          <w:sz w:val="32"/>
          <w:szCs w:val="32"/>
        </w:rPr>
        <w:t>培训培养机制，推动教师终身学习和专业自主发展。提升教师学历培养层次，学前教育在大专及以上层次培养，小学教育在本科及以上培养，提</w:t>
      </w:r>
      <w:r>
        <w:rPr>
          <w:rFonts w:ascii="Times New Roman" w:hAnsi="Times New Roman" w:eastAsia="仿宋_GB2312" w:cs="Times New Roman"/>
          <w:color w:val="000000" w:themeColor="text1"/>
          <w:sz w:val="32"/>
          <w:szCs w:val="32"/>
          <w14:textFill>
            <w14:solidFill>
              <w14:schemeClr w14:val="tx1"/>
            </w14:solidFill>
          </w14:textFill>
        </w:rPr>
        <w:t>升</w:t>
      </w:r>
      <w:r>
        <w:rPr>
          <w:rFonts w:ascii="Times New Roman" w:hAnsi="Times New Roman" w:eastAsia="仿宋_GB2312" w:cs="Times New Roman"/>
          <w:sz w:val="32"/>
          <w:szCs w:val="32"/>
        </w:rPr>
        <w:t>高中</w:t>
      </w:r>
      <w:r>
        <w:rPr>
          <w:rFonts w:ascii="Times New Roman" w:hAnsi="Times New Roman" w:eastAsia="仿宋_GB2312" w:cs="Times New Roman"/>
          <w:color w:val="000000" w:themeColor="text1"/>
          <w:sz w:val="32"/>
          <w:szCs w:val="32"/>
          <w14:textFill>
            <w14:solidFill>
              <w14:schemeClr w14:val="tx1"/>
            </w14:solidFill>
          </w14:textFill>
        </w:rPr>
        <w:t>学</w:t>
      </w:r>
      <w:r>
        <w:rPr>
          <w:rFonts w:ascii="Times New Roman" w:hAnsi="Times New Roman" w:eastAsia="仿宋_GB2312" w:cs="Times New Roman"/>
          <w:sz w:val="32"/>
          <w:szCs w:val="32"/>
        </w:rPr>
        <w:t>段教师持有研究生学历比例。加大乡村教师培训力度，提高特殊教育教师的专业化水平。组建“阳泉市职业教育发展研究室”，加快建设职业教育“双师型”教师队伍，实施“职业院校教师素质提高计划”。深化高层次人才引进、青年拔尖人才培育、创新团队建设等项目，多渠道培养中青年学科带头人和高职院校专业带头人，着力打造高水平高等教育教师队伍。</w:t>
      </w:r>
    </w:p>
    <w:p>
      <w:pPr>
        <w:pStyle w:val="7"/>
        <w:keepNext w:val="0"/>
        <w:keepLines w:val="0"/>
        <w:spacing w:before="156" w:beforeLines="50" w:after="0"/>
        <w:ind w:firstLine="642" w:firstLineChars="200"/>
        <w:rPr>
          <w:rFonts w:ascii="Times New Roman" w:hAnsi="Times New Roman" w:eastAsia="楷体_GB2312" w:cs="Times New Roman"/>
        </w:rPr>
      </w:pPr>
      <w:bookmarkStart w:id="44" w:name="_Toc99381163"/>
      <w:r>
        <w:rPr>
          <w:rFonts w:ascii="Times New Roman" w:hAnsi="Times New Roman" w:eastAsia="楷体_GB2312" w:cs="Times New Roman"/>
        </w:rPr>
        <w:t>（三）创新教师管理模式</w:t>
      </w:r>
      <w:bookmarkEnd w:id="44"/>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全面实施教师资格考试和定期注册制度，形成能进能出的教师管理机制。</w:t>
      </w:r>
      <w:r>
        <w:rPr>
          <w:rFonts w:hint="eastAsia" w:ascii="Times New Roman" w:hAnsi="Times New Roman" w:eastAsia="仿宋_GB2312" w:cs="Times New Roman"/>
          <w:sz w:val="32"/>
          <w:szCs w:val="32"/>
        </w:rPr>
        <w:t>落实</w:t>
      </w:r>
      <w:r>
        <w:rPr>
          <w:rFonts w:ascii="Times New Roman" w:hAnsi="Times New Roman" w:eastAsia="仿宋_GB2312" w:cs="Times New Roman"/>
          <w:sz w:val="32"/>
          <w:szCs w:val="32"/>
        </w:rPr>
        <w:t>城乡统一的中小学教职工编制标准，依据生师比、班师比科学核定中小学编制，切实保证中小学教师“有编必补、退补相当”。深入实施义务教育教师“县管校聘”管理政策，推动县域内义务教育学校教师、校长交流轮岗制度化、常态化，重点落实校长、骨干教师交流，促进城乡教师资源配置一体化。继续推行中小学校长职级制改革，实施中小学“名校长培养工程”，推动校长</w:t>
      </w:r>
      <w:r>
        <w:rPr>
          <w:rFonts w:hint="eastAsia" w:ascii="Times New Roman" w:hAnsi="Times New Roman" w:eastAsia="仿宋_GB2312" w:cs="Times New Roman"/>
          <w:sz w:val="32"/>
          <w:szCs w:val="32"/>
        </w:rPr>
        <w:t>队伍</w:t>
      </w:r>
      <w:r>
        <w:rPr>
          <w:rFonts w:ascii="Times New Roman" w:hAnsi="Times New Roman" w:eastAsia="仿宋_GB2312" w:cs="Times New Roman"/>
          <w:sz w:val="32"/>
          <w:szCs w:val="32"/>
        </w:rPr>
        <w:t>专业化</w:t>
      </w:r>
      <w:r>
        <w:rPr>
          <w:rFonts w:hint="eastAsia" w:ascii="Times New Roman" w:hAnsi="Times New Roman" w:eastAsia="仿宋_GB2312" w:cs="Times New Roman"/>
          <w:sz w:val="32"/>
          <w:szCs w:val="32"/>
        </w:rPr>
        <w:t>发展</w:t>
      </w:r>
      <w:r>
        <w:rPr>
          <w:rFonts w:ascii="Times New Roman" w:hAnsi="Times New Roman" w:eastAsia="仿宋_GB2312" w:cs="Times New Roman"/>
          <w:sz w:val="32"/>
          <w:szCs w:val="32"/>
        </w:rPr>
        <w:t>。深化职业学校教师职称制度改革，建立体现技能水平和专业教学能力的职业学校教师考核评价制度。创新高校编制管理方式，探索推行编制备案制管理，建立生师比与岗位总量相结合的动态调整机制。</w:t>
      </w:r>
    </w:p>
    <w:p>
      <w:pPr>
        <w:pStyle w:val="7"/>
        <w:keepNext w:val="0"/>
        <w:keepLines w:val="0"/>
        <w:spacing w:before="156" w:beforeLines="50" w:after="0"/>
        <w:ind w:firstLine="642" w:firstLineChars="200"/>
        <w:rPr>
          <w:rFonts w:ascii="Times New Roman" w:hAnsi="Times New Roman" w:eastAsia="楷体_GB2312" w:cs="Times New Roman"/>
        </w:rPr>
      </w:pPr>
      <w:bookmarkStart w:id="45" w:name="_Toc99381164"/>
      <w:r>
        <w:rPr>
          <w:rFonts w:ascii="Times New Roman" w:hAnsi="Times New Roman" w:eastAsia="楷体_GB2312" w:cs="Times New Roman"/>
        </w:rPr>
        <w:t>（四）提高教师地位待遇</w:t>
      </w:r>
      <w:bookmarkEnd w:id="45"/>
    </w:p>
    <w:p>
      <w:pPr>
        <w:spacing w:line="600" w:lineRule="exact"/>
        <w:ind w:firstLine="640" w:firstLineChars="200"/>
        <w:rPr>
          <w:rFonts w:ascii="Times New Roman" w:hAnsi="Times New Roman" w:eastAsia="仿宋_GB2312" w:cs="Times New Roman"/>
          <w:color w:val="FF0000"/>
          <w:sz w:val="32"/>
          <w:szCs w:val="32"/>
          <w:shd w:val="pct10" w:color="auto" w:fill="FFFFFF"/>
        </w:rPr>
      </w:pPr>
      <w:r>
        <w:rPr>
          <w:rFonts w:ascii="Times New Roman" w:hAnsi="Times New Roman" w:eastAsia="仿宋_GB2312" w:cs="Times New Roman"/>
          <w:sz w:val="32"/>
          <w:szCs w:val="32"/>
        </w:rPr>
        <w:t>依法保障教师职业权利，维护教师职业尊严。实施幼儿园教师配备标准，逐步提高非在编幼儿教师工资待遇。</w:t>
      </w:r>
      <w:r>
        <w:rPr>
          <w:rFonts w:ascii="Times New Roman" w:hAnsi="Times New Roman" w:eastAsia="仿宋_GB2312" w:cs="Times New Roman"/>
          <w:color w:val="000000" w:themeColor="text1"/>
          <w:sz w:val="32"/>
          <w:szCs w:val="32"/>
          <w14:textFill>
            <w14:solidFill>
              <w14:schemeClr w14:val="tx1"/>
            </w14:solidFill>
          </w14:textFill>
        </w:rPr>
        <w:t>确保中小学教师工资收入随当地公务员工资收入同步调整的长效联动机制。</w:t>
      </w:r>
      <w:r>
        <w:rPr>
          <w:rFonts w:ascii="Times New Roman" w:hAnsi="Times New Roman" w:eastAsia="仿宋_GB2312" w:cs="Times New Roman"/>
          <w:sz w:val="32"/>
          <w:szCs w:val="32"/>
        </w:rPr>
        <w:t>落实中小学教师对标先进地区，完善教师绩效工资，探索按岗位、任务、业绩确定报酬公平合理的收入分配制度。给予学校在绩效工资、超课时津贴、师资培养奖励方面的自主权。健全统一的中小学教师职称制度体系，改革和完善教师聘用制度和岗位制度，实现教师职称评审和岗位聘用有机结合。落实乡村教师工资待遇、职称（职务）评聘、骨干教师评选倾斜政策，切实提高乡村教师的社会地位和待遇。</w:t>
      </w:r>
      <w:r>
        <w:rPr>
          <w:rFonts w:hint="eastAsia" w:ascii="Times New Roman" w:hAnsi="Times New Roman" w:eastAsia="仿宋_GB2312" w:cs="Times New Roman"/>
          <w:color w:val="000000" w:themeColor="text1"/>
          <w:sz w:val="32"/>
          <w:szCs w:val="32"/>
          <w14:textFill>
            <w14:solidFill>
              <w14:schemeClr w14:val="tx1"/>
            </w14:solidFill>
          </w14:textFill>
        </w:rPr>
        <w:t>扩大高职院校收入分配自主权，支持高职院校推进内部薪酬分配制度改革，在核定的绩效工资总量内自主确定收入分配办法。</w:t>
      </w:r>
      <w:r>
        <w:rPr>
          <w:rFonts w:hint="eastAsia" w:ascii="Times New Roman" w:hAnsi="Times New Roman" w:eastAsia="仿宋_GB2312" w:cs="Times New Roman"/>
          <w:sz w:val="32"/>
          <w:szCs w:val="32"/>
        </w:rPr>
        <w:t>开展中小学教师减负工作，建立教师减负长效机制，为教师安心从教创造良好环境。</w:t>
      </w:r>
      <w:r>
        <w:rPr>
          <w:rFonts w:ascii="Times New Roman" w:hAnsi="Times New Roman" w:eastAsia="仿宋_GB2312" w:cs="Times New Roman"/>
          <w:sz w:val="32"/>
          <w:szCs w:val="32"/>
        </w:rPr>
        <w:t>健全教师荣誉表彰体系，</w:t>
      </w:r>
      <w:r>
        <w:rPr>
          <w:rFonts w:hint="eastAsia" w:ascii="Times New Roman" w:hAnsi="Times New Roman" w:eastAsia="仿宋_GB2312" w:cs="Times New Roman"/>
          <w:sz w:val="32"/>
          <w:szCs w:val="32"/>
        </w:rPr>
        <w:t>定期开展教师表彰工作，</w:t>
      </w:r>
      <w:r>
        <w:rPr>
          <w:rFonts w:ascii="Times New Roman" w:hAnsi="Times New Roman" w:eastAsia="仿宋_GB2312" w:cs="Times New Roman"/>
          <w:sz w:val="32"/>
          <w:szCs w:val="32"/>
        </w:rPr>
        <w:t>充分利用各种媒体宣传优秀教师事迹，在全社会营造尊师重教的良好氛围。</w:t>
      </w:r>
    </w:p>
    <w:p>
      <w:pPr>
        <w:pStyle w:val="6"/>
        <w:keepNext w:val="0"/>
        <w:keepLines w:val="0"/>
        <w:spacing w:before="156" w:beforeLines="50" w:after="156" w:afterLines="50" w:line="240" w:lineRule="auto"/>
        <w:ind w:firstLine="640" w:firstLineChars="200"/>
        <w:rPr>
          <w:rFonts w:ascii="Times New Roman" w:hAnsi="Times New Roman" w:eastAsia="黑体" w:cs="Times New Roman"/>
          <w:b w:val="0"/>
          <w:sz w:val="32"/>
          <w:szCs w:val="32"/>
        </w:rPr>
      </w:pPr>
      <w:bookmarkStart w:id="46" w:name="_Toc99381165"/>
      <w:r>
        <w:rPr>
          <w:rFonts w:ascii="Times New Roman" w:hAnsi="Times New Roman" w:eastAsia="黑体" w:cs="Times New Roman"/>
          <w:b w:val="0"/>
          <w:sz w:val="32"/>
          <w:szCs w:val="32"/>
        </w:rPr>
        <w:t>九、推动智慧教育建设，夯实现代教育基础</w:t>
      </w:r>
      <w:bookmarkEnd w:id="46"/>
    </w:p>
    <w:bookmarkEnd w:id="42"/>
    <w:p>
      <w:pPr>
        <w:spacing w:line="600" w:lineRule="exact"/>
        <w:ind w:firstLine="640" w:firstLineChars="200"/>
        <w:rPr>
          <w:rFonts w:ascii="Times New Roman" w:hAnsi="Times New Roman" w:eastAsia="仿宋_GB2312" w:cs="Times New Roman"/>
          <w:sz w:val="32"/>
          <w:szCs w:val="32"/>
        </w:rPr>
      </w:pPr>
      <w:bookmarkStart w:id="47" w:name="_Toc459219625"/>
      <w:r>
        <w:rPr>
          <w:rFonts w:ascii="Times New Roman" w:hAnsi="Times New Roman" w:eastAsia="仿宋_GB2312" w:cs="Times New Roman"/>
          <w:sz w:val="32"/>
          <w:szCs w:val="32"/>
          <w:shd w:val="clear" w:color="auto" w:fill="FFFFFF"/>
        </w:rPr>
        <w:t>坚持信息技术与教育教学深度融合，</w:t>
      </w:r>
      <w:r>
        <w:rPr>
          <w:rFonts w:ascii="Times New Roman" w:hAnsi="Times New Roman" w:eastAsia="仿宋_GB2312" w:cs="Times New Roman"/>
          <w:sz w:val="32"/>
          <w:szCs w:val="32"/>
        </w:rPr>
        <w:t>以优质教育资源和信息化学习环境建设为基础，以智慧学习方式和教育模式创新为核心，全面提升现代教育信息化基础能力，</w:t>
      </w:r>
      <w:r>
        <w:rPr>
          <w:rFonts w:ascii="Times New Roman" w:hAnsi="Times New Roman" w:eastAsia="仿宋_GB2312" w:cs="Times New Roman"/>
          <w:sz w:val="32"/>
          <w:szCs w:val="32"/>
          <w:shd w:val="clear" w:color="auto" w:fill="FFFFFF"/>
        </w:rPr>
        <w:t>建设人人皆学、处处能学、时时可学的</w:t>
      </w:r>
      <w:r>
        <w:rPr>
          <w:rFonts w:ascii="Times New Roman" w:hAnsi="Times New Roman" w:eastAsia="仿宋_GB2312" w:cs="Times New Roman"/>
          <w:sz w:val="32"/>
          <w:szCs w:val="32"/>
        </w:rPr>
        <w:t>信息化学习环境。</w:t>
      </w:r>
    </w:p>
    <w:p>
      <w:pPr>
        <w:pStyle w:val="7"/>
        <w:keepNext w:val="0"/>
        <w:keepLines w:val="0"/>
        <w:spacing w:before="156" w:beforeLines="50" w:after="0"/>
        <w:ind w:firstLine="642" w:firstLineChars="200"/>
        <w:rPr>
          <w:rFonts w:ascii="Times New Roman" w:hAnsi="Times New Roman" w:eastAsia="楷体_GB2312" w:cs="Times New Roman"/>
        </w:rPr>
      </w:pPr>
      <w:bookmarkStart w:id="48" w:name="_Toc99381166"/>
      <w:r>
        <w:rPr>
          <w:rFonts w:ascii="Times New Roman" w:hAnsi="Times New Roman" w:eastAsia="楷体_GB2312" w:cs="Times New Roman"/>
        </w:rPr>
        <w:t>（一）加强信息化基础设施建设</w:t>
      </w:r>
      <w:bookmarkEnd w:id="48"/>
    </w:p>
    <w:p>
      <w:pPr>
        <w:spacing w:line="60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对接智慧城市</w:t>
      </w:r>
      <w:r>
        <w:rPr>
          <w:rFonts w:hint="eastAsia" w:ascii="Times New Roman" w:hAnsi="Times New Roman" w:eastAsia="仿宋_GB2312" w:cs="Times New Roman"/>
          <w:sz w:val="32"/>
        </w:rPr>
        <w:t>、数字政府的</w:t>
      </w:r>
      <w:r>
        <w:rPr>
          <w:rFonts w:ascii="Times New Roman" w:hAnsi="Times New Roman" w:eastAsia="仿宋_GB2312" w:cs="Times New Roman"/>
          <w:sz w:val="32"/>
        </w:rPr>
        <w:t>创建，加快智能教学、智能管理、智能服务的一体化“智慧教育平台”建设，构建</w:t>
      </w:r>
      <w:r>
        <w:rPr>
          <w:rFonts w:hint="eastAsia" w:ascii="Times New Roman" w:hAnsi="Times New Roman" w:eastAsia="仿宋_GB2312" w:cs="Times New Roman"/>
          <w:sz w:val="32"/>
        </w:rPr>
        <w:t>融合</w:t>
      </w:r>
      <w:r>
        <w:rPr>
          <w:rFonts w:ascii="Times New Roman" w:hAnsi="Times New Roman" w:eastAsia="仿宋_GB2312" w:cs="Times New Roman"/>
          <w:sz w:val="32"/>
        </w:rPr>
        <w:t>教育教学、教育管理、教育评价、生活服务的智能化应用环境。实施教育城域网IPV6改造，</w:t>
      </w:r>
      <w:r>
        <w:rPr>
          <w:rFonts w:hint="eastAsia" w:ascii="Times New Roman" w:hAnsi="Times New Roman" w:eastAsia="仿宋_GB2312" w:cs="Times New Roman"/>
          <w:sz w:val="32"/>
        </w:rPr>
        <w:t>加快推进5G网络进校园和无线校园网络建设，实现</w:t>
      </w:r>
      <w:r>
        <w:rPr>
          <w:rFonts w:ascii="Times New Roman" w:hAnsi="Times New Roman" w:eastAsia="仿宋_GB2312" w:cs="Times New Roman"/>
          <w:sz w:val="32"/>
        </w:rPr>
        <w:t>教育城域网和校园网络提速增效</w:t>
      </w:r>
      <w:r>
        <w:rPr>
          <w:rFonts w:hint="eastAsia" w:ascii="Times New Roman" w:hAnsi="Times New Roman" w:eastAsia="仿宋_GB2312" w:cs="Times New Roman"/>
          <w:color w:val="0000FF"/>
          <w:sz w:val="32"/>
        </w:rPr>
        <w:t>。</w:t>
      </w:r>
      <w:r>
        <w:rPr>
          <w:rFonts w:ascii="Times New Roman" w:hAnsi="Times New Roman" w:eastAsia="仿宋_GB2312" w:cs="Times New Roman"/>
          <w:sz w:val="32"/>
        </w:rPr>
        <w:t>全面加强各级各类学校数字校园建设，</w:t>
      </w:r>
      <w:r>
        <w:rPr>
          <w:rFonts w:hint="eastAsia" w:ascii="Times New Roman" w:hAnsi="Times New Roman" w:eastAsia="仿宋_GB2312" w:cs="Times New Roman"/>
          <w:sz w:val="32"/>
        </w:rPr>
        <w:t>提升中小学通用教室、学科专用教室、教学实验室装备水平，</w:t>
      </w:r>
      <w:r>
        <w:rPr>
          <w:rFonts w:hint="eastAsia" w:ascii="Times New Roman" w:hAnsi="Times New Roman" w:eastAsia="仿宋_GB2312" w:cs="Times New Roman"/>
          <w:color w:val="000000" w:themeColor="text1"/>
          <w:sz w:val="32"/>
          <w14:textFill>
            <w14:solidFill>
              <w14:schemeClr w14:val="tx1"/>
            </w14:solidFill>
          </w14:textFill>
        </w:rPr>
        <w:t>推进高等院校和职业学校虚实结合实验实训环境建设，</w:t>
      </w:r>
      <w:r>
        <w:rPr>
          <w:rFonts w:ascii="Times New Roman" w:hAnsi="Times New Roman" w:eastAsia="仿宋_GB2312" w:cs="Times New Roman"/>
          <w:sz w:val="32"/>
        </w:rPr>
        <w:t>打造全新的教育教学空间、创新创造空间、文化生活空间，提升学校空间的利用率。构建校园智能感知环境，</w:t>
      </w:r>
      <w:r>
        <w:rPr>
          <w:rFonts w:hint="eastAsia" w:ascii="Times New Roman" w:hAnsi="Times New Roman" w:eastAsia="仿宋_GB2312" w:cs="Times New Roman"/>
          <w:sz w:val="32"/>
        </w:rPr>
        <w:t>普及智能化网络学习空间和各类符合标准的学习终端，</w:t>
      </w:r>
      <w:r>
        <w:rPr>
          <w:rFonts w:ascii="Times New Roman" w:hAnsi="Times New Roman" w:eastAsia="仿宋_GB2312" w:cs="Times New Roman"/>
          <w:sz w:val="32"/>
        </w:rPr>
        <w:t>充分利用</w:t>
      </w:r>
      <w:r>
        <w:rPr>
          <w:rFonts w:ascii="Times New Roman" w:hAnsi="Times New Roman" w:eastAsia="仿宋_GB2312" w:cs="Times New Roman"/>
          <w:color w:val="000000" w:themeColor="text1"/>
          <w:sz w:val="32"/>
          <w14:textFill>
            <w14:solidFill>
              <w14:schemeClr w14:val="tx1"/>
            </w14:solidFill>
          </w14:textFill>
        </w:rPr>
        <w:t>现实物理空间和虚拟网络空间</w:t>
      </w:r>
      <w:r>
        <w:rPr>
          <w:rFonts w:hint="eastAsia" w:ascii="Times New Roman" w:hAnsi="Times New Roman" w:eastAsia="仿宋_GB2312" w:cs="Times New Roman"/>
          <w:sz w:val="32"/>
        </w:rPr>
        <w:t>，实现人工智能技术与学校教学、管理、服务的全面融合。</w:t>
      </w:r>
    </w:p>
    <w:p>
      <w:pPr>
        <w:pStyle w:val="7"/>
        <w:keepNext w:val="0"/>
        <w:keepLines w:val="0"/>
        <w:spacing w:before="156" w:beforeLines="50" w:after="0"/>
        <w:ind w:firstLine="642" w:firstLineChars="200"/>
        <w:rPr>
          <w:rFonts w:ascii="Times New Roman" w:hAnsi="Times New Roman" w:eastAsia="楷体_GB2312" w:cs="Times New Roman"/>
        </w:rPr>
      </w:pPr>
      <w:bookmarkStart w:id="49" w:name="_Toc99381167"/>
      <w:r>
        <w:rPr>
          <w:rFonts w:ascii="Times New Roman" w:hAnsi="Times New Roman" w:eastAsia="楷体_GB2312" w:cs="Times New Roman"/>
        </w:rPr>
        <w:t>（二）推动信息化教学深度融合</w:t>
      </w:r>
      <w:bookmarkEnd w:id="49"/>
    </w:p>
    <w:p>
      <w:pPr>
        <w:spacing w:line="600" w:lineRule="exact"/>
        <w:ind w:firstLine="640" w:firstLineChars="200"/>
        <w:rPr>
          <w:rFonts w:ascii="Times New Roman" w:hAnsi="Times New Roman" w:eastAsia="仿宋_GB2312" w:cs="Times New Roman"/>
          <w:sz w:val="32"/>
        </w:rPr>
      </w:pPr>
      <w:r>
        <w:rPr>
          <w:rFonts w:ascii="Times New Roman" w:hAnsi="Times New Roman" w:eastAsia="仿宋_GB2312" w:cs="Times New Roman"/>
          <w:kern w:val="0"/>
          <w:sz w:val="32"/>
          <w:szCs w:val="32"/>
          <w:lang w:val="zh-CN"/>
        </w:rPr>
        <w:t>加快教育信息化应用与变革，推动大数据、人工智能技术、虚拟现实技术、区块链技术等在教育教学中的融合创新应用。</w:t>
      </w:r>
      <w:r>
        <w:rPr>
          <w:rFonts w:ascii="Times New Roman" w:hAnsi="Times New Roman" w:eastAsia="仿宋_GB2312" w:cs="Times New Roman"/>
          <w:sz w:val="32"/>
        </w:rPr>
        <w:t>依托国家数字教育资源公共服务体系和阳泉市</w:t>
      </w:r>
      <w:r>
        <w:rPr>
          <w:rFonts w:hint="eastAsia" w:ascii="Times New Roman" w:hAnsi="Times New Roman" w:eastAsia="仿宋_GB2312" w:cs="Times New Roman"/>
          <w:sz w:val="32"/>
        </w:rPr>
        <w:t>智慧教育平台</w:t>
      </w:r>
      <w:r>
        <w:rPr>
          <w:rFonts w:ascii="Times New Roman" w:hAnsi="Times New Roman" w:eastAsia="仿宋_GB2312" w:cs="Times New Roman"/>
          <w:sz w:val="32"/>
        </w:rPr>
        <w:t>，建设面向中小学生的“学校网络课程中心”，实现优质在线教学资源普惠共享，促进规模化应用</w:t>
      </w:r>
      <w:r>
        <w:rPr>
          <w:rFonts w:hint="eastAsia" w:ascii="Times New Roman" w:hAnsi="Times New Roman" w:eastAsia="仿宋_GB2312" w:cs="Times New Roman"/>
          <w:sz w:val="32"/>
        </w:rPr>
        <w:t>。</w:t>
      </w:r>
      <w:r>
        <w:rPr>
          <w:rFonts w:ascii="Times New Roman" w:hAnsi="Times New Roman" w:eastAsia="仿宋_GB2312" w:cs="Times New Roman"/>
          <w:sz w:val="32"/>
        </w:rPr>
        <w:t>加强中小学教师现代教育技术应用能力培养，加快实现教师教育课程内容数字化和教育手段信息化，加快推进“网络学习空间”应用覆盖全体教师和适龄学生。</w:t>
      </w:r>
      <w:r>
        <w:rPr>
          <w:rFonts w:hint="eastAsia" w:ascii="Times New Roman" w:hAnsi="Times New Roman" w:eastAsia="仿宋_GB2312" w:cs="Times New Roman"/>
          <w:sz w:val="32"/>
        </w:rPr>
        <w:t>推动新技术与教育教学深度融合，</w:t>
      </w:r>
      <w:r>
        <w:rPr>
          <w:rFonts w:ascii="Times New Roman" w:hAnsi="Times New Roman" w:eastAsia="仿宋_GB2312" w:cs="Times New Roman"/>
          <w:sz w:val="32"/>
        </w:rPr>
        <w:t>鼓励中小学校探索移动学习、跨学科学习（STEAM）、项目式学习（PBL）等多种形式的创新教育。</w:t>
      </w:r>
      <w:r>
        <w:rPr>
          <w:rFonts w:hint="eastAsia" w:ascii="Times New Roman" w:hAnsi="Times New Roman" w:eastAsia="仿宋_GB2312" w:cs="Times New Roman"/>
          <w:sz w:val="32"/>
        </w:rPr>
        <w:t>积极发展基于线上线下的“混合式教学”、“翻转课堂”等教学模式,促进学生自主有效学习,构建新型师生关系。加强“专递课堂”、“名师课堂”和“名校网络课堂”应用。统筹管理和指导学校“综合实践活动课程”全面开设到位，鼓励学校</w:t>
      </w:r>
      <w:r>
        <w:rPr>
          <w:rFonts w:ascii="Times New Roman" w:hAnsi="Times New Roman" w:eastAsia="仿宋_GB2312" w:cs="Times New Roman"/>
          <w:sz w:val="32"/>
        </w:rPr>
        <w:t>开设创客教育课程、人工智能教育课程和实验项目，提高学生认知效率，激发学习内驱力，提高育人质量。</w:t>
      </w:r>
    </w:p>
    <w:p>
      <w:pPr>
        <w:pStyle w:val="7"/>
        <w:keepNext w:val="0"/>
        <w:keepLines w:val="0"/>
        <w:spacing w:before="156" w:beforeLines="50" w:after="0"/>
        <w:ind w:firstLine="642" w:firstLineChars="200"/>
        <w:rPr>
          <w:rFonts w:ascii="Times New Roman" w:hAnsi="Times New Roman" w:eastAsia="楷体_GB2312" w:cs="Times New Roman"/>
        </w:rPr>
      </w:pPr>
      <w:bookmarkStart w:id="50" w:name="_Toc99381168"/>
      <w:r>
        <w:rPr>
          <w:rFonts w:ascii="Times New Roman" w:hAnsi="Times New Roman" w:eastAsia="楷体_GB2312" w:cs="Times New Roman"/>
        </w:rPr>
        <w:t>（三）完善</w:t>
      </w:r>
      <w:r>
        <w:rPr>
          <w:rFonts w:hint="eastAsia" w:ascii="Times New Roman" w:hAnsi="Times New Roman" w:eastAsia="楷体_GB2312" w:cs="Times New Roman"/>
        </w:rPr>
        <w:t>智能</w:t>
      </w:r>
      <w:r>
        <w:rPr>
          <w:rFonts w:ascii="Times New Roman" w:hAnsi="Times New Roman" w:eastAsia="楷体_GB2312" w:cs="Times New Roman"/>
        </w:rPr>
        <w:t>化教育治理机制</w:t>
      </w:r>
      <w:bookmarkEnd w:id="50"/>
    </w:p>
    <w:p>
      <w:pPr>
        <w:spacing w:line="600" w:lineRule="exact"/>
        <w:ind w:firstLine="640" w:firstLineChars="200"/>
        <w:rPr>
          <w:rFonts w:ascii="Times New Roman" w:hAnsi="Times New Roman" w:eastAsia="仿宋_GB2312" w:cs="Times New Roman"/>
          <w:sz w:val="32"/>
        </w:rPr>
      </w:pPr>
      <w:r>
        <w:rPr>
          <w:rFonts w:ascii="Times New Roman" w:hAnsi="Times New Roman" w:eastAsia="仿宋_GB2312" w:cs="Times New Roman"/>
          <w:color w:val="000000" w:themeColor="text1"/>
          <w:sz w:val="32"/>
          <w14:textFill>
            <w14:solidFill>
              <w14:schemeClr w14:val="tx1"/>
            </w14:solidFill>
          </w14:textFill>
        </w:rPr>
        <w:t>以教育数据治理与服务体系建设为核心</w:t>
      </w:r>
      <w:r>
        <w:rPr>
          <w:rFonts w:hint="eastAsia" w:ascii="Times New Roman" w:hAnsi="Times New Roman" w:eastAsia="仿宋_GB2312" w:cs="Times New Roman"/>
          <w:color w:val="000000" w:themeColor="text1"/>
          <w:sz w:val="32"/>
          <w14:textFill>
            <w14:solidFill>
              <w14:schemeClr w14:val="tx1"/>
            </w14:solidFill>
          </w14:textFill>
        </w:rPr>
        <w:t>，</w:t>
      </w:r>
      <w:r>
        <w:rPr>
          <w:rFonts w:ascii="Times New Roman" w:hAnsi="Times New Roman" w:eastAsia="仿宋_GB2312" w:cs="Times New Roman"/>
          <w:sz w:val="32"/>
        </w:rPr>
        <w:t>创新教育数据资源管理机制，加快</w:t>
      </w:r>
      <w:r>
        <w:rPr>
          <w:rFonts w:hint="eastAsia" w:ascii="Times New Roman" w:hAnsi="Times New Roman" w:eastAsia="仿宋_GB2312" w:cs="Times New Roman"/>
          <w:sz w:val="32"/>
        </w:rPr>
        <w:t>教育</w:t>
      </w:r>
      <w:r>
        <w:rPr>
          <w:rFonts w:ascii="Times New Roman" w:hAnsi="Times New Roman" w:eastAsia="仿宋_GB2312" w:cs="Times New Roman"/>
          <w:sz w:val="32"/>
        </w:rPr>
        <w:t>管理流程</w:t>
      </w:r>
      <w:r>
        <w:rPr>
          <w:rFonts w:ascii="Times New Roman" w:hAnsi="Times New Roman" w:eastAsia="仿宋_GB2312" w:cs="Times New Roman"/>
          <w:color w:val="000000" w:themeColor="text1"/>
          <w:sz w:val="32"/>
          <w14:textFill>
            <w14:solidFill>
              <w14:schemeClr w14:val="tx1"/>
            </w14:solidFill>
          </w14:textFill>
        </w:rPr>
        <w:t>优化再造</w:t>
      </w:r>
      <w:r>
        <w:rPr>
          <w:rFonts w:hint="eastAsia" w:ascii="Times New Roman" w:hAnsi="Times New Roman" w:eastAsia="仿宋_GB2312" w:cs="Times New Roman"/>
          <w:color w:val="000000" w:themeColor="text1"/>
          <w:sz w:val="32"/>
          <w14:textFill>
            <w14:solidFill>
              <w14:schemeClr w14:val="tx1"/>
            </w14:solidFill>
          </w14:textFill>
        </w:rPr>
        <w:t>，</w:t>
      </w:r>
      <w:r>
        <w:rPr>
          <w:rFonts w:hint="eastAsia" w:ascii="Times New Roman" w:hAnsi="Times New Roman" w:eastAsia="仿宋_GB2312" w:cs="Times New Roman"/>
          <w:sz w:val="32"/>
        </w:rPr>
        <w:t>推进教育治理数字化转型</w:t>
      </w:r>
      <w:r>
        <w:rPr>
          <w:rFonts w:ascii="Times New Roman" w:hAnsi="Times New Roman" w:eastAsia="仿宋_GB2312" w:cs="Times New Roman"/>
          <w:sz w:val="32"/>
        </w:rPr>
        <w:t>，提升各级教育行政部门和学校管理过程精细化，提高教育管理和服务水平。探索利用智能技术感知、</w:t>
      </w:r>
      <w:r>
        <w:rPr>
          <w:rFonts w:hint="eastAsia" w:ascii="Times New Roman" w:hAnsi="Times New Roman" w:eastAsia="仿宋_GB2312" w:cs="Times New Roman"/>
          <w:sz w:val="32"/>
        </w:rPr>
        <w:t>采集、识别、跟踪、监测“教、学、管、服”全过程,利用智能技术建立多维、精准的学校、教师发展档案和学生成长档案,构建个性化的综合评价体系,</w:t>
      </w:r>
      <w:r>
        <w:rPr>
          <w:rFonts w:ascii="Times New Roman" w:hAnsi="Times New Roman" w:eastAsia="仿宋_GB2312" w:cs="Times New Roman"/>
          <w:sz w:val="32"/>
        </w:rPr>
        <w:t>构建大数据辅助的科学决策和教育治理机制，推动高效敏捷的教育管理决策，缩短教育决策响应周期。健全网络与信息安全责任机制，把网络安全教育纳入学校教育工作，学校基础设施与网络安全防护设施同步规划建设，全面规范校园APP的管理和使用，加强教育城域网管理，提升网络信息防护水平，保障教育信息健康发展。加强网络安全宣传，提高师生网络安全意识、实践能力和防护技能。</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560" w:lineRule="exact"/>
              <w:jc w:val="center"/>
              <w:rPr>
                <w:rFonts w:ascii="Times New Roman" w:hAnsi="Times New Roman" w:eastAsia="宋体" w:cs="Times New Roman"/>
                <w:b/>
                <w:bCs/>
                <w:sz w:val="28"/>
                <w:szCs w:val="28"/>
                <w:lang w:val="zh-CN"/>
              </w:rPr>
            </w:pPr>
            <w:r>
              <w:rPr>
                <w:rFonts w:ascii="Times New Roman" w:hAnsi="Times New Roman" w:eastAsia="宋体" w:cs="Times New Roman"/>
                <w:b/>
                <w:bCs/>
                <w:sz w:val="28"/>
                <w:szCs w:val="28"/>
                <w:lang w:val="zh-CN"/>
              </w:rPr>
              <w:t>专栏</w:t>
            </w:r>
            <w:r>
              <w:rPr>
                <w:rFonts w:hint="eastAsia" w:ascii="Times New Roman" w:hAnsi="Times New Roman" w:eastAsia="宋体" w:cs="Times New Roman"/>
                <w:b/>
                <w:bCs/>
                <w:sz w:val="28"/>
                <w:szCs w:val="28"/>
                <w:lang w:val="zh-CN"/>
              </w:rPr>
              <w:t>9</w:t>
            </w:r>
            <w:r>
              <w:rPr>
                <w:rFonts w:ascii="Times New Roman" w:hAnsi="Times New Roman" w:eastAsia="宋体" w:cs="Times New Roman"/>
                <w:b/>
                <w:bCs/>
                <w:sz w:val="28"/>
                <w:szCs w:val="28"/>
                <w:lang w:val="zh-CN"/>
              </w:rPr>
              <w:t xml:space="preserve">  智慧教育创新提升工程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8"/>
              <w:widowControl/>
              <w:wordWrap w:val="0"/>
              <w:adjustRightInd w:val="0"/>
              <w:snapToGrid w:val="0"/>
              <w:spacing w:before="0" w:beforeAutospacing="0" w:after="0" w:afterAutospacing="0" w:line="440" w:lineRule="exact"/>
              <w:ind w:firstLine="480" w:firstLineChars="200"/>
              <w:jc w:val="both"/>
              <w:rPr>
                <w:rFonts w:eastAsiaTheme="minorEastAsia"/>
              </w:rPr>
            </w:pPr>
            <w:r>
              <w:rPr>
                <w:rFonts w:hint="eastAsia" w:eastAsiaTheme="minorEastAsia"/>
                <w:kern w:val="2"/>
                <w:szCs w:val="24"/>
              </w:rPr>
              <w:t>以教育数据治理与服务体系建设为核心、实施“智慧教育平台”和“智慧校园”建设两项工程，开展信息技术与教育教学融合、资源供给模式、义务教育全学段学生综合素质评价三项创新行动和智慧教育环境、师生信息素养、教育治理能力三项提升行动，构建起适应新时代学生德、智、体、美、劳“五育并举”和学生发展核心素养培养的智慧教育环境，形成以创新人才培养为核心的智慧教育新生态。</w:t>
            </w:r>
            <w:r>
              <w:rPr>
                <w:rFonts w:eastAsiaTheme="minorEastAsia"/>
                <w:kern w:val="2"/>
                <w:szCs w:val="24"/>
              </w:rPr>
              <w:t>到“十四五”末，在所有高校、高中段学校和80%的义务教育段学校、60%的幼儿园建成智慧校园</w:t>
            </w:r>
            <w:r>
              <w:rPr>
                <w:rFonts w:hint="eastAsia" w:eastAsiaTheme="minorEastAsia"/>
                <w:kern w:val="2"/>
                <w:szCs w:val="24"/>
              </w:rPr>
              <w:t>，60%的学校实现校园无线全覆盖，30%的学校建成“学校网络课程中心”，100%的教师和80%学生网络学习空间得到有效应用，60%的教育业务管理实现“一网通办”。</w:t>
            </w:r>
          </w:p>
        </w:tc>
      </w:tr>
    </w:tbl>
    <w:p>
      <w:pPr>
        <w:pStyle w:val="6"/>
        <w:keepNext w:val="0"/>
        <w:keepLines w:val="0"/>
        <w:spacing w:before="156" w:beforeLines="50" w:after="156" w:afterLines="50" w:line="240" w:lineRule="auto"/>
        <w:ind w:firstLine="640" w:firstLineChars="200"/>
        <w:rPr>
          <w:rFonts w:ascii="Times New Roman" w:hAnsi="Times New Roman" w:eastAsia="黑体" w:cs="Times New Roman"/>
          <w:b w:val="0"/>
          <w:sz w:val="32"/>
          <w:szCs w:val="32"/>
        </w:rPr>
      </w:pPr>
      <w:bookmarkStart w:id="51" w:name="_Toc99381169"/>
      <w:r>
        <w:rPr>
          <w:rFonts w:ascii="Times New Roman" w:hAnsi="Times New Roman" w:eastAsia="黑体" w:cs="Times New Roman"/>
          <w:b w:val="0"/>
          <w:sz w:val="32"/>
          <w:szCs w:val="32"/>
        </w:rPr>
        <w:t>十、保障措施</w:t>
      </w:r>
      <w:bookmarkEnd w:id="51"/>
    </w:p>
    <w:p>
      <w:pPr>
        <w:pStyle w:val="7"/>
        <w:keepNext w:val="0"/>
        <w:keepLines w:val="0"/>
        <w:spacing w:before="156" w:beforeLines="50" w:after="0"/>
        <w:ind w:firstLine="642" w:firstLineChars="200"/>
        <w:rPr>
          <w:rFonts w:ascii="Times New Roman" w:hAnsi="Times New Roman" w:eastAsia="楷体_GB2312" w:cs="Times New Roman"/>
        </w:rPr>
      </w:pPr>
      <w:bookmarkStart w:id="52" w:name="_Toc74294140"/>
      <w:bookmarkStart w:id="53" w:name="_Toc99381170"/>
      <w:r>
        <w:rPr>
          <w:rFonts w:ascii="Times New Roman" w:hAnsi="Times New Roman" w:eastAsia="楷体_GB2312" w:cs="Times New Roman"/>
        </w:rPr>
        <w:t>（一）</w:t>
      </w:r>
      <w:bookmarkEnd w:id="52"/>
      <w:r>
        <w:rPr>
          <w:rFonts w:ascii="Times New Roman" w:hAnsi="Times New Roman" w:eastAsia="楷体_GB2312" w:cs="Times New Roman"/>
        </w:rPr>
        <w:t>全面推进依法治教</w:t>
      </w:r>
      <w:bookmarkEnd w:id="53"/>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定期清理、修订规范性文件，增强制度体系的一致性和规范性。</w:t>
      </w:r>
      <w:r>
        <w:rPr>
          <w:rFonts w:hint="eastAsia" w:ascii="Times New Roman" w:hAnsi="Times New Roman" w:eastAsia="仿宋_GB2312" w:cs="Times New Roman"/>
          <w:sz w:val="32"/>
          <w:szCs w:val="32"/>
        </w:rPr>
        <w:t>加强档案管理和保密工作，提升档案工作和保密工作规范化和法制化管理水平。</w:t>
      </w:r>
      <w:r>
        <w:rPr>
          <w:rFonts w:ascii="Times New Roman" w:hAnsi="Times New Roman" w:eastAsia="仿宋_GB2312" w:cs="Times New Roman"/>
          <w:sz w:val="32"/>
          <w:szCs w:val="32"/>
        </w:rPr>
        <w:t>推进教育行政综合执法，依法建立规范教育秩序的长效常态管理机制。加强法治宣传教育，制订并实施教育系统普法规划，向全社会广泛宣传各类教育法律法规。建立公众参与、专家论证、风险评估、合法性审查和集体讨论决定的重大决策程序，确保决策制度科学、程序正当、过程公开、责任明确。完善群众利益表达和建言献策平台，切实保障人民群众对教育的知情权、参与权、表达权和监督权。全面开展依法治校示范校创建活动和督导，增强学校厉行法治的积极性和主动性。</w:t>
      </w:r>
    </w:p>
    <w:p>
      <w:pPr>
        <w:pStyle w:val="7"/>
        <w:keepNext w:val="0"/>
        <w:keepLines w:val="0"/>
        <w:spacing w:before="156" w:beforeLines="50" w:after="0" w:line="240" w:lineRule="auto"/>
        <w:ind w:firstLine="642" w:firstLineChars="200"/>
        <w:rPr>
          <w:rFonts w:ascii="Times New Roman" w:hAnsi="Times New Roman" w:eastAsia="楷体_GB2312" w:cs="Times New Roman"/>
        </w:rPr>
      </w:pPr>
      <w:bookmarkStart w:id="54" w:name="_Toc99381171"/>
      <w:r>
        <w:rPr>
          <w:rFonts w:ascii="Times New Roman" w:hAnsi="Times New Roman" w:eastAsia="楷体_GB2312" w:cs="Times New Roman"/>
        </w:rPr>
        <w:t>（二）加大经费保障力度</w:t>
      </w:r>
      <w:bookmarkEnd w:id="54"/>
    </w:p>
    <w:p>
      <w:pPr>
        <w:spacing w:line="600" w:lineRule="exact"/>
        <w:ind w:firstLine="640" w:firstLineChars="200"/>
        <w:rPr>
          <w:rFonts w:ascii="Times New Roman" w:hAnsi="Times New Roman" w:eastAsia="仿宋_GB2312" w:cs="Times New Roman"/>
          <w:sz w:val="32"/>
          <w:szCs w:val="32"/>
        </w:rPr>
      </w:pPr>
      <w:bookmarkStart w:id="55" w:name="_Toc446410470"/>
      <w:bookmarkEnd w:id="55"/>
      <w:bookmarkStart w:id="56" w:name="_Toc446349243"/>
      <w:bookmarkEnd w:id="56"/>
      <w:r>
        <w:rPr>
          <w:rFonts w:ascii="Times New Roman" w:hAnsi="Times New Roman" w:eastAsia="仿宋_GB2312" w:cs="Times New Roman"/>
          <w:sz w:val="32"/>
          <w:szCs w:val="32"/>
        </w:rPr>
        <w:t>健全教育经费管理体制机制，突出提高教育质量、加强内涵建设、提升</w:t>
      </w:r>
      <w:r>
        <w:rPr>
          <w:rFonts w:ascii="Times New Roman" w:hAnsi="Times New Roman" w:eastAsia="仿宋_GB2312" w:cs="Times New Roman"/>
          <w:color w:val="000000" w:themeColor="text1"/>
          <w:sz w:val="32"/>
          <w:szCs w:val="32"/>
          <w14:textFill>
            <w14:solidFill>
              <w14:schemeClr w14:val="tx1"/>
            </w14:solidFill>
          </w14:textFill>
        </w:rPr>
        <w:t>育</w:t>
      </w:r>
      <w:r>
        <w:rPr>
          <w:rFonts w:ascii="Times New Roman" w:hAnsi="Times New Roman" w:eastAsia="仿宋_GB2312" w:cs="Times New Roman"/>
          <w:sz w:val="32"/>
          <w:szCs w:val="32"/>
        </w:rPr>
        <w:t>人发展能力等方面投入，确保教育投入总量与教育事业发展的实际需求相适应、教育投入结构与教育布局结构变化及教育发展规律相适应、经费使用效益与实现全市教育现代化目标需求相适应，进一步增强教育投入的精准度和有效性。完善各级各类教育投入保障机制，动态调整各级各类教育生均公用经费最低标准和生均财政拨款水平。切实做好确保一般公共预算教育支出逐年只增不减，确保按在校学生人数平均的一般公共预算教育支出逐年只增不减。进一步加强和规范教育收费管理，完善教育收费政策体系、制度体系、监管体系，提升教育收费治理能力。完善转移支付制度，增强市级教育经费统筹能力，增量经费主要向财力薄弱地区、薄弱学校、关键领域及重大项目倾斜。加强预算编制质量管理，全面实施预算绩效管理，建立覆盖教育经费投入使用管理全过程绩效管理机制，做好事前绩效评估，加强绩效目标管理，提升绩效评价质量，强化绩效评价结果应用，提高预算执行效率和经费使用效益。</w:t>
      </w:r>
      <w:r>
        <w:rPr>
          <w:rFonts w:hint="eastAsia" w:ascii="Times New Roman" w:hAnsi="Times New Roman" w:eastAsia="仿宋_GB2312" w:cs="Times New Roman"/>
          <w:color w:val="000000" w:themeColor="text1"/>
          <w:sz w:val="32"/>
          <w:szCs w:val="32"/>
          <w14:textFill>
            <w14:solidFill>
              <w14:schemeClr w14:val="tx1"/>
            </w14:solidFill>
          </w14:textFill>
        </w:rPr>
        <w:t>完善</w:t>
      </w:r>
      <w:r>
        <w:rPr>
          <w:rFonts w:ascii="Times New Roman" w:hAnsi="Times New Roman" w:eastAsia="仿宋_GB2312" w:cs="Times New Roman"/>
          <w:color w:val="000000" w:themeColor="text1"/>
          <w:sz w:val="32"/>
          <w:szCs w:val="32"/>
          <w14:textFill>
            <w14:solidFill>
              <w14:schemeClr w14:val="tx1"/>
            </w14:solidFill>
          </w14:textFill>
        </w:rPr>
        <w:t>教育内部审计工作机制，创新审计方法，丰富审计类型，强化审计结果运用。</w:t>
      </w:r>
    </w:p>
    <w:p>
      <w:pPr>
        <w:pStyle w:val="7"/>
        <w:keepNext w:val="0"/>
        <w:keepLines w:val="0"/>
        <w:spacing w:before="156" w:beforeLines="50" w:after="0" w:line="240" w:lineRule="auto"/>
        <w:ind w:firstLine="642" w:firstLineChars="200"/>
        <w:rPr>
          <w:rFonts w:ascii="Times New Roman" w:hAnsi="Times New Roman" w:eastAsia="楷体_GB2312" w:cs="Times New Roman"/>
        </w:rPr>
      </w:pPr>
      <w:bookmarkStart w:id="57" w:name="_Toc99381172"/>
      <w:r>
        <w:rPr>
          <w:rFonts w:ascii="Times New Roman" w:hAnsi="Times New Roman" w:eastAsia="楷体_GB2312" w:cs="Times New Roman"/>
        </w:rPr>
        <w:t>（三）维护教育系统安全</w:t>
      </w:r>
      <w:bookmarkEnd w:id="57"/>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立健全党委、政府统一领导，职能部门齐抓共管，社会各界协调联动的学校安全工作长效机制。牢牢把握意识形态工作的领导权、管理权和话语权，严格管理课堂、报告会、讲座、论坛以及校园网络等教育教学阵地，坚决抵制各类非法渗透。以平安校园建设为载体，推进校园安全能力建设，提升人防物防技防水平，构建校园安全管理防御体系，加强校园周边环境治安综合治理。完善校园安全管理制度和突发事件应急处理机制，优化各类突发事件应急预案，提升学生的安全素养和应对突发事件的能力，努力把不稳定不安全因素消除在萌芽状态。</w:t>
      </w:r>
    </w:p>
    <w:p>
      <w:pPr>
        <w:pStyle w:val="7"/>
        <w:keepNext w:val="0"/>
        <w:keepLines w:val="0"/>
        <w:spacing w:before="156" w:beforeLines="50" w:after="0" w:line="240" w:lineRule="auto"/>
        <w:ind w:firstLine="642" w:firstLineChars="200"/>
        <w:rPr>
          <w:rFonts w:ascii="Times New Roman" w:hAnsi="Times New Roman" w:eastAsia="楷体_GB2312" w:cs="Times New Roman"/>
        </w:rPr>
      </w:pPr>
      <w:bookmarkStart w:id="58" w:name="_Toc99381173"/>
      <w:r>
        <w:rPr>
          <w:rFonts w:ascii="Times New Roman" w:hAnsi="Times New Roman" w:eastAsia="楷体_GB2312" w:cs="Times New Roman"/>
        </w:rPr>
        <w:t>（四）着力推进组织实施</w:t>
      </w:r>
      <w:bookmarkEnd w:id="58"/>
    </w:p>
    <w:p>
      <w:pPr>
        <w:spacing w:line="600" w:lineRule="exact"/>
        <w:ind w:firstLine="640" w:firstLineChars="200"/>
        <w:rPr>
          <w:rFonts w:ascii="Times New Roman" w:hAnsi="Times New Roman" w:cs="Times New Roman"/>
        </w:rPr>
      </w:pPr>
      <w:r>
        <w:rPr>
          <w:rFonts w:ascii="Times New Roman" w:hAnsi="Times New Roman" w:eastAsia="仿宋_GB2312" w:cs="Times New Roman"/>
          <w:sz w:val="32"/>
          <w:szCs w:val="32"/>
        </w:rPr>
        <w:t>加强对规划实施的组织领导，成立</w:t>
      </w:r>
      <w:r>
        <w:rPr>
          <w:rFonts w:ascii="Times New Roman" w:hAnsi="Times New Roman" w:eastAsia="仿宋_GB2312" w:cs="Times New Roman"/>
          <w:color w:val="000000" w:themeColor="text1"/>
          <w:sz w:val="32"/>
          <w:szCs w:val="32"/>
          <w14:textFill>
            <w14:solidFill>
              <w14:schemeClr w14:val="tx1"/>
            </w14:solidFill>
          </w14:textFill>
        </w:rPr>
        <w:t xml:space="preserve"> “十四五”教育规划领导小组</w:t>
      </w:r>
      <w:r>
        <w:rPr>
          <w:rFonts w:ascii="Times New Roman" w:hAnsi="Times New Roman" w:eastAsia="仿宋_GB2312" w:cs="Times New Roman"/>
          <w:sz w:val="32"/>
          <w:szCs w:val="32"/>
        </w:rPr>
        <w:t>，健全各级党委、政府主要领导负总责，分管领导分工负责的责任体系，严格教育发展问责制，将规划实施情况纳入各级党委、政府特别是主要领导政绩考核范围。完善党委、政府定期专题研究教育工作制度和党政领导班子成员定点联系学校制度，提高教育决策科学化水平。加强规划与经济社会总体规划、国省教育规划的衔接，指导县（区）教育专项规划的实施。对规划提出的目标任务进行分解，制订时间表、路线图并向社会公布。鼓励和引导社会各界广泛参与规划实施，引导形成共同关心、支持参与教育发展与改革的局面。</w:t>
      </w:r>
    </w:p>
    <w:p>
      <w:pPr>
        <w:pStyle w:val="7"/>
        <w:keepNext w:val="0"/>
        <w:keepLines w:val="0"/>
        <w:spacing w:before="156" w:beforeLines="50" w:after="0" w:line="240" w:lineRule="auto"/>
        <w:ind w:firstLine="642" w:firstLineChars="200"/>
        <w:rPr>
          <w:rFonts w:ascii="Times New Roman" w:hAnsi="Times New Roman" w:eastAsia="楷体_GB2312" w:cs="Times New Roman"/>
        </w:rPr>
      </w:pPr>
      <w:bookmarkStart w:id="59" w:name="_Toc99381174"/>
      <w:r>
        <w:rPr>
          <w:rFonts w:ascii="Times New Roman" w:hAnsi="Times New Roman" w:eastAsia="楷体_GB2312" w:cs="Times New Roman"/>
        </w:rPr>
        <w:t>（五）强化监督考核评价</w:t>
      </w:r>
      <w:bookmarkEnd w:id="59"/>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加强规划实施的事中事后监管。市政府定期向同级人民代表大会或其常务委员会报告教育规划执行情况和教育经费预算决算情况，并充分听取政协及民主党派的意见和建议。对地方落实本领域任务的监督检查和考核评价，加强对规划实施情况的跟踪监测、中期评估和终期总结，健全规划动态调整和修订机制，注重监测考核结果应用。主动接受学生家长、社会、媒体参与规划实施的监督，将社会各界对规划实施的评价作为重要的评估依据。</w:t>
      </w:r>
      <w:bookmarkEnd w:id="47"/>
    </w:p>
    <w:sectPr>
      <w:footerReference r:id="rId7" w:type="default"/>
      <w:pgSz w:w="11906" w:h="16838"/>
      <w:pgMar w:top="1871" w:right="1701" w:bottom="1701" w:left="170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NEU-BZ">
    <w:altName w:val="方正细黑一_GBK"/>
    <w:panose1 w:val="00000000000000000000"/>
    <w:charset w:val="86"/>
    <w:family w:val="script"/>
    <w:pitch w:val="default"/>
    <w:sig w:usb0="00000000" w:usb1="00000000" w:usb2="000A005E" w:usb3="00000000" w:csb0="003C0041" w:csb1="00000000"/>
  </w:font>
  <w:font w:name="楷体_GB2312">
    <w:altName w:val="方正楷体_GBK"/>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1014854"/>
      <w:docPartObj>
        <w:docPartGallery w:val="AutoText"/>
      </w:docPartObj>
    </w:sdtPr>
    <w:sdtContent>
      <w:p>
        <w:pPr>
          <w:pStyle w:val="14"/>
          <w:jc w:val="center"/>
        </w:pPr>
      </w:p>
    </w:sdtContent>
  </w:sdt>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572191"/>
      <w:docPartObj>
        <w:docPartGallery w:val="AutoText"/>
      </w:docPartObj>
    </w:sdtPr>
    <w:sdtContent>
      <w:p>
        <w:pPr>
          <w:pStyle w:val="14"/>
          <w:jc w:val="center"/>
        </w:pPr>
        <w:r>
          <w:fldChar w:fldCharType="begin"/>
        </w:r>
        <w:r>
          <w:instrText xml:space="preserve">PAGE   \* MERGEFORMAT</w:instrText>
        </w:r>
        <w:r>
          <w:fldChar w:fldCharType="separate"/>
        </w:r>
        <w:r>
          <w:rPr>
            <w:lang w:val="zh-CN"/>
          </w:rPr>
          <w:t>5</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F9B8D"/>
    <w:multiLevelType w:val="singleLevel"/>
    <w:tmpl w:val="95AF9B8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F82"/>
    <w:rsid w:val="000011FD"/>
    <w:rsid w:val="000030BA"/>
    <w:rsid w:val="0000366A"/>
    <w:rsid w:val="00003B99"/>
    <w:rsid w:val="00005426"/>
    <w:rsid w:val="000121A0"/>
    <w:rsid w:val="00013B31"/>
    <w:rsid w:val="000157B6"/>
    <w:rsid w:val="00015CDF"/>
    <w:rsid w:val="00016D6C"/>
    <w:rsid w:val="00021B7E"/>
    <w:rsid w:val="000226B7"/>
    <w:rsid w:val="00022FC8"/>
    <w:rsid w:val="00025140"/>
    <w:rsid w:val="00033C05"/>
    <w:rsid w:val="000375AD"/>
    <w:rsid w:val="000416F0"/>
    <w:rsid w:val="000441B6"/>
    <w:rsid w:val="000511DE"/>
    <w:rsid w:val="00052A62"/>
    <w:rsid w:val="0005409C"/>
    <w:rsid w:val="000630BE"/>
    <w:rsid w:val="00064800"/>
    <w:rsid w:val="00065E3E"/>
    <w:rsid w:val="0007556B"/>
    <w:rsid w:val="00076400"/>
    <w:rsid w:val="000848DA"/>
    <w:rsid w:val="0008623E"/>
    <w:rsid w:val="000879F1"/>
    <w:rsid w:val="000907D0"/>
    <w:rsid w:val="00091605"/>
    <w:rsid w:val="00091C34"/>
    <w:rsid w:val="00094991"/>
    <w:rsid w:val="00096760"/>
    <w:rsid w:val="00097AA5"/>
    <w:rsid w:val="000A7313"/>
    <w:rsid w:val="000B5D32"/>
    <w:rsid w:val="000C2C06"/>
    <w:rsid w:val="000C554A"/>
    <w:rsid w:val="000C6852"/>
    <w:rsid w:val="000D1671"/>
    <w:rsid w:val="000D2001"/>
    <w:rsid w:val="000D2E60"/>
    <w:rsid w:val="000D79EA"/>
    <w:rsid w:val="000E2E62"/>
    <w:rsid w:val="000E688F"/>
    <w:rsid w:val="000F2E4F"/>
    <w:rsid w:val="000F6214"/>
    <w:rsid w:val="001013BC"/>
    <w:rsid w:val="00102145"/>
    <w:rsid w:val="00103C0E"/>
    <w:rsid w:val="00104897"/>
    <w:rsid w:val="001055FD"/>
    <w:rsid w:val="001063AF"/>
    <w:rsid w:val="00106596"/>
    <w:rsid w:val="00107BA9"/>
    <w:rsid w:val="00111856"/>
    <w:rsid w:val="00114107"/>
    <w:rsid w:val="001149DC"/>
    <w:rsid w:val="00114B7A"/>
    <w:rsid w:val="0011599E"/>
    <w:rsid w:val="00122FFD"/>
    <w:rsid w:val="00123EE0"/>
    <w:rsid w:val="00124DF9"/>
    <w:rsid w:val="001334D2"/>
    <w:rsid w:val="00134749"/>
    <w:rsid w:val="00140AA6"/>
    <w:rsid w:val="001421AE"/>
    <w:rsid w:val="00144C43"/>
    <w:rsid w:val="0014605B"/>
    <w:rsid w:val="00150BAF"/>
    <w:rsid w:val="00154BC1"/>
    <w:rsid w:val="00155F70"/>
    <w:rsid w:val="00161E7E"/>
    <w:rsid w:val="00163491"/>
    <w:rsid w:val="00175FB4"/>
    <w:rsid w:val="001779EC"/>
    <w:rsid w:val="0018204A"/>
    <w:rsid w:val="00184D0C"/>
    <w:rsid w:val="0018537B"/>
    <w:rsid w:val="00187C01"/>
    <w:rsid w:val="001911F6"/>
    <w:rsid w:val="001970C6"/>
    <w:rsid w:val="001A0EFB"/>
    <w:rsid w:val="001A1E49"/>
    <w:rsid w:val="001A23D7"/>
    <w:rsid w:val="001A259C"/>
    <w:rsid w:val="001A3668"/>
    <w:rsid w:val="001A3D03"/>
    <w:rsid w:val="001A692C"/>
    <w:rsid w:val="001A746E"/>
    <w:rsid w:val="001B31E8"/>
    <w:rsid w:val="001B4398"/>
    <w:rsid w:val="001B4A37"/>
    <w:rsid w:val="001B543A"/>
    <w:rsid w:val="001B5490"/>
    <w:rsid w:val="001B6611"/>
    <w:rsid w:val="001C095A"/>
    <w:rsid w:val="001C20B7"/>
    <w:rsid w:val="001C5C1C"/>
    <w:rsid w:val="001D1286"/>
    <w:rsid w:val="001D2C31"/>
    <w:rsid w:val="001D69E6"/>
    <w:rsid w:val="001E4DB1"/>
    <w:rsid w:val="001E518A"/>
    <w:rsid w:val="001E7717"/>
    <w:rsid w:val="001F2150"/>
    <w:rsid w:val="001F40A5"/>
    <w:rsid w:val="001F7F82"/>
    <w:rsid w:val="00201F99"/>
    <w:rsid w:val="00202C60"/>
    <w:rsid w:val="0022064D"/>
    <w:rsid w:val="00223F04"/>
    <w:rsid w:val="00224D9E"/>
    <w:rsid w:val="00227CDE"/>
    <w:rsid w:val="00242BEC"/>
    <w:rsid w:val="00243CEB"/>
    <w:rsid w:val="0025077E"/>
    <w:rsid w:val="00253B86"/>
    <w:rsid w:val="0025512D"/>
    <w:rsid w:val="002601C3"/>
    <w:rsid w:val="00264F5B"/>
    <w:rsid w:val="00272BF9"/>
    <w:rsid w:val="002754AA"/>
    <w:rsid w:val="00282352"/>
    <w:rsid w:val="00283333"/>
    <w:rsid w:val="00283921"/>
    <w:rsid w:val="0028547F"/>
    <w:rsid w:val="00287EC8"/>
    <w:rsid w:val="002936DB"/>
    <w:rsid w:val="00294B8C"/>
    <w:rsid w:val="0029581A"/>
    <w:rsid w:val="002A2631"/>
    <w:rsid w:val="002A3D1C"/>
    <w:rsid w:val="002B0B9A"/>
    <w:rsid w:val="002B0C1A"/>
    <w:rsid w:val="002B0CD6"/>
    <w:rsid w:val="002B3EDD"/>
    <w:rsid w:val="002C1A71"/>
    <w:rsid w:val="002C40D5"/>
    <w:rsid w:val="002C4AFA"/>
    <w:rsid w:val="002D3512"/>
    <w:rsid w:val="002D6412"/>
    <w:rsid w:val="002D7A7B"/>
    <w:rsid w:val="002E0E58"/>
    <w:rsid w:val="002E203B"/>
    <w:rsid w:val="002E6442"/>
    <w:rsid w:val="002F3A24"/>
    <w:rsid w:val="002F6022"/>
    <w:rsid w:val="002F6382"/>
    <w:rsid w:val="002F63F7"/>
    <w:rsid w:val="002F6515"/>
    <w:rsid w:val="002F6526"/>
    <w:rsid w:val="00301271"/>
    <w:rsid w:val="00305485"/>
    <w:rsid w:val="00313FEF"/>
    <w:rsid w:val="003140AA"/>
    <w:rsid w:val="00315A61"/>
    <w:rsid w:val="00320E0E"/>
    <w:rsid w:val="00321927"/>
    <w:rsid w:val="003277CA"/>
    <w:rsid w:val="00327BCA"/>
    <w:rsid w:val="00331529"/>
    <w:rsid w:val="00334B08"/>
    <w:rsid w:val="00342F92"/>
    <w:rsid w:val="00353D39"/>
    <w:rsid w:val="0035626C"/>
    <w:rsid w:val="00360904"/>
    <w:rsid w:val="00362D64"/>
    <w:rsid w:val="003758DD"/>
    <w:rsid w:val="0038084A"/>
    <w:rsid w:val="00385239"/>
    <w:rsid w:val="00393704"/>
    <w:rsid w:val="00395DB0"/>
    <w:rsid w:val="00395E3D"/>
    <w:rsid w:val="003A6352"/>
    <w:rsid w:val="003A76AD"/>
    <w:rsid w:val="003B1951"/>
    <w:rsid w:val="003B2887"/>
    <w:rsid w:val="003B293E"/>
    <w:rsid w:val="003B50FC"/>
    <w:rsid w:val="003C0664"/>
    <w:rsid w:val="003C3316"/>
    <w:rsid w:val="003C4552"/>
    <w:rsid w:val="003C5A77"/>
    <w:rsid w:val="003D4A76"/>
    <w:rsid w:val="003D6274"/>
    <w:rsid w:val="003E6914"/>
    <w:rsid w:val="00404272"/>
    <w:rsid w:val="0041109F"/>
    <w:rsid w:val="004114D0"/>
    <w:rsid w:val="00412F34"/>
    <w:rsid w:val="00412F87"/>
    <w:rsid w:val="00416AB5"/>
    <w:rsid w:val="00416FA6"/>
    <w:rsid w:val="00420F02"/>
    <w:rsid w:val="00431809"/>
    <w:rsid w:val="004328A9"/>
    <w:rsid w:val="00436CE2"/>
    <w:rsid w:val="0044125D"/>
    <w:rsid w:val="00441672"/>
    <w:rsid w:val="00442722"/>
    <w:rsid w:val="00446A33"/>
    <w:rsid w:val="0045053E"/>
    <w:rsid w:val="00453670"/>
    <w:rsid w:val="0045666E"/>
    <w:rsid w:val="00461AA8"/>
    <w:rsid w:val="004721B9"/>
    <w:rsid w:val="004834A8"/>
    <w:rsid w:val="0048575F"/>
    <w:rsid w:val="00487A8C"/>
    <w:rsid w:val="00493C29"/>
    <w:rsid w:val="00495CEA"/>
    <w:rsid w:val="00496C8B"/>
    <w:rsid w:val="00497E8C"/>
    <w:rsid w:val="004A0516"/>
    <w:rsid w:val="004A0C01"/>
    <w:rsid w:val="004A4F34"/>
    <w:rsid w:val="004B023A"/>
    <w:rsid w:val="004B10D2"/>
    <w:rsid w:val="004B29BB"/>
    <w:rsid w:val="004B4195"/>
    <w:rsid w:val="004B583F"/>
    <w:rsid w:val="004C0E91"/>
    <w:rsid w:val="004C344E"/>
    <w:rsid w:val="004C3F3D"/>
    <w:rsid w:val="004C59A5"/>
    <w:rsid w:val="004C74CC"/>
    <w:rsid w:val="004E1211"/>
    <w:rsid w:val="004E1691"/>
    <w:rsid w:val="004E2EF4"/>
    <w:rsid w:val="004E60A9"/>
    <w:rsid w:val="004F26D2"/>
    <w:rsid w:val="004F3CDE"/>
    <w:rsid w:val="004F451B"/>
    <w:rsid w:val="004F50A2"/>
    <w:rsid w:val="004F53BF"/>
    <w:rsid w:val="004F6865"/>
    <w:rsid w:val="0050195D"/>
    <w:rsid w:val="00501C21"/>
    <w:rsid w:val="00502C66"/>
    <w:rsid w:val="00510D26"/>
    <w:rsid w:val="00513749"/>
    <w:rsid w:val="00516065"/>
    <w:rsid w:val="005167C9"/>
    <w:rsid w:val="0052151A"/>
    <w:rsid w:val="00522B6C"/>
    <w:rsid w:val="005243FF"/>
    <w:rsid w:val="00525C74"/>
    <w:rsid w:val="0052708D"/>
    <w:rsid w:val="00527207"/>
    <w:rsid w:val="00530DDF"/>
    <w:rsid w:val="005321B9"/>
    <w:rsid w:val="005324F7"/>
    <w:rsid w:val="0053517A"/>
    <w:rsid w:val="005401B8"/>
    <w:rsid w:val="00543496"/>
    <w:rsid w:val="00543DDD"/>
    <w:rsid w:val="00556CBF"/>
    <w:rsid w:val="00563071"/>
    <w:rsid w:val="00563A12"/>
    <w:rsid w:val="00566F73"/>
    <w:rsid w:val="00567C79"/>
    <w:rsid w:val="0057470F"/>
    <w:rsid w:val="00575BA7"/>
    <w:rsid w:val="00582104"/>
    <w:rsid w:val="00582BA8"/>
    <w:rsid w:val="00584E46"/>
    <w:rsid w:val="00591530"/>
    <w:rsid w:val="00594D49"/>
    <w:rsid w:val="00596BDC"/>
    <w:rsid w:val="00596D02"/>
    <w:rsid w:val="005A16F4"/>
    <w:rsid w:val="005A2499"/>
    <w:rsid w:val="005B6769"/>
    <w:rsid w:val="005B6CB3"/>
    <w:rsid w:val="005B6F98"/>
    <w:rsid w:val="005C088C"/>
    <w:rsid w:val="005C4221"/>
    <w:rsid w:val="005D335A"/>
    <w:rsid w:val="005D34C1"/>
    <w:rsid w:val="005D4C24"/>
    <w:rsid w:val="005D69A0"/>
    <w:rsid w:val="005E268E"/>
    <w:rsid w:val="005F530E"/>
    <w:rsid w:val="005F6E98"/>
    <w:rsid w:val="005F6F79"/>
    <w:rsid w:val="00600A06"/>
    <w:rsid w:val="00601F9A"/>
    <w:rsid w:val="006029BA"/>
    <w:rsid w:val="00602A16"/>
    <w:rsid w:val="00605839"/>
    <w:rsid w:val="00606232"/>
    <w:rsid w:val="006064FE"/>
    <w:rsid w:val="00614A1A"/>
    <w:rsid w:val="00615370"/>
    <w:rsid w:val="00616652"/>
    <w:rsid w:val="0061677E"/>
    <w:rsid w:val="00622446"/>
    <w:rsid w:val="00622C27"/>
    <w:rsid w:val="006245B3"/>
    <w:rsid w:val="00626147"/>
    <w:rsid w:val="00630622"/>
    <w:rsid w:val="00631817"/>
    <w:rsid w:val="0063382B"/>
    <w:rsid w:val="0063468C"/>
    <w:rsid w:val="00637B60"/>
    <w:rsid w:val="0064229A"/>
    <w:rsid w:val="006423DE"/>
    <w:rsid w:val="00644749"/>
    <w:rsid w:val="00646095"/>
    <w:rsid w:val="00652253"/>
    <w:rsid w:val="00663828"/>
    <w:rsid w:val="006720C9"/>
    <w:rsid w:val="00682445"/>
    <w:rsid w:val="006855B8"/>
    <w:rsid w:val="00690902"/>
    <w:rsid w:val="0069682E"/>
    <w:rsid w:val="006A54BD"/>
    <w:rsid w:val="006A5961"/>
    <w:rsid w:val="006A7B92"/>
    <w:rsid w:val="006B01E4"/>
    <w:rsid w:val="006B0FE1"/>
    <w:rsid w:val="006B4635"/>
    <w:rsid w:val="006B47E8"/>
    <w:rsid w:val="006B4A41"/>
    <w:rsid w:val="006B67FB"/>
    <w:rsid w:val="006C2440"/>
    <w:rsid w:val="006C4A72"/>
    <w:rsid w:val="006C738C"/>
    <w:rsid w:val="006D471C"/>
    <w:rsid w:val="006D5161"/>
    <w:rsid w:val="006D7B3B"/>
    <w:rsid w:val="006E10F3"/>
    <w:rsid w:val="006F17AB"/>
    <w:rsid w:val="007028DC"/>
    <w:rsid w:val="00702F4A"/>
    <w:rsid w:val="00702FCE"/>
    <w:rsid w:val="007074D5"/>
    <w:rsid w:val="00711462"/>
    <w:rsid w:val="00717067"/>
    <w:rsid w:val="007175C2"/>
    <w:rsid w:val="00717844"/>
    <w:rsid w:val="00723ACF"/>
    <w:rsid w:val="00724EC2"/>
    <w:rsid w:val="00726763"/>
    <w:rsid w:val="00730EDD"/>
    <w:rsid w:val="0073179D"/>
    <w:rsid w:val="00737074"/>
    <w:rsid w:val="007411A3"/>
    <w:rsid w:val="0074240B"/>
    <w:rsid w:val="0074576C"/>
    <w:rsid w:val="00746C04"/>
    <w:rsid w:val="00752D3C"/>
    <w:rsid w:val="0076013F"/>
    <w:rsid w:val="00763F7C"/>
    <w:rsid w:val="007658A3"/>
    <w:rsid w:val="00766B2B"/>
    <w:rsid w:val="00773B59"/>
    <w:rsid w:val="0077632A"/>
    <w:rsid w:val="00784B0E"/>
    <w:rsid w:val="00784C25"/>
    <w:rsid w:val="0078645E"/>
    <w:rsid w:val="007865B2"/>
    <w:rsid w:val="00790870"/>
    <w:rsid w:val="007908FA"/>
    <w:rsid w:val="00790943"/>
    <w:rsid w:val="00791027"/>
    <w:rsid w:val="007920EC"/>
    <w:rsid w:val="0079388D"/>
    <w:rsid w:val="007A3B31"/>
    <w:rsid w:val="007A3CF9"/>
    <w:rsid w:val="007A7B25"/>
    <w:rsid w:val="007B0614"/>
    <w:rsid w:val="007B3C74"/>
    <w:rsid w:val="007B409A"/>
    <w:rsid w:val="007B7072"/>
    <w:rsid w:val="007B74F6"/>
    <w:rsid w:val="007C0E07"/>
    <w:rsid w:val="007D5140"/>
    <w:rsid w:val="007D77AF"/>
    <w:rsid w:val="007E5342"/>
    <w:rsid w:val="007E54E0"/>
    <w:rsid w:val="007F0200"/>
    <w:rsid w:val="007F4CC8"/>
    <w:rsid w:val="007F5E8E"/>
    <w:rsid w:val="007F6EF0"/>
    <w:rsid w:val="007F7D83"/>
    <w:rsid w:val="008008AA"/>
    <w:rsid w:val="00802601"/>
    <w:rsid w:val="00805505"/>
    <w:rsid w:val="00813C46"/>
    <w:rsid w:val="008167D4"/>
    <w:rsid w:val="00820462"/>
    <w:rsid w:val="00822162"/>
    <w:rsid w:val="00824B18"/>
    <w:rsid w:val="00825A41"/>
    <w:rsid w:val="00827091"/>
    <w:rsid w:val="008272E1"/>
    <w:rsid w:val="00827C3A"/>
    <w:rsid w:val="00830633"/>
    <w:rsid w:val="00834160"/>
    <w:rsid w:val="0084291C"/>
    <w:rsid w:val="0084787D"/>
    <w:rsid w:val="00850F17"/>
    <w:rsid w:val="0085180E"/>
    <w:rsid w:val="00854597"/>
    <w:rsid w:val="00860E7E"/>
    <w:rsid w:val="00860EF8"/>
    <w:rsid w:val="0086428B"/>
    <w:rsid w:val="00870FCE"/>
    <w:rsid w:val="00871FE2"/>
    <w:rsid w:val="008730CF"/>
    <w:rsid w:val="0087462E"/>
    <w:rsid w:val="00877EFE"/>
    <w:rsid w:val="00884F43"/>
    <w:rsid w:val="00886CDE"/>
    <w:rsid w:val="00887C2F"/>
    <w:rsid w:val="00895AD5"/>
    <w:rsid w:val="00895F2C"/>
    <w:rsid w:val="008B1896"/>
    <w:rsid w:val="008B6219"/>
    <w:rsid w:val="008C0CA3"/>
    <w:rsid w:val="008C1289"/>
    <w:rsid w:val="008C55C3"/>
    <w:rsid w:val="008C5DB9"/>
    <w:rsid w:val="008D058B"/>
    <w:rsid w:val="008D1564"/>
    <w:rsid w:val="008D3F24"/>
    <w:rsid w:val="008D4C89"/>
    <w:rsid w:val="008D6D19"/>
    <w:rsid w:val="008E1948"/>
    <w:rsid w:val="008E3E04"/>
    <w:rsid w:val="008F4B90"/>
    <w:rsid w:val="008F5960"/>
    <w:rsid w:val="009012B2"/>
    <w:rsid w:val="00903527"/>
    <w:rsid w:val="00906B37"/>
    <w:rsid w:val="0091128D"/>
    <w:rsid w:val="009117DB"/>
    <w:rsid w:val="00920129"/>
    <w:rsid w:val="00922960"/>
    <w:rsid w:val="00923ACF"/>
    <w:rsid w:val="00931BD8"/>
    <w:rsid w:val="00933AC5"/>
    <w:rsid w:val="00934926"/>
    <w:rsid w:val="0093576D"/>
    <w:rsid w:val="00941481"/>
    <w:rsid w:val="00942F31"/>
    <w:rsid w:val="00945424"/>
    <w:rsid w:val="009454C7"/>
    <w:rsid w:val="00947DF5"/>
    <w:rsid w:val="00954049"/>
    <w:rsid w:val="00955A92"/>
    <w:rsid w:val="00956269"/>
    <w:rsid w:val="00957B29"/>
    <w:rsid w:val="00957E11"/>
    <w:rsid w:val="00965473"/>
    <w:rsid w:val="00967A60"/>
    <w:rsid w:val="0097183A"/>
    <w:rsid w:val="009722D3"/>
    <w:rsid w:val="00973607"/>
    <w:rsid w:val="009760E4"/>
    <w:rsid w:val="0098061D"/>
    <w:rsid w:val="00991A98"/>
    <w:rsid w:val="009928AA"/>
    <w:rsid w:val="009932D3"/>
    <w:rsid w:val="00993415"/>
    <w:rsid w:val="00993D5A"/>
    <w:rsid w:val="009A1BB1"/>
    <w:rsid w:val="009A226D"/>
    <w:rsid w:val="009A28E5"/>
    <w:rsid w:val="009B15FA"/>
    <w:rsid w:val="009B2719"/>
    <w:rsid w:val="009B45C8"/>
    <w:rsid w:val="009B6DD1"/>
    <w:rsid w:val="009B6EFE"/>
    <w:rsid w:val="009B71F1"/>
    <w:rsid w:val="009B76A4"/>
    <w:rsid w:val="009C2910"/>
    <w:rsid w:val="009C51C1"/>
    <w:rsid w:val="009D29F3"/>
    <w:rsid w:val="009D2B7E"/>
    <w:rsid w:val="009D329B"/>
    <w:rsid w:val="009D483E"/>
    <w:rsid w:val="009D5EE0"/>
    <w:rsid w:val="009D6410"/>
    <w:rsid w:val="009E5263"/>
    <w:rsid w:val="009F106E"/>
    <w:rsid w:val="009F1F26"/>
    <w:rsid w:val="009F2606"/>
    <w:rsid w:val="009F3126"/>
    <w:rsid w:val="00A05A2B"/>
    <w:rsid w:val="00A11076"/>
    <w:rsid w:val="00A11FA8"/>
    <w:rsid w:val="00A14DDB"/>
    <w:rsid w:val="00A20C01"/>
    <w:rsid w:val="00A218CD"/>
    <w:rsid w:val="00A226C2"/>
    <w:rsid w:val="00A27115"/>
    <w:rsid w:val="00A27E9D"/>
    <w:rsid w:val="00A3439E"/>
    <w:rsid w:val="00A34D5D"/>
    <w:rsid w:val="00A40B2F"/>
    <w:rsid w:val="00A47392"/>
    <w:rsid w:val="00A51F7C"/>
    <w:rsid w:val="00A522D3"/>
    <w:rsid w:val="00A541C3"/>
    <w:rsid w:val="00A57268"/>
    <w:rsid w:val="00A57C10"/>
    <w:rsid w:val="00A6057E"/>
    <w:rsid w:val="00A60C8E"/>
    <w:rsid w:val="00A616FD"/>
    <w:rsid w:val="00A72C58"/>
    <w:rsid w:val="00A75C4E"/>
    <w:rsid w:val="00A8240B"/>
    <w:rsid w:val="00A85707"/>
    <w:rsid w:val="00A86CC5"/>
    <w:rsid w:val="00A966AE"/>
    <w:rsid w:val="00AA4863"/>
    <w:rsid w:val="00AA54DD"/>
    <w:rsid w:val="00AB1239"/>
    <w:rsid w:val="00AB5B08"/>
    <w:rsid w:val="00AC6242"/>
    <w:rsid w:val="00AC6F2F"/>
    <w:rsid w:val="00AD0CB2"/>
    <w:rsid w:val="00AD602C"/>
    <w:rsid w:val="00AD6ECC"/>
    <w:rsid w:val="00AE1AC3"/>
    <w:rsid w:val="00AE25DB"/>
    <w:rsid w:val="00AE3BB3"/>
    <w:rsid w:val="00AE507E"/>
    <w:rsid w:val="00AF28A1"/>
    <w:rsid w:val="00B000C9"/>
    <w:rsid w:val="00B008F5"/>
    <w:rsid w:val="00B04723"/>
    <w:rsid w:val="00B06FA0"/>
    <w:rsid w:val="00B13C6E"/>
    <w:rsid w:val="00B2264F"/>
    <w:rsid w:val="00B22C54"/>
    <w:rsid w:val="00B33805"/>
    <w:rsid w:val="00B35B25"/>
    <w:rsid w:val="00B364A2"/>
    <w:rsid w:val="00B4220F"/>
    <w:rsid w:val="00B478C4"/>
    <w:rsid w:val="00B50B23"/>
    <w:rsid w:val="00B53C66"/>
    <w:rsid w:val="00B5549F"/>
    <w:rsid w:val="00B56EC6"/>
    <w:rsid w:val="00B60AEC"/>
    <w:rsid w:val="00B63EEF"/>
    <w:rsid w:val="00B656A7"/>
    <w:rsid w:val="00B7083E"/>
    <w:rsid w:val="00B711E3"/>
    <w:rsid w:val="00B71327"/>
    <w:rsid w:val="00B749ED"/>
    <w:rsid w:val="00B777FE"/>
    <w:rsid w:val="00B8351B"/>
    <w:rsid w:val="00B87691"/>
    <w:rsid w:val="00B87EFA"/>
    <w:rsid w:val="00B93202"/>
    <w:rsid w:val="00B95C8B"/>
    <w:rsid w:val="00BA62EC"/>
    <w:rsid w:val="00BA6DED"/>
    <w:rsid w:val="00BB26BB"/>
    <w:rsid w:val="00BB7C2B"/>
    <w:rsid w:val="00BB7E01"/>
    <w:rsid w:val="00BC2E61"/>
    <w:rsid w:val="00BC3E0C"/>
    <w:rsid w:val="00BC6B3E"/>
    <w:rsid w:val="00BD1348"/>
    <w:rsid w:val="00BD67D9"/>
    <w:rsid w:val="00BD7D25"/>
    <w:rsid w:val="00BE0C24"/>
    <w:rsid w:val="00BE342D"/>
    <w:rsid w:val="00BE3BAF"/>
    <w:rsid w:val="00BE44D0"/>
    <w:rsid w:val="00BF0E62"/>
    <w:rsid w:val="00BF1234"/>
    <w:rsid w:val="00BF1C2F"/>
    <w:rsid w:val="00BF3016"/>
    <w:rsid w:val="00BF4834"/>
    <w:rsid w:val="00BF69C5"/>
    <w:rsid w:val="00C04C4B"/>
    <w:rsid w:val="00C04C55"/>
    <w:rsid w:val="00C051A4"/>
    <w:rsid w:val="00C068AE"/>
    <w:rsid w:val="00C130BA"/>
    <w:rsid w:val="00C15E00"/>
    <w:rsid w:val="00C17796"/>
    <w:rsid w:val="00C24BEE"/>
    <w:rsid w:val="00C32837"/>
    <w:rsid w:val="00C34317"/>
    <w:rsid w:val="00C41121"/>
    <w:rsid w:val="00C41D24"/>
    <w:rsid w:val="00C426DE"/>
    <w:rsid w:val="00C51B8B"/>
    <w:rsid w:val="00C54A35"/>
    <w:rsid w:val="00C61BCB"/>
    <w:rsid w:val="00C64541"/>
    <w:rsid w:val="00C677F8"/>
    <w:rsid w:val="00C71AA4"/>
    <w:rsid w:val="00C750E7"/>
    <w:rsid w:val="00C7539C"/>
    <w:rsid w:val="00C823AF"/>
    <w:rsid w:val="00C8345E"/>
    <w:rsid w:val="00C85ADC"/>
    <w:rsid w:val="00C85FC1"/>
    <w:rsid w:val="00C86865"/>
    <w:rsid w:val="00C924B9"/>
    <w:rsid w:val="00C92541"/>
    <w:rsid w:val="00C95D70"/>
    <w:rsid w:val="00C97F8B"/>
    <w:rsid w:val="00CA01A1"/>
    <w:rsid w:val="00CA388E"/>
    <w:rsid w:val="00CA512F"/>
    <w:rsid w:val="00CA7361"/>
    <w:rsid w:val="00CC2595"/>
    <w:rsid w:val="00CC3268"/>
    <w:rsid w:val="00CC5A53"/>
    <w:rsid w:val="00CC6703"/>
    <w:rsid w:val="00CD45C5"/>
    <w:rsid w:val="00CD7B79"/>
    <w:rsid w:val="00CE15C8"/>
    <w:rsid w:val="00CE32F8"/>
    <w:rsid w:val="00CE5BBF"/>
    <w:rsid w:val="00CE65A2"/>
    <w:rsid w:val="00CE73B2"/>
    <w:rsid w:val="00CF1167"/>
    <w:rsid w:val="00CF3361"/>
    <w:rsid w:val="00CF4D4F"/>
    <w:rsid w:val="00CF51A8"/>
    <w:rsid w:val="00CF55C4"/>
    <w:rsid w:val="00CF5B91"/>
    <w:rsid w:val="00CF6299"/>
    <w:rsid w:val="00D01D91"/>
    <w:rsid w:val="00D03630"/>
    <w:rsid w:val="00D1039A"/>
    <w:rsid w:val="00D15187"/>
    <w:rsid w:val="00D17095"/>
    <w:rsid w:val="00D246F0"/>
    <w:rsid w:val="00D30289"/>
    <w:rsid w:val="00D30872"/>
    <w:rsid w:val="00D31F6E"/>
    <w:rsid w:val="00D33356"/>
    <w:rsid w:val="00D3416C"/>
    <w:rsid w:val="00D37718"/>
    <w:rsid w:val="00D37CE4"/>
    <w:rsid w:val="00D41C6A"/>
    <w:rsid w:val="00D42EF2"/>
    <w:rsid w:val="00D54C9E"/>
    <w:rsid w:val="00D5512A"/>
    <w:rsid w:val="00D554D9"/>
    <w:rsid w:val="00D60AA4"/>
    <w:rsid w:val="00D62957"/>
    <w:rsid w:val="00D668AF"/>
    <w:rsid w:val="00D71540"/>
    <w:rsid w:val="00D7260A"/>
    <w:rsid w:val="00D75709"/>
    <w:rsid w:val="00D7728D"/>
    <w:rsid w:val="00D802D0"/>
    <w:rsid w:val="00D90658"/>
    <w:rsid w:val="00D93CDE"/>
    <w:rsid w:val="00D93D99"/>
    <w:rsid w:val="00DA065B"/>
    <w:rsid w:val="00DA62B4"/>
    <w:rsid w:val="00DA6C38"/>
    <w:rsid w:val="00DA7533"/>
    <w:rsid w:val="00DA79B8"/>
    <w:rsid w:val="00DA7B5A"/>
    <w:rsid w:val="00DB1723"/>
    <w:rsid w:val="00DB1B91"/>
    <w:rsid w:val="00DB4CD1"/>
    <w:rsid w:val="00DB6093"/>
    <w:rsid w:val="00DD3202"/>
    <w:rsid w:val="00DD4A29"/>
    <w:rsid w:val="00DD7FF0"/>
    <w:rsid w:val="00DE2E4A"/>
    <w:rsid w:val="00DE3D50"/>
    <w:rsid w:val="00DE5252"/>
    <w:rsid w:val="00DF20BA"/>
    <w:rsid w:val="00DF2709"/>
    <w:rsid w:val="00DF4A66"/>
    <w:rsid w:val="00DF53AB"/>
    <w:rsid w:val="00DF6E3F"/>
    <w:rsid w:val="00E0285A"/>
    <w:rsid w:val="00E02EA0"/>
    <w:rsid w:val="00E03DF0"/>
    <w:rsid w:val="00E065C8"/>
    <w:rsid w:val="00E06A78"/>
    <w:rsid w:val="00E125EB"/>
    <w:rsid w:val="00E127FF"/>
    <w:rsid w:val="00E13E2D"/>
    <w:rsid w:val="00E165BA"/>
    <w:rsid w:val="00E166A6"/>
    <w:rsid w:val="00E16C2C"/>
    <w:rsid w:val="00E2136A"/>
    <w:rsid w:val="00E23FCF"/>
    <w:rsid w:val="00E25F4D"/>
    <w:rsid w:val="00E26B8F"/>
    <w:rsid w:val="00E26FE2"/>
    <w:rsid w:val="00E37626"/>
    <w:rsid w:val="00E40A2C"/>
    <w:rsid w:val="00E430DA"/>
    <w:rsid w:val="00E504E0"/>
    <w:rsid w:val="00E51BF1"/>
    <w:rsid w:val="00E54C5E"/>
    <w:rsid w:val="00E6729C"/>
    <w:rsid w:val="00E67681"/>
    <w:rsid w:val="00E67CBF"/>
    <w:rsid w:val="00E709E8"/>
    <w:rsid w:val="00E70DE1"/>
    <w:rsid w:val="00E77001"/>
    <w:rsid w:val="00E82BA1"/>
    <w:rsid w:val="00E91AC6"/>
    <w:rsid w:val="00EA323E"/>
    <w:rsid w:val="00EA3BED"/>
    <w:rsid w:val="00EA4C1D"/>
    <w:rsid w:val="00EA4D6E"/>
    <w:rsid w:val="00EA562C"/>
    <w:rsid w:val="00EA6D28"/>
    <w:rsid w:val="00EA756E"/>
    <w:rsid w:val="00EB16EF"/>
    <w:rsid w:val="00EB1A72"/>
    <w:rsid w:val="00EB63EF"/>
    <w:rsid w:val="00EB64CA"/>
    <w:rsid w:val="00EB7598"/>
    <w:rsid w:val="00EB7695"/>
    <w:rsid w:val="00EC064C"/>
    <w:rsid w:val="00EC42DD"/>
    <w:rsid w:val="00ED2B8D"/>
    <w:rsid w:val="00ED41AF"/>
    <w:rsid w:val="00EE05C4"/>
    <w:rsid w:val="00EE05F2"/>
    <w:rsid w:val="00EE1E26"/>
    <w:rsid w:val="00EE5BED"/>
    <w:rsid w:val="00EF14BC"/>
    <w:rsid w:val="00EF4509"/>
    <w:rsid w:val="00EF72E0"/>
    <w:rsid w:val="00F003AC"/>
    <w:rsid w:val="00F0087C"/>
    <w:rsid w:val="00F00AC9"/>
    <w:rsid w:val="00F02839"/>
    <w:rsid w:val="00F02E94"/>
    <w:rsid w:val="00F0454D"/>
    <w:rsid w:val="00F04C6B"/>
    <w:rsid w:val="00F05D47"/>
    <w:rsid w:val="00F076A1"/>
    <w:rsid w:val="00F07C92"/>
    <w:rsid w:val="00F13289"/>
    <w:rsid w:val="00F14EEF"/>
    <w:rsid w:val="00F178A4"/>
    <w:rsid w:val="00F21B35"/>
    <w:rsid w:val="00F22341"/>
    <w:rsid w:val="00F22DEB"/>
    <w:rsid w:val="00F25359"/>
    <w:rsid w:val="00F34F1B"/>
    <w:rsid w:val="00F37F78"/>
    <w:rsid w:val="00F406E2"/>
    <w:rsid w:val="00F41CA1"/>
    <w:rsid w:val="00F4257B"/>
    <w:rsid w:val="00F443F7"/>
    <w:rsid w:val="00F456CA"/>
    <w:rsid w:val="00F45767"/>
    <w:rsid w:val="00F519C8"/>
    <w:rsid w:val="00F51C6F"/>
    <w:rsid w:val="00F60E22"/>
    <w:rsid w:val="00F6110C"/>
    <w:rsid w:val="00F634E0"/>
    <w:rsid w:val="00F651EA"/>
    <w:rsid w:val="00F67B5A"/>
    <w:rsid w:val="00F7009B"/>
    <w:rsid w:val="00F72313"/>
    <w:rsid w:val="00F84988"/>
    <w:rsid w:val="00F90FBD"/>
    <w:rsid w:val="00F96C65"/>
    <w:rsid w:val="00F97B6E"/>
    <w:rsid w:val="00FA1C16"/>
    <w:rsid w:val="00FA3A76"/>
    <w:rsid w:val="00FA41D7"/>
    <w:rsid w:val="00FA4A45"/>
    <w:rsid w:val="00FA6334"/>
    <w:rsid w:val="00FB1DC0"/>
    <w:rsid w:val="00FB288D"/>
    <w:rsid w:val="00FB3370"/>
    <w:rsid w:val="00FB3EC0"/>
    <w:rsid w:val="00FC24AB"/>
    <w:rsid w:val="00FC2B0F"/>
    <w:rsid w:val="00FC32AD"/>
    <w:rsid w:val="00FC477E"/>
    <w:rsid w:val="00FD3AC0"/>
    <w:rsid w:val="00FD4C73"/>
    <w:rsid w:val="00FD5D3A"/>
    <w:rsid w:val="00FD6646"/>
    <w:rsid w:val="00FD6CD0"/>
    <w:rsid w:val="00FE0466"/>
    <w:rsid w:val="00FE1097"/>
    <w:rsid w:val="00FE5BD5"/>
    <w:rsid w:val="00FE689B"/>
    <w:rsid w:val="00FE740D"/>
    <w:rsid w:val="00FF259D"/>
    <w:rsid w:val="00FF2F97"/>
    <w:rsid w:val="00FF4D45"/>
    <w:rsid w:val="00FF656B"/>
    <w:rsid w:val="00FF775B"/>
    <w:rsid w:val="05951549"/>
    <w:rsid w:val="09F93B88"/>
    <w:rsid w:val="10551C08"/>
    <w:rsid w:val="13E710AF"/>
    <w:rsid w:val="15197FF3"/>
    <w:rsid w:val="170C7C30"/>
    <w:rsid w:val="17C67D94"/>
    <w:rsid w:val="21397305"/>
    <w:rsid w:val="24707C54"/>
    <w:rsid w:val="261F2E45"/>
    <w:rsid w:val="2DCF2C40"/>
    <w:rsid w:val="2FA300AC"/>
    <w:rsid w:val="3E592B48"/>
    <w:rsid w:val="3EDDC21E"/>
    <w:rsid w:val="43F67850"/>
    <w:rsid w:val="45AD4E96"/>
    <w:rsid w:val="4C58257F"/>
    <w:rsid w:val="5050322C"/>
    <w:rsid w:val="529F45F3"/>
    <w:rsid w:val="54AB5C5E"/>
    <w:rsid w:val="55B305CE"/>
    <w:rsid w:val="625B3A85"/>
    <w:rsid w:val="626E424A"/>
    <w:rsid w:val="65FA7F0C"/>
    <w:rsid w:val="67627AB2"/>
    <w:rsid w:val="72B437AF"/>
    <w:rsid w:val="7D0E65A8"/>
    <w:rsid w:val="7D9D14F7"/>
    <w:rsid w:val="7F4226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7">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8">
    <w:name w:val="heading 3"/>
    <w:basedOn w:val="1"/>
    <w:next w:val="1"/>
    <w:link w:val="28"/>
    <w:unhideWhenUsed/>
    <w:qFormat/>
    <w:uiPriority w:val="9"/>
    <w:pPr>
      <w:keepNext/>
      <w:keepLines/>
      <w:spacing w:before="260" w:after="260" w:line="416" w:lineRule="auto"/>
      <w:outlineLvl w:val="2"/>
    </w:pPr>
    <w:rPr>
      <w:b/>
      <w:bCs/>
      <w:sz w:val="32"/>
      <w:szCs w:val="32"/>
    </w:rPr>
  </w:style>
  <w:style w:type="paragraph" w:styleId="9">
    <w:name w:val="heading 4"/>
    <w:basedOn w:val="1"/>
    <w:next w:val="1"/>
    <w:link w:val="43"/>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link w:val="33"/>
    <w:qFormat/>
    <w:uiPriority w:val="0"/>
    <w:pPr>
      <w:spacing w:after="0"/>
      <w:ind w:firstLine="420"/>
    </w:pPr>
    <w:rPr>
      <w:rFonts w:ascii="Calibri" w:hAnsi="Calibri" w:eastAsia="宋体" w:cs="Times New Roman"/>
      <w:szCs w:val="24"/>
    </w:rPr>
  </w:style>
  <w:style w:type="paragraph" w:styleId="3">
    <w:name w:val="Body Text"/>
    <w:basedOn w:val="1"/>
    <w:next w:val="1"/>
    <w:link w:val="32"/>
    <w:unhideWhenUsed/>
    <w:qFormat/>
    <w:uiPriority w:val="99"/>
    <w:pPr>
      <w:spacing w:after="120"/>
    </w:pPr>
  </w:style>
  <w:style w:type="paragraph" w:styleId="4">
    <w:name w:val="Body Text Indent"/>
    <w:basedOn w:val="1"/>
    <w:next w:val="5"/>
    <w:link w:val="34"/>
    <w:qFormat/>
    <w:uiPriority w:val="0"/>
    <w:pPr>
      <w:spacing w:after="120"/>
      <w:ind w:left="420" w:leftChars="200"/>
    </w:pPr>
    <w:rPr>
      <w:rFonts w:ascii="Calibri" w:hAnsi="Calibri" w:eastAsia="宋体" w:cs="Times New Roman"/>
      <w:szCs w:val="24"/>
    </w:rPr>
  </w:style>
  <w:style w:type="paragraph" w:styleId="5">
    <w:name w:val="Body Text First Indent 2"/>
    <w:basedOn w:val="4"/>
    <w:next w:val="1"/>
    <w:link w:val="35"/>
    <w:qFormat/>
    <w:uiPriority w:val="0"/>
    <w:pPr>
      <w:ind w:firstLine="420" w:firstLineChars="200"/>
    </w:pPr>
  </w:style>
  <w:style w:type="paragraph" w:styleId="10">
    <w:name w:val="Document Map"/>
    <w:basedOn w:val="1"/>
    <w:link w:val="29"/>
    <w:unhideWhenUsed/>
    <w:qFormat/>
    <w:uiPriority w:val="99"/>
    <w:rPr>
      <w:rFonts w:ascii="宋体" w:eastAsia="宋体"/>
      <w:sz w:val="18"/>
      <w:szCs w:val="18"/>
    </w:rPr>
  </w:style>
  <w:style w:type="paragraph" w:styleId="11">
    <w:name w:val="annotation text"/>
    <w:basedOn w:val="1"/>
    <w:link w:val="41"/>
    <w:semiHidden/>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1"/>
    <w:unhideWhenUsed/>
    <w:qFormat/>
    <w:uiPriority w:val="99"/>
    <w:pPr>
      <w:tabs>
        <w:tab w:val="center" w:pos="4153"/>
        <w:tab w:val="right" w:pos="8306"/>
      </w:tabs>
      <w:snapToGrid w:val="0"/>
      <w:jc w:val="left"/>
    </w:pPr>
    <w:rPr>
      <w:sz w:val="18"/>
      <w:szCs w:val="18"/>
    </w:rPr>
  </w:style>
  <w:style w:type="paragraph" w:styleId="15">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Normal (Web)"/>
    <w:basedOn w:val="1"/>
    <w:unhideWhenUsed/>
    <w:qFormat/>
    <w:uiPriority w:val="99"/>
    <w:pPr>
      <w:spacing w:before="100" w:beforeAutospacing="1" w:after="100" w:afterAutospacing="1"/>
      <w:jc w:val="left"/>
    </w:pPr>
    <w:rPr>
      <w:rFonts w:ascii="Times New Roman" w:hAnsi="Times New Roman" w:eastAsia="宋体" w:cs="Times New Roman"/>
      <w:kern w:val="0"/>
      <w:sz w:val="24"/>
    </w:rPr>
  </w:style>
  <w:style w:type="paragraph" w:styleId="19">
    <w:name w:val="annotation subject"/>
    <w:basedOn w:val="11"/>
    <w:next w:val="11"/>
    <w:link w:val="42"/>
    <w:semiHidden/>
    <w:unhideWhenUsed/>
    <w:qFormat/>
    <w:uiPriority w:val="99"/>
    <w:rPr>
      <w:b/>
      <w:bCs/>
    </w:rPr>
  </w:style>
  <w:style w:type="table" w:styleId="21">
    <w:name w:val="Table Grid"/>
    <w:basedOn w:val="2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page number"/>
    <w:basedOn w:val="22"/>
    <w:qFormat/>
    <w:uiPriority w:val="0"/>
  </w:style>
  <w:style w:type="character" w:styleId="24">
    <w:name w:val="Hyperlink"/>
    <w:basedOn w:val="22"/>
    <w:unhideWhenUsed/>
    <w:qFormat/>
    <w:uiPriority w:val="99"/>
    <w:rPr>
      <w:color w:val="0000FF" w:themeColor="hyperlink"/>
      <w:u w:val="single"/>
      <w14:textFill>
        <w14:solidFill>
          <w14:schemeClr w14:val="hlink"/>
        </w14:solidFill>
      </w14:textFill>
    </w:rPr>
  </w:style>
  <w:style w:type="character" w:styleId="25">
    <w:name w:val="annotation reference"/>
    <w:basedOn w:val="22"/>
    <w:semiHidden/>
    <w:unhideWhenUsed/>
    <w:qFormat/>
    <w:uiPriority w:val="99"/>
    <w:rPr>
      <w:sz w:val="21"/>
      <w:szCs w:val="21"/>
    </w:rPr>
  </w:style>
  <w:style w:type="character" w:customStyle="1" w:styleId="26">
    <w:name w:val="标题 1 Char"/>
    <w:basedOn w:val="22"/>
    <w:link w:val="6"/>
    <w:qFormat/>
    <w:uiPriority w:val="9"/>
    <w:rPr>
      <w:b/>
      <w:bCs/>
      <w:kern w:val="44"/>
      <w:sz w:val="44"/>
      <w:szCs w:val="44"/>
    </w:rPr>
  </w:style>
  <w:style w:type="character" w:customStyle="1" w:styleId="27">
    <w:name w:val="标题 2 Char"/>
    <w:basedOn w:val="22"/>
    <w:link w:val="7"/>
    <w:qFormat/>
    <w:uiPriority w:val="9"/>
    <w:rPr>
      <w:rFonts w:asciiTheme="majorHAnsi" w:hAnsiTheme="majorHAnsi" w:eastAsiaTheme="majorEastAsia" w:cstheme="majorBidi"/>
      <w:b/>
      <w:bCs/>
      <w:sz w:val="32"/>
      <w:szCs w:val="32"/>
    </w:rPr>
  </w:style>
  <w:style w:type="character" w:customStyle="1" w:styleId="28">
    <w:name w:val="标题 3 Char"/>
    <w:basedOn w:val="22"/>
    <w:link w:val="8"/>
    <w:qFormat/>
    <w:uiPriority w:val="9"/>
    <w:rPr>
      <w:b/>
      <w:bCs/>
      <w:sz w:val="32"/>
      <w:szCs w:val="32"/>
    </w:rPr>
  </w:style>
  <w:style w:type="character" w:customStyle="1" w:styleId="29">
    <w:name w:val="文档结构图 Char"/>
    <w:basedOn w:val="22"/>
    <w:link w:val="10"/>
    <w:semiHidden/>
    <w:qFormat/>
    <w:uiPriority w:val="99"/>
    <w:rPr>
      <w:rFonts w:ascii="宋体" w:eastAsia="宋体"/>
      <w:sz w:val="18"/>
      <w:szCs w:val="18"/>
    </w:rPr>
  </w:style>
  <w:style w:type="character" w:customStyle="1" w:styleId="30">
    <w:name w:val="页眉 Char"/>
    <w:basedOn w:val="22"/>
    <w:link w:val="15"/>
    <w:qFormat/>
    <w:uiPriority w:val="99"/>
    <w:rPr>
      <w:sz w:val="18"/>
      <w:szCs w:val="18"/>
    </w:rPr>
  </w:style>
  <w:style w:type="character" w:customStyle="1" w:styleId="31">
    <w:name w:val="页脚 Char"/>
    <w:basedOn w:val="22"/>
    <w:link w:val="14"/>
    <w:qFormat/>
    <w:uiPriority w:val="99"/>
    <w:rPr>
      <w:sz w:val="18"/>
      <w:szCs w:val="18"/>
    </w:rPr>
  </w:style>
  <w:style w:type="character" w:customStyle="1" w:styleId="32">
    <w:name w:val="正文文本 Char"/>
    <w:basedOn w:val="22"/>
    <w:link w:val="3"/>
    <w:semiHidden/>
    <w:qFormat/>
    <w:uiPriority w:val="99"/>
  </w:style>
  <w:style w:type="character" w:customStyle="1" w:styleId="33">
    <w:name w:val="正文首行缩进 Char"/>
    <w:basedOn w:val="32"/>
    <w:link w:val="2"/>
    <w:qFormat/>
    <w:uiPriority w:val="0"/>
    <w:rPr>
      <w:rFonts w:ascii="Calibri" w:hAnsi="Calibri" w:eastAsia="宋体" w:cs="Times New Roman"/>
      <w:szCs w:val="24"/>
    </w:rPr>
  </w:style>
  <w:style w:type="character" w:customStyle="1" w:styleId="34">
    <w:name w:val="正文文本缩进 Char"/>
    <w:basedOn w:val="22"/>
    <w:link w:val="4"/>
    <w:qFormat/>
    <w:uiPriority w:val="0"/>
    <w:rPr>
      <w:rFonts w:ascii="Calibri" w:hAnsi="Calibri" w:eastAsia="宋体" w:cs="Times New Roman"/>
      <w:szCs w:val="24"/>
    </w:rPr>
  </w:style>
  <w:style w:type="character" w:customStyle="1" w:styleId="35">
    <w:name w:val="正文首行缩进 2 Char"/>
    <w:basedOn w:val="34"/>
    <w:link w:val="5"/>
    <w:qFormat/>
    <w:uiPriority w:val="0"/>
    <w:rPr>
      <w:rFonts w:ascii="Calibri" w:hAnsi="Calibri" w:eastAsia="宋体" w:cs="Times New Roman"/>
      <w:szCs w:val="24"/>
    </w:rPr>
  </w:style>
  <w:style w:type="paragraph" w:customStyle="1" w:styleId="36">
    <w:name w:val="TOC 标题1"/>
    <w:basedOn w:val="6"/>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2"/>
    <w:link w:val="13"/>
    <w:semiHidden/>
    <w:qFormat/>
    <w:uiPriority w:val="99"/>
    <w:rPr>
      <w:sz w:val="18"/>
      <w:szCs w:val="18"/>
    </w:rPr>
  </w:style>
  <w:style w:type="paragraph" w:customStyle="1" w:styleId="38">
    <w:name w:val="正文1"/>
    <w:basedOn w:val="1"/>
    <w:qFormat/>
    <w:uiPriority w:val="0"/>
    <w:pPr>
      <w:widowControl/>
      <w:ind w:firstLine="200" w:firstLineChars="200"/>
    </w:pPr>
    <w:rPr>
      <w:rFonts w:ascii="Calibri" w:hAnsi="NEU-BZ" w:eastAsia="宋体" w:cs="Times New Roman"/>
      <w:kern w:val="0"/>
      <w:sz w:val="22"/>
    </w:rPr>
  </w:style>
  <w:style w:type="character" w:customStyle="1" w:styleId="39">
    <w:name w:val="bjh-p"/>
    <w:basedOn w:val="22"/>
    <w:qFormat/>
    <w:uiPriority w:val="0"/>
  </w:style>
  <w:style w:type="paragraph" w:styleId="40">
    <w:name w:val="List Paragraph"/>
    <w:basedOn w:val="1"/>
    <w:qFormat/>
    <w:uiPriority w:val="34"/>
    <w:pPr>
      <w:ind w:firstLine="420" w:firstLineChars="200"/>
    </w:pPr>
    <w:rPr>
      <w:rFonts w:ascii="Calibri" w:hAnsi="Calibri" w:eastAsia="宋体" w:cs="Times New Roman"/>
      <w:szCs w:val="24"/>
    </w:rPr>
  </w:style>
  <w:style w:type="character" w:customStyle="1" w:styleId="41">
    <w:name w:val="批注文字 Char"/>
    <w:basedOn w:val="22"/>
    <w:link w:val="11"/>
    <w:semiHidden/>
    <w:qFormat/>
    <w:uiPriority w:val="99"/>
    <w:rPr>
      <w:kern w:val="2"/>
      <w:sz w:val="21"/>
      <w:szCs w:val="22"/>
    </w:rPr>
  </w:style>
  <w:style w:type="character" w:customStyle="1" w:styleId="42">
    <w:name w:val="批注主题 Char"/>
    <w:basedOn w:val="41"/>
    <w:link w:val="19"/>
    <w:semiHidden/>
    <w:qFormat/>
    <w:uiPriority w:val="99"/>
    <w:rPr>
      <w:b/>
      <w:bCs/>
      <w:kern w:val="2"/>
      <w:sz w:val="21"/>
      <w:szCs w:val="22"/>
    </w:rPr>
  </w:style>
  <w:style w:type="character" w:customStyle="1" w:styleId="43">
    <w:name w:val="标题 4 Char"/>
    <w:basedOn w:val="22"/>
    <w:link w:val="9"/>
    <w:qFormat/>
    <w:uiPriority w:val="9"/>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Company>
  <Pages>46</Pages>
  <Words>3856</Words>
  <Characters>21981</Characters>
  <Lines>183</Lines>
  <Paragraphs>51</Paragraphs>
  <TotalTime>478</TotalTime>
  <ScaleCrop>false</ScaleCrop>
  <LinksUpToDate>false</LinksUpToDate>
  <CharactersWithSpaces>25786</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2022-03-18T11:42:00Z</dcterms:created>
  <dc:creator>rj</dc:creator>
  <cp:lastModifiedBy>baixin</cp:lastModifiedBy>
  <cp:lastPrinted>2022-03-31T11:09:00Z</cp:lastPrinted>
  <dcterms:modified xsi:type="dcterms:W3CDTF">2025-10-16T10:19:01Z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E6ED7865B6704AFBAE1F649AD7AE4C10</vt:lpwstr>
  </property>
</Properties>
</file>