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color w:val="auto"/>
          <w:sz w:val="48"/>
          <w:szCs w:val="48"/>
          <w:highlight w:val="none"/>
          <w:lang w:val="en-US" w:eastAsia="zh-CN"/>
        </w:rPr>
      </w:pPr>
      <w:bookmarkStart w:id="0" w:name="_Toc16502"/>
      <w:bookmarkStart w:id="1" w:name="_Toc23851"/>
      <w:bookmarkStart w:id="2" w:name="_Toc354"/>
      <w:bookmarkStart w:id="3" w:name="_Toc23812"/>
      <w:bookmarkStart w:id="4" w:name="_Toc7708"/>
      <w:bookmarkStart w:id="5" w:name="_Toc24013"/>
      <w:bookmarkStart w:id="6" w:name="_Toc31168"/>
      <w:bookmarkStart w:id="7" w:name="_Toc9991"/>
      <w:bookmarkStart w:id="8" w:name="_Toc31269"/>
      <w:bookmarkStart w:id="9" w:name="_Toc19007"/>
      <w:bookmarkStart w:id="10" w:name="_Toc31254"/>
      <w:bookmarkStart w:id="11" w:name="_Toc10101"/>
      <w:bookmarkStart w:id="12" w:name="_Toc11819"/>
      <w:bookmarkStart w:id="13" w:name="_Toc7093"/>
      <w:bookmarkStart w:id="14" w:name="_Toc4095"/>
      <w:bookmarkStart w:id="15" w:name="_Toc23161"/>
    </w:p>
    <w:p>
      <w:pPr>
        <w:jc w:val="center"/>
        <w:rPr>
          <w:rFonts w:hint="default" w:ascii="Times New Roman" w:hAnsi="Times New Roman" w:eastAsia="方正小标宋简体" w:cs="Times New Roman"/>
          <w:color w:val="auto"/>
          <w:sz w:val="48"/>
          <w:szCs w:val="48"/>
          <w:highlight w:val="none"/>
          <w:lang w:val="en-US" w:eastAsia="zh-CN"/>
        </w:rPr>
      </w:pPr>
    </w:p>
    <w:p>
      <w:pPr>
        <w:jc w:val="center"/>
        <w:rPr>
          <w:rFonts w:hint="default" w:ascii="Times New Roman" w:hAnsi="Times New Roman" w:eastAsia="方正小标宋简体" w:cs="Times New Roman"/>
          <w:color w:val="auto"/>
          <w:sz w:val="48"/>
          <w:szCs w:val="48"/>
          <w:highlight w:val="none"/>
          <w:lang w:val="en-US" w:eastAsia="zh-CN"/>
        </w:rPr>
      </w:pPr>
    </w:p>
    <w:p>
      <w:pPr>
        <w:jc w:val="center"/>
        <w:rPr>
          <w:rFonts w:hint="default" w:ascii="Times New Roman" w:hAnsi="Times New Roman" w:eastAsia="方正小标宋简体" w:cs="Times New Roman"/>
          <w:color w:val="auto"/>
          <w:sz w:val="48"/>
          <w:szCs w:val="48"/>
          <w:highlight w:val="none"/>
          <w:lang w:val="en-US" w:eastAsia="zh-CN"/>
        </w:rPr>
      </w:pPr>
    </w:p>
    <w:p>
      <w:pPr>
        <w:jc w:val="center"/>
        <w:rPr>
          <w:rFonts w:hint="default" w:ascii="Times New Roman" w:hAnsi="Times New Roman" w:eastAsia="方正小标宋简体" w:cs="Times New Roman"/>
          <w:color w:val="auto"/>
          <w:sz w:val="48"/>
          <w:szCs w:val="48"/>
          <w:highlight w:val="none"/>
          <w:lang w:eastAsia="zh-CN"/>
        </w:rPr>
      </w:pPr>
      <w:r>
        <w:rPr>
          <w:rFonts w:hint="default" w:ascii="Times New Roman" w:hAnsi="Times New Roman" w:eastAsia="方正小标宋简体" w:cs="Times New Roman"/>
          <w:color w:val="auto"/>
          <w:sz w:val="48"/>
          <w:szCs w:val="48"/>
          <w:highlight w:val="none"/>
          <w:lang w:val="en-US" w:eastAsia="zh-CN"/>
        </w:rPr>
        <w:t>阳泉</w:t>
      </w:r>
      <w:r>
        <w:rPr>
          <w:rFonts w:hint="default" w:ascii="Times New Roman" w:hAnsi="Times New Roman" w:eastAsia="方正小标宋简体" w:cs="Times New Roman"/>
          <w:color w:val="auto"/>
          <w:sz w:val="48"/>
          <w:szCs w:val="48"/>
          <w:highlight w:val="none"/>
          <w:lang w:eastAsia="zh-CN"/>
        </w:rPr>
        <w:t>市“十四五”</w:t>
      </w:r>
      <w:r>
        <w:rPr>
          <w:rFonts w:hint="default" w:ascii="Times New Roman" w:hAnsi="Times New Roman" w:eastAsia="方正小标宋简体" w:cs="Times New Roman"/>
          <w:color w:val="auto"/>
          <w:sz w:val="48"/>
          <w:szCs w:val="48"/>
          <w:highlight w:val="none"/>
          <w:lang w:val="en-US" w:eastAsia="zh-CN"/>
        </w:rPr>
        <w:t>现代物流发展</w:t>
      </w:r>
      <w:r>
        <w:rPr>
          <w:rFonts w:hint="default" w:ascii="Times New Roman" w:hAnsi="Times New Roman" w:eastAsia="方正小标宋简体" w:cs="Times New Roman"/>
          <w:color w:val="auto"/>
          <w:sz w:val="48"/>
          <w:szCs w:val="48"/>
          <w:highlight w:val="none"/>
          <w:lang w:eastAsia="zh-CN"/>
        </w:rPr>
        <w:t>规划</w:t>
      </w:r>
    </w:p>
    <w:p>
      <w:pPr>
        <w:outlineLvl w:val="9"/>
        <w:rPr>
          <w:rFonts w:hint="default" w:ascii="Times New Roman" w:hAnsi="Times New Roman" w:cs="Times New Roman"/>
          <w:b/>
          <w:bCs/>
          <w:color w:val="auto"/>
          <w:highlight w:val="none"/>
        </w:rPr>
      </w:pPr>
    </w:p>
    <w:p>
      <w:pPr>
        <w:pStyle w:val="2"/>
        <w:rPr>
          <w:rFonts w:hint="default"/>
        </w:rPr>
      </w:pPr>
    </w:p>
    <w:p>
      <w:pPr>
        <w:outlineLvl w:val="9"/>
        <w:rPr>
          <w:rFonts w:hint="default" w:ascii="Times New Roman" w:hAnsi="Times New Roman" w:cs="Times New Roman"/>
          <w:b/>
          <w:bCs/>
          <w:color w:val="auto"/>
          <w:highlight w:val="none"/>
        </w:rPr>
      </w:pPr>
    </w:p>
    <w:p>
      <w:pPr>
        <w:tabs>
          <w:tab w:val="left" w:pos="1665"/>
        </w:tabs>
        <w:outlineLvl w:val="9"/>
        <w:rPr>
          <w:rFonts w:hint="eastAsia" w:ascii="Times New Roman" w:hAnsi="Times New Roman" w:cs="Times New Roman" w:eastAsiaTheme="minorEastAsia"/>
          <w:b/>
          <w:bCs/>
          <w:color w:val="auto"/>
          <w:highlight w:val="none"/>
          <w:lang w:eastAsia="zh-CN"/>
        </w:rPr>
      </w:pPr>
      <w:r>
        <w:rPr>
          <w:rFonts w:hint="eastAsia" w:ascii="Times New Roman" w:hAnsi="Times New Roman" w:cs="Times New Roman"/>
          <w:b/>
          <w:bCs/>
          <w:color w:val="auto"/>
          <w:highlight w:val="none"/>
          <w:lang w:eastAsia="zh-CN"/>
        </w:rPr>
        <w:tab/>
      </w:r>
    </w:p>
    <w:p>
      <w:pPr>
        <w:outlineLvl w:val="9"/>
        <w:rPr>
          <w:rFonts w:hint="default" w:ascii="Times New Roman" w:hAnsi="Times New Roman" w:cs="Times New Roman"/>
          <w:b/>
          <w:bCs/>
          <w:color w:val="auto"/>
          <w:highlight w:val="none"/>
        </w:rPr>
      </w:pPr>
    </w:p>
    <w:p>
      <w:pPr>
        <w:outlineLvl w:val="9"/>
        <w:rPr>
          <w:rFonts w:hint="default" w:ascii="Times New Roman" w:hAnsi="Times New Roman" w:cs="Times New Roman"/>
          <w:b/>
          <w:bCs/>
          <w:color w:val="auto"/>
          <w:highlight w:val="none"/>
        </w:rPr>
      </w:pPr>
    </w:p>
    <w:p>
      <w:pPr>
        <w:outlineLvl w:val="9"/>
        <w:rPr>
          <w:rFonts w:hint="default" w:ascii="Times New Roman" w:hAnsi="Times New Roman" w:cs="Times New Roman"/>
          <w:b/>
          <w:bCs/>
          <w:color w:val="auto"/>
          <w:highlight w:val="none"/>
        </w:rPr>
      </w:pPr>
    </w:p>
    <w:p>
      <w:pPr>
        <w:outlineLvl w:val="9"/>
        <w:rPr>
          <w:rFonts w:hint="default" w:ascii="Times New Roman" w:hAnsi="Times New Roman" w:cs="Times New Roman"/>
          <w:b/>
          <w:bCs/>
          <w:color w:val="auto"/>
          <w:highlight w:val="none"/>
        </w:rPr>
      </w:pPr>
    </w:p>
    <w:p>
      <w:pPr>
        <w:outlineLvl w:val="9"/>
        <w:rPr>
          <w:rFonts w:hint="default" w:ascii="Times New Roman" w:hAnsi="Times New Roman" w:cs="Times New Roman"/>
          <w:b/>
          <w:bCs/>
          <w:color w:val="auto"/>
          <w:highlight w:val="none"/>
        </w:rPr>
      </w:pPr>
    </w:p>
    <w:p>
      <w:pPr>
        <w:jc w:val="both"/>
        <w:rPr>
          <w:rFonts w:hint="default" w:ascii="Times New Roman" w:hAnsi="Times New Roman" w:eastAsia="楷体_GB2312" w:cs="Times New Roman"/>
          <w:b/>
          <w:bCs/>
          <w:color w:val="auto"/>
          <w:sz w:val="36"/>
          <w:szCs w:val="36"/>
          <w:highlight w:val="none"/>
          <w:lang w:val="en-US" w:eastAsia="zh-CN"/>
        </w:rPr>
      </w:pPr>
    </w:p>
    <w:p>
      <w:pPr>
        <w:pStyle w:val="25"/>
        <w:rPr>
          <w:rFonts w:hint="default" w:ascii="Times New Roman" w:hAnsi="Times New Roman" w:cs="Times New Roman"/>
          <w:color w:val="auto"/>
          <w:highlight w:val="none"/>
          <w:lang w:val="en-US" w:eastAsia="zh-CN"/>
        </w:rPr>
      </w:pPr>
    </w:p>
    <w:p>
      <w:pPr>
        <w:jc w:val="both"/>
        <w:rPr>
          <w:rFonts w:hint="default" w:ascii="Times New Roman" w:hAnsi="Times New Roman" w:eastAsia="楷体_GB2312" w:cs="Times New Roman"/>
          <w:b/>
          <w:bCs/>
          <w:color w:val="auto"/>
          <w:sz w:val="36"/>
          <w:szCs w:val="36"/>
          <w:highlight w:val="none"/>
          <w:lang w:val="en-US" w:eastAsia="zh-CN"/>
        </w:rPr>
      </w:pPr>
    </w:p>
    <w:p>
      <w:pPr>
        <w:pStyle w:val="25"/>
        <w:rPr>
          <w:rFonts w:hint="default" w:ascii="Times New Roman" w:hAnsi="Times New Roman" w:eastAsia="楷体_GB2312" w:cs="Times New Roman"/>
          <w:b/>
          <w:bCs/>
          <w:color w:val="auto"/>
          <w:sz w:val="36"/>
          <w:szCs w:val="36"/>
          <w:highlight w:val="none"/>
          <w:lang w:val="en-US" w:eastAsia="zh-CN"/>
        </w:rPr>
      </w:pPr>
    </w:p>
    <w:p>
      <w:pPr>
        <w:pStyle w:val="25"/>
        <w:ind w:firstLine="0" w:firstLineChars="0"/>
        <w:rPr>
          <w:rFonts w:hint="default" w:ascii="Times New Roman" w:hAnsi="Times New Roman" w:cs="Times New Roman"/>
          <w:color w:val="auto"/>
          <w:highlight w:val="none"/>
          <w:lang w:val="en-US" w:eastAsia="zh-CN"/>
        </w:rPr>
      </w:pPr>
    </w:p>
    <w:p>
      <w:pPr>
        <w:jc w:val="both"/>
        <w:rPr>
          <w:rFonts w:hint="default" w:ascii="Times New Roman" w:hAnsi="Times New Roman" w:eastAsia="楷体_GB2312" w:cs="Times New Roman"/>
          <w:b/>
          <w:bCs/>
          <w:color w:val="auto"/>
          <w:sz w:val="36"/>
          <w:szCs w:val="36"/>
          <w:highlight w:val="none"/>
          <w:lang w:val="en-US" w:eastAsia="zh-CN"/>
        </w:rPr>
      </w:pPr>
    </w:p>
    <w:p>
      <w:pPr>
        <w:jc w:val="both"/>
        <w:rPr>
          <w:rFonts w:hint="default" w:ascii="Times New Roman" w:hAnsi="Times New Roman" w:eastAsia="楷体_GB2312" w:cs="Times New Roman"/>
          <w:b/>
          <w:bCs/>
          <w:color w:val="auto"/>
          <w:sz w:val="36"/>
          <w:szCs w:val="36"/>
          <w:highlight w:val="none"/>
          <w:lang w:val="en-US" w:eastAsia="zh-CN"/>
        </w:rPr>
      </w:pPr>
    </w:p>
    <w:p>
      <w:pPr>
        <w:pStyle w:val="26"/>
        <w:rPr>
          <w:rFonts w:hint="default" w:ascii="Times New Roman" w:hAnsi="Times New Roman" w:eastAsia="楷体_GB2312" w:cs="Times New Roman"/>
          <w:b/>
          <w:bCs/>
          <w:color w:val="auto"/>
          <w:sz w:val="36"/>
          <w:szCs w:val="36"/>
          <w:highlight w:val="none"/>
          <w:lang w:val="en-US" w:eastAsia="zh-CN"/>
        </w:rPr>
      </w:pPr>
    </w:p>
    <w:p>
      <w:pPr>
        <w:pStyle w:val="26"/>
        <w:rPr>
          <w:rFonts w:hint="default" w:ascii="Times New Roman" w:hAnsi="Times New Roman" w:eastAsia="楷体_GB2312" w:cs="Times New Roman"/>
          <w:b/>
          <w:bCs/>
          <w:color w:val="auto"/>
          <w:sz w:val="36"/>
          <w:szCs w:val="36"/>
          <w:highlight w:val="none"/>
          <w:lang w:val="en-US" w:eastAsia="zh-CN"/>
        </w:rPr>
      </w:pPr>
    </w:p>
    <w:p>
      <w:pPr>
        <w:pStyle w:val="8"/>
        <w:rPr>
          <w:rFonts w:hint="default" w:ascii="Times New Roman" w:hAnsi="Times New Roman" w:cs="Times New Roman"/>
          <w:color w:val="auto"/>
          <w:highlight w:val="none"/>
          <w:lang w:val="en-US" w:eastAsia="zh-CN"/>
        </w:rPr>
      </w:pP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val="0"/>
          <w:bCs w:val="0"/>
          <w:color w:val="auto"/>
          <w:kern w:val="2"/>
          <w:sz w:val="40"/>
          <w:szCs w:val="40"/>
          <w:highlight w:val="none"/>
          <w:lang w:val="en" w:eastAsia="zh-CN" w:bidi="ar-SA"/>
        </w:rPr>
      </w:pPr>
      <w:r>
        <w:rPr>
          <w:rFonts w:hint="eastAsia" w:ascii="仿宋_GB2312" w:hAnsi="仿宋_GB2312" w:eastAsia="仿宋_GB2312" w:cs="仿宋_GB2312"/>
          <w:b w:val="0"/>
          <w:bCs w:val="0"/>
          <w:color w:val="auto"/>
          <w:kern w:val="2"/>
          <w:sz w:val="40"/>
          <w:szCs w:val="40"/>
          <w:highlight w:val="none"/>
          <w:lang w:val="en-US" w:eastAsia="zh-CN" w:bidi="ar-SA"/>
        </w:rPr>
        <w:t>二О二二年</w:t>
      </w:r>
    </w:p>
    <w:p>
      <w:pPr>
        <w:pStyle w:val="2"/>
        <w:rPr>
          <w:rFonts w:hint="default" w:ascii="Times New Roman" w:hAnsi="Times New Roman" w:eastAsia="楷体_GB2312" w:cs="Times New Roman"/>
          <w:b w:val="0"/>
          <w:bCs w:val="0"/>
          <w:color w:val="auto"/>
          <w:kern w:val="2"/>
          <w:sz w:val="40"/>
          <w:szCs w:val="40"/>
          <w:highlight w:val="none"/>
          <w:lang w:val="en-US" w:eastAsia="zh-CN" w:bidi="ar-SA"/>
        </w:rPr>
      </w:pPr>
    </w:p>
    <w:p>
      <w:pPr>
        <w:rPr>
          <w:rFonts w:hint="default"/>
          <w:lang w:val="en-US" w:eastAsia="zh-CN"/>
        </w:rPr>
      </w:pPr>
    </w:p>
    <w:sdt>
      <w:sdtPr>
        <w:rPr>
          <w:rFonts w:hint="default" w:ascii="Times New Roman" w:hAnsi="Times New Roman" w:eastAsia="黑体" w:cs="Times New Roman"/>
          <w:color w:val="auto"/>
          <w:kern w:val="2"/>
          <w:sz w:val="36"/>
          <w:szCs w:val="36"/>
          <w:highlight w:val="none"/>
          <w:lang w:val="en-US" w:eastAsia="zh-CN" w:bidi="ar-SA"/>
        </w:rPr>
        <w:id w:val="147460301"/>
        <w15:color w:val="DBDBDB"/>
        <w:docPartObj>
          <w:docPartGallery w:val="Table of Contents"/>
          <w:docPartUnique/>
        </w:docPartObj>
      </w:sdtPr>
      <w:sdtEndPr>
        <w:rPr>
          <w:rFonts w:hint="default" w:ascii="Times New Roman" w:hAnsi="Times New Roman" w:eastAsia="黑体" w:cs="Times New Roman"/>
          <w:color w:val="auto"/>
          <w:kern w:val="2"/>
          <w:sz w:val="32"/>
          <w:szCs w:val="32"/>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157" w:afterLines="50" w:line="360" w:lineRule="auto"/>
            <w:ind w:left="0" w:leftChars="0" w:right="0" w:rightChars="0" w:firstLine="0" w:firstLineChars="0"/>
            <w:jc w:val="center"/>
            <w:textAlignment w:val="auto"/>
            <w:rPr>
              <w:rFonts w:hint="default" w:ascii="Times New Roman" w:hAnsi="Times New Roman" w:eastAsia="黑体" w:cs="Times New Roman"/>
              <w:color w:val="auto"/>
              <w:sz w:val="36"/>
              <w:szCs w:val="36"/>
              <w:highlight w:val="none"/>
            </w:rPr>
          </w:pPr>
          <w:r>
            <w:rPr>
              <w:rFonts w:hint="default" w:ascii="Times New Roman" w:hAnsi="Times New Roman" w:eastAsia="黑体" w:cs="Times New Roman"/>
              <w:color w:val="auto"/>
              <w:sz w:val="36"/>
              <w:szCs w:val="36"/>
              <w:highlight w:val="none"/>
            </w:rPr>
            <w:t>目</w:t>
          </w:r>
          <w:r>
            <w:rPr>
              <w:rFonts w:hint="default" w:ascii="Times New Roman" w:hAnsi="Times New Roman" w:eastAsia="黑体" w:cs="Times New Roman"/>
              <w:color w:val="auto"/>
              <w:sz w:val="36"/>
              <w:szCs w:val="36"/>
              <w:highlight w:val="none"/>
              <w:lang w:val="en-US" w:eastAsia="zh-CN"/>
            </w:rPr>
            <w:t xml:space="preserve">  </w:t>
          </w:r>
          <w:r>
            <w:rPr>
              <w:rFonts w:hint="default" w:ascii="Times New Roman" w:hAnsi="Times New Roman" w:eastAsia="黑体" w:cs="Times New Roman"/>
              <w:color w:val="auto"/>
              <w:sz w:val="36"/>
              <w:szCs w:val="36"/>
              <w:highlight w:val="none"/>
            </w:rPr>
            <w:t>录</w:t>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color w:val="auto"/>
              <w:sz w:val="32"/>
              <w:szCs w:val="32"/>
              <w:highlight w:val="none"/>
            </w:rPr>
            <w:instrText xml:space="preserve">TOC \o "1-3" \h \u </w:instrText>
          </w:r>
          <w:r>
            <w:rPr>
              <w:rFonts w:hint="default" w:ascii="Times New Roman" w:hAnsi="Times New Roman" w:cs="Times New Roman"/>
              <w:color w:val="auto"/>
              <w:sz w:val="32"/>
              <w:szCs w:val="32"/>
              <w:highlight w:val="none"/>
            </w:rPr>
            <w:fldChar w:fldCharType="separate"/>
          </w: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_Toc13303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一、发展现状和面临形势</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_Toc13303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_Toc15273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val="0"/>
              <w:sz w:val="32"/>
              <w:szCs w:val="32"/>
              <w:highlight w:val="none"/>
              <w:lang w:val="en-US" w:eastAsia="zh-CN"/>
            </w:rPr>
            <w:t>（一）发展基础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_Toc15273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_Toc7216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z w:val="32"/>
              <w:szCs w:val="32"/>
              <w:highlight w:val="none"/>
              <w:lang w:val="en-US" w:eastAsia="zh-CN"/>
            </w:rPr>
            <w:t>（二）存在问题</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_Toc7216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_Toc4031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z w:val="32"/>
              <w:szCs w:val="32"/>
              <w:highlight w:val="none"/>
              <w:lang w:val="en-US" w:eastAsia="zh-CN"/>
            </w:rPr>
            <w:t>（三）面临形势</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_Toc4031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_Toc14641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kern w:val="0"/>
              <w:sz w:val="32"/>
              <w:szCs w:val="32"/>
              <w:highlight w:val="none"/>
              <w:lang w:val="en-US" w:eastAsia="zh-CN" w:bidi="ar"/>
            </w:rPr>
            <w:t>二、总体要求</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_Toc14641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_Toc364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val="0"/>
              <w:sz w:val="32"/>
              <w:szCs w:val="32"/>
              <w:highlight w:val="none"/>
              <w:lang w:val="en-US" w:eastAsia="zh-CN"/>
            </w:rPr>
            <w:t>（一）指导思想</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_Toc364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_Toc10293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z w:val="32"/>
              <w:szCs w:val="32"/>
              <w:highlight w:val="none"/>
              <w:lang w:val="en-US" w:eastAsia="zh-CN"/>
            </w:rPr>
            <w:t>（二）基本原则</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_Toc10293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_Toc3545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z w:val="32"/>
              <w:szCs w:val="32"/>
              <w:highlight w:val="none"/>
              <w:lang w:val="en-US" w:eastAsia="zh-CN"/>
            </w:rPr>
            <w:t>（三）发展目标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_Toc3545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14</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_Toc1444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
            </w:rPr>
            <w:t>（四）战略定位</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_Toc1444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17</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_Toc16401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
            </w:rPr>
            <w:t>（五）空间布局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_Toc16401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18</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eastAsia" w:ascii="Times New Roman" w:hAnsi="Times New Roman" w:cs="Times New Roman" w:eastAsiaTheme="minorEastAsia"/>
              <w:sz w:val="32"/>
              <w:szCs w:val="32"/>
              <w:lang w:val="en-US" w:eastAsia="zh-CN"/>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_Toc6033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三、统筹推进物流综合运输网络建设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_Toc6033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_Toc30761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sz w:val="32"/>
              <w:szCs w:val="32"/>
              <w:highlight w:val="none"/>
              <w:lang w:val="en-US" w:eastAsia="zh-CN"/>
            </w:rPr>
            <w:t>（一）加强铁路物流大通道建设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_Toc30761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_Toc28360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（二）加快完善公路物流网络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_Toc28360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_Toc6305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（三）谋划布局航空货运网络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_Toc6305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24</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_Toc18382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（四）构建多层次城乡配送网络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_Toc18382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24</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_Toc983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四、夯实现代物流集约集聚发展基础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_Toc983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24</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_Toc11715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（一）优化物流园区建设布局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_Toc11715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25</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_Toc20500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（二）完善物流园区基础设施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_Toc20500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26</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_Toc6738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（三）加强本土物流企业培育</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_Toc6738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26</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_Toc13242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（四）积极招引知名物流企业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_Toc13242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27</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_Toc7179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pacing w:val="0"/>
              <w:kern w:val="2"/>
              <w:sz w:val="32"/>
              <w:szCs w:val="32"/>
              <w:highlight w:val="none"/>
              <w:lang w:val="en-US" w:eastAsia="zh-CN" w:bidi="ar-SA"/>
            </w:rPr>
            <w:t>五、</w:t>
          </w:r>
          <w:r>
            <w:rPr>
              <w:rFonts w:hint="default" w:ascii="Times New Roman" w:hAnsi="Times New Roman" w:eastAsia="黑体" w:cs="Times New Roman"/>
              <w:sz w:val="32"/>
              <w:szCs w:val="32"/>
              <w:highlight w:val="none"/>
              <w:lang w:eastAsia="zh-CN"/>
            </w:rPr>
            <w:t>培育</w:t>
          </w:r>
          <w:r>
            <w:rPr>
              <w:rFonts w:hint="default" w:ascii="Times New Roman" w:hAnsi="Times New Roman" w:eastAsia="黑体" w:cs="Times New Roman"/>
              <w:sz w:val="32"/>
              <w:szCs w:val="32"/>
              <w:highlight w:val="none"/>
              <w:lang w:val="en-US" w:eastAsia="zh-CN"/>
            </w:rPr>
            <w:t>发展工业物流新业态新模式</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_Toc7179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27</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_Toc11948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（一）持续扩大大宗商品物流规模</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_Toc11948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27</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_Toc6263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z w:val="32"/>
              <w:szCs w:val="32"/>
              <w:highlight w:val="none"/>
              <w:lang w:val="en-US" w:eastAsia="zh-CN"/>
            </w:rPr>
            <w:t>（二）大力发展智慧物流</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_Toc6263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28</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_Toc14040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（三）促进物流业制造业融合创新</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_Toc14040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28</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_Toc6117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六、加快发展现代农业物流</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_Toc6117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_Toc14899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i w:val="0"/>
              <w:iCs w:val="0"/>
              <w:caps w:val="0"/>
              <w:spacing w:val="0"/>
              <w:sz w:val="32"/>
              <w:szCs w:val="32"/>
              <w:highlight w:val="none"/>
              <w:shd w:val="clear"/>
              <w:lang w:eastAsia="zh-CN"/>
            </w:rPr>
            <w:t>（一）</w:t>
          </w:r>
          <w:r>
            <w:rPr>
              <w:rFonts w:hint="default" w:ascii="Times New Roman" w:hAnsi="Times New Roman" w:eastAsia="楷体_GB2312" w:cs="Times New Roman"/>
              <w:bCs/>
              <w:i w:val="0"/>
              <w:iCs w:val="0"/>
              <w:caps w:val="0"/>
              <w:spacing w:val="0"/>
              <w:sz w:val="32"/>
              <w:szCs w:val="32"/>
              <w:highlight w:val="none"/>
              <w:shd w:val="clear"/>
            </w:rPr>
            <w:t>实施农产品仓储保鲜冷链物流设施建设工程</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_Toc14899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_Toc3222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（二）畅通农产品电商快递物流渠道</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_Toc3222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_Toc3192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（三）促进现代物流业与农业融合发展</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_Toc3192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_Toc32478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pacing w:val="0"/>
              <w:kern w:val="2"/>
              <w:sz w:val="32"/>
              <w:szCs w:val="32"/>
              <w:highlight w:val="none"/>
              <w:lang w:val="en-US" w:eastAsia="zh-CN" w:bidi="ar-SA"/>
            </w:rPr>
            <w:t>七、推进商贸物流转型升级</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_Toc32478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_Toc3065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（一）提升改造商贸物流设施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_Toc3065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_Toc18548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i w:val="0"/>
              <w:iCs w:val="0"/>
              <w:caps w:val="0"/>
              <w:spacing w:val="0"/>
              <w:sz w:val="32"/>
              <w:szCs w:val="32"/>
              <w:highlight w:val="none"/>
              <w:shd w:val="clear"/>
              <w:lang w:eastAsia="zh-CN"/>
            </w:rPr>
            <w:t>（二）促进现代物流业与商贸业深度融合</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_Toc18548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_Toc30099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（三）全面推广“邮快结合”模式</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_Toc30099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33</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_Toc23734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八、拓展枢纽经济发展空间</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_Toc23734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33</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_Toc22842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（一）全面提升平台载体功能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_Toc22842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33</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_Toc5524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sz w:val="32"/>
              <w:szCs w:val="32"/>
              <w:highlight w:val="none"/>
              <w:lang w:val="en-US" w:eastAsia="zh-CN"/>
            </w:rPr>
            <w:t>（二）强化区域交流协作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_Toc5524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34</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_Toc13254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i w:val="0"/>
              <w:iCs w:val="0"/>
              <w:caps w:val="0"/>
              <w:spacing w:val="0"/>
              <w:kern w:val="2"/>
              <w:sz w:val="32"/>
              <w:szCs w:val="32"/>
              <w:highlight w:val="none"/>
              <w:lang w:bidi="ar-SA"/>
            </w:rPr>
            <w:t>（</w:t>
          </w:r>
          <w:r>
            <w:rPr>
              <w:rFonts w:hint="default" w:ascii="Times New Roman" w:hAnsi="Times New Roman" w:eastAsia="楷体_GB2312" w:cs="Times New Roman"/>
              <w:bCs/>
              <w:i w:val="0"/>
              <w:iCs w:val="0"/>
              <w:caps w:val="0"/>
              <w:spacing w:val="0"/>
              <w:kern w:val="2"/>
              <w:sz w:val="32"/>
              <w:szCs w:val="32"/>
              <w:highlight w:val="none"/>
              <w:lang w:eastAsia="zh-CN" w:bidi="ar-SA"/>
            </w:rPr>
            <w:t>三</w:t>
          </w:r>
          <w:r>
            <w:rPr>
              <w:rFonts w:hint="default" w:ascii="Times New Roman" w:hAnsi="Times New Roman" w:eastAsia="楷体_GB2312" w:cs="Times New Roman"/>
              <w:bCs/>
              <w:i w:val="0"/>
              <w:iCs w:val="0"/>
              <w:caps w:val="0"/>
              <w:spacing w:val="0"/>
              <w:kern w:val="2"/>
              <w:sz w:val="32"/>
              <w:szCs w:val="32"/>
              <w:highlight w:val="none"/>
              <w:lang w:bidi="ar-SA"/>
            </w:rPr>
            <w:t>）</w:t>
          </w:r>
          <w:r>
            <w:rPr>
              <w:rFonts w:hint="default" w:ascii="Times New Roman" w:hAnsi="Times New Roman" w:eastAsia="楷体_GB2312" w:cs="Times New Roman"/>
              <w:bCs/>
              <w:i w:val="0"/>
              <w:iCs w:val="0"/>
              <w:caps w:val="0"/>
              <w:spacing w:val="0"/>
              <w:kern w:val="2"/>
              <w:sz w:val="32"/>
              <w:szCs w:val="32"/>
              <w:highlight w:val="none"/>
              <w:lang w:eastAsia="zh-CN" w:bidi="ar-SA"/>
            </w:rPr>
            <w:t>积极拓宽</w:t>
          </w:r>
          <w:r>
            <w:rPr>
              <w:rFonts w:hint="default" w:ascii="Times New Roman" w:hAnsi="Times New Roman" w:eastAsia="楷体_GB2312" w:cs="Times New Roman"/>
              <w:bCs/>
              <w:i w:val="0"/>
              <w:iCs w:val="0"/>
              <w:caps w:val="0"/>
              <w:spacing w:val="0"/>
              <w:kern w:val="2"/>
              <w:sz w:val="32"/>
              <w:szCs w:val="32"/>
              <w:highlight w:val="none"/>
              <w:lang w:bidi="ar-SA"/>
            </w:rPr>
            <w:t>国际物流</w:t>
          </w:r>
          <w:r>
            <w:rPr>
              <w:rFonts w:hint="default" w:ascii="Times New Roman" w:hAnsi="Times New Roman" w:eastAsia="楷体_GB2312" w:cs="Times New Roman"/>
              <w:bCs/>
              <w:i w:val="0"/>
              <w:iCs w:val="0"/>
              <w:caps w:val="0"/>
              <w:spacing w:val="0"/>
              <w:kern w:val="2"/>
              <w:sz w:val="32"/>
              <w:szCs w:val="32"/>
              <w:highlight w:val="none"/>
              <w:lang w:eastAsia="zh-CN" w:bidi="ar-SA"/>
            </w:rPr>
            <w:t>渠道</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_Toc13254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35</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_Toc24620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（四）深度参与供应链体系重构</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_Toc24620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35</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_Toc29160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九、大力发展绿色物流</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_Toc29160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35</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_Toc25486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（一）创新绿色物流运输模式</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_Toc25486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36</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_Toc15931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（二）积极发展绿色供应链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_Toc15931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36</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_Toc29386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（三）培育发展回收循环物流</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_Toc29386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36</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_Toc19724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十、加强应急物流体系建设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_Toc19724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37</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_Toc17768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（一）完善应急物流设施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_Toc17768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37</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_Toc14876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（二）健全应急物流响应保障机制</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_Toc14876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38</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_Toc10524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spacing w:val="0"/>
              <w:kern w:val="2"/>
              <w:sz w:val="32"/>
              <w:szCs w:val="32"/>
              <w:highlight w:val="none"/>
              <w:lang w:val="en-US" w:eastAsia="zh-CN" w:bidi="ar-SA"/>
            </w:rPr>
            <w:t>（三）构建重要产品全链条追溯体系</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_Toc10524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38</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_Toc378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十一、全面提升物流</w:t>
          </w:r>
          <w:r>
            <w:rPr>
              <w:rFonts w:hint="default" w:ascii="Times New Roman" w:hAnsi="Times New Roman" w:eastAsia="黑体" w:cs="Times New Roman"/>
              <w:bCs w:val="0"/>
              <w:i w:val="0"/>
              <w:iCs w:val="0"/>
              <w:caps w:val="0"/>
              <w:spacing w:val="0"/>
              <w:sz w:val="32"/>
              <w:szCs w:val="32"/>
              <w:highlight w:val="none"/>
              <w:shd w:val="clear" w:fill="auto"/>
            </w:rPr>
            <w:t>综合服务能力</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_Toc378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39</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_Toc8758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i w:val="0"/>
              <w:iCs w:val="0"/>
              <w:caps w:val="0"/>
              <w:spacing w:val="0"/>
              <w:kern w:val="2"/>
              <w:sz w:val="32"/>
              <w:szCs w:val="32"/>
              <w:highlight w:val="none"/>
              <w:shd w:val="clear"/>
              <w:lang w:eastAsia="zh-CN" w:bidi="ar-SA"/>
            </w:rPr>
            <w:t>（一）</w:t>
          </w:r>
          <w:r>
            <w:rPr>
              <w:rFonts w:hint="default" w:ascii="Times New Roman" w:hAnsi="Times New Roman" w:eastAsia="楷体_GB2312" w:cs="Times New Roman"/>
              <w:bCs/>
              <w:i w:val="0"/>
              <w:iCs w:val="0"/>
              <w:caps w:val="0"/>
              <w:spacing w:val="0"/>
              <w:kern w:val="2"/>
              <w:sz w:val="32"/>
              <w:szCs w:val="32"/>
              <w:highlight w:val="none"/>
              <w:shd w:val="clear"/>
              <w:lang w:bidi="ar-SA"/>
            </w:rPr>
            <w:t>深化物流领域“放管服”改革</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_Toc8758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39</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_Toc13484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（二）全面推进物流领域降本增效</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_Toc13484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39</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_Toc2232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（三）加强现代物流发展用地保障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_Toc2232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40</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_Toc28157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（四）强化物流业人才支撑</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_Toc28157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40</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_Toc20197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（五）</w:t>
          </w:r>
          <w:r>
            <w:rPr>
              <w:rFonts w:hint="default" w:ascii="Times New Roman" w:hAnsi="Times New Roman" w:eastAsia="楷体_GB2312" w:cs="Times New Roman"/>
              <w:bCs/>
              <w:sz w:val="32"/>
              <w:szCs w:val="32"/>
              <w:highlight w:val="none"/>
              <w:lang w:val="en-US" w:eastAsia="zh-CN"/>
            </w:rPr>
            <w:t>拓宽物流投资融资渠道</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_Toc20197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_Toc6968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（六）建立健全物流标准化体系</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_Toc6968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41</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_Toc17801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i w:val="0"/>
              <w:caps w:val="0"/>
              <w:spacing w:val="0"/>
              <w:kern w:val="2"/>
              <w:sz w:val="32"/>
              <w:szCs w:val="32"/>
              <w:highlight w:val="none"/>
              <w:shd w:val="clear"/>
              <w:lang w:eastAsia="zh-CN" w:bidi="ar-SA"/>
            </w:rPr>
            <w:t>（</w:t>
          </w:r>
          <w:r>
            <w:rPr>
              <w:rFonts w:hint="default" w:ascii="Times New Roman" w:hAnsi="Times New Roman" w:eastAsia="楷体_GB2312" w:cs="Times New Roman"/>
              <w:bCs/>
              <w:i w:val="0"/>
              <w:caps w:val="0"/>
              <w:spacing w:val="0"/>
              <w:kern w:val="2"/>
              <w:sz w:val="32"/>
              <w:szCs w:val="32"/>
              <w:highlight w:val="none"/>
              <w:shd w:val="clear"/>
              <w:lang w:val="en-US" w:eastAsia="zh-CN" w:bidi="ar-SA"/>
            </w:rPr>
            <w:t>七</w:t>
          </w:r>
          <w:r>
            <w:rPr>
              <w:rFonts w:hint="default" w:ascii="Times New Roman" w:hAnsi="Times New Roman" w:eastAsia="楷体_GB2312" w:cs="Times New Roman"/>
              <w:bCs/>
              <w:i w:val="0"/>
              <w:caps w:val="0"/>
              <w:spacing w:val="0"/>
              <w:kern w:val="2"/>
              <w:sz w:val="32"/>
              <w:szCs w:val="32"/>
              <w:highlight w:val="none"/>
              <w:shd w:val="clear"/>
              <w:lang w:eastAsia="zh-CN" w:bidi="ar-SA"/>
            </w:rPr>
            <w:t>）</w:t>
          </w:r>
          <w:r>
            <w:rPr>
              <w:rFonts w:hint="default" w:ascii="Times New Roman" w:hAnsi="Times New Roman" w:eastAsia="楷体_GB2312" w:cs="Times New Roman"/>
              <w:bCs/>
              <w:i w:val="0"/>
              <w:caps w:val="0"/>
              <w:spacing w:val="0"/>
              <w:sz w:val="32"/>
              <w:szCs w:val="32"/>
              <w:highlight w:val="none"/>
              <w:shd w:val="clear" w:fill="auto"/>
              <w:lang w:eastAsia="zh-CN"/>
            </w:rPr>
            <w:t>提高</w:t>
          </w:r>
          <w:r>
            <w:rPr>
              <w:rFonts w:hint="default" w:ascii="Times New Roman" w:hAnsi="Times New Roman" w:eastAsia="楷体_GB2312" w:cs="Times New Roman"/>
              <w:bCs/>
              <w:i w:val="0"/>
              <w:caps w:val="0"/>
              <w:spacing w:val="0"/>
              <w:sz w:val="32"/>
              <w:szCs w:val="32"/>
              <w:highlight w:val="none"/>
              <w:shd w:val="clear" w:fill="auto"/>
            </w:rPr>
            <w:t>行业安全</w:t>
          </w:r>
          <w:r>
            <w:rPr>
              <w:rFonts w:hint="default" w:ascii="Times New Roman" w:hAnsi="Times New Roman" w:eastAsia="楷体_GB2312" w:cs="Times New Roman"/>
              <w:bCs/>
              <w:i w:val="0"/>
              <w:caps w:val="0"/>
              <w:spacing w:val="0"/>
              <w:sz w:val="32"/>
              <w:szCs w:val="32"/>
              <w:highlight w:val="none"/>
              <w:shd w:val="clear"/>
              <w:lang w:eastAsia="zh-CN"/>
            </w:rPr>
            <w:t>监督管理水平</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_Toc17801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3"/>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_Toc17256 </w:instrText>
          </w:r>
          <w:r>
            <w:rPr>
              <w:rFonts w:hint="default" w:ascii="Times New Roman" w:hAnsi="Times New Roman" w:cs="Times New Roman"/>
              <w:sz w:val="32"/>
              <w:szCs w:val="32"/>
              <w:highlight w:val="none"/>
            </w:rPr>
            <w:fldChar w:fldCharType="separate"/>
          </w:r>
          <w:r>
            <w:rPr>
              <w:rFonts w:hint="default" w:ascii="Times New Roman" w:hAnsi="Times New Roman" w:eastAsia="黑体" w:cs="Times New Roman"/>
              <w:bCs w:val="0"/>
              <w:sz w:val="32"/>
              <w:szCs w:val="32"/>
              <w:highlight w:val="none"/>
              <w:lang w:val="en-US" w:eastAsia="zh-CN"/>
            </w:rPr>
            <w:t>十二、保障措施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_Toc17256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_Toc4941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（一）加强组织领导</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_Toc4941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_Toc18246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（二）加大项目储备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_Toc18246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42</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_Toc32719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（三）优化政策扶持</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_Toc32719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43</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pStyle w:val="14"/>
            <w:tabs>
              <w:tab w:val="right" w:leader="dot" w:pos="8306"/>
            </w:tabs>
            <w:rPr>
              <w:rFonts w:hint="default" w:ascii="Times New Roman" w:hAnsi="Times New Roman" w:cs="Times New Roman"/>
              <w:sz w:val="32"/>
              <w:szCs w:val="32"/>
            </w:rPr>
          </w:pPr>
          <w:r>
            <w:rPr>
              <w:rFonts w:hint="default" w:ascii="Times New Roman" w:hAnsi="Times New Roman" w:cs="Times New Roman"/>
              <w:color w:val="auto"/>
              <w:sz w:val="32"/>
              <w:szCs w:val="32"/>
              <w:highlight w:val="none"/>
            </w:rPr>
            <w:fldChar w:fldCharType="begin"/>
          </w:r>
          <w:r>
            <w:rPr>
              <w:rFonts w:hint="default" w:ascii="Times New Roman" w:hAnsi="Times New Roman" w:cs="Times New Roman"/>
              <w:sz w:val="32"/>
              <w:szCs w:val="32"/>
              <w:highlight w:val="none"/>
            </w:rPr>
            <w:instrText xml:space="preserve"> HYPERLINK \l _Toc23175 </w:instrText>
          </w:r>
          <w:r>
            <w:rPr>
              <w:rFonts w:hint="default" w:ascii="Times New Roman" w:hAnsi="Times New Roman" w:cs="Times New Roman"/>
              <w:sz w:val="32"/>
              <w:szCs w:val="32"/>
              <w:highlight w:val="none"/>
            </w:rPr>
            <w:fldChar w:fldCharType="separate"/>
          </w:r>
          <w:r>
            <w:rPr>
              <w:rFonts w:hint="default" w:ascii="Times New Roman" w:hAnsi="Times New Roman" w:eastAsia="楷体_GB2312" w:cs="Times New Roman"/>
              <w:bCs/>
              <w:kern w:val="2"/>
              <w:sz w:val="32"/>
              <w:szCs w:val="32"/>
              <w:highlight w:val="none"/>
              <w:lang w:val="en-US" w:eastAsia="zh-CN" w:bidi="ar-SA"/>
            </w:rPr>
            <w:t>（四）强化评估评价</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_Toc23175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43</w:t>
          </w:r>
          <w:r>
            <w:rPr>
              <w:rFonts w:hint="default" w:ascii="Times New Roman" w:hAnsi="Times New Roman" w:cs="Times New Roman"/>
              <w:sz w:val="32"/>
              <w:szCs w:val="32"/>
            </w:rPr>
            <w:fldChar w:fldCharType="end"/>
          </w:r>
          <w:r>
            <w:rPr>
              <w:rFonts w:hint="default" w:ascii="Times New Roman" w:hAnsi="Times New Roman" w:cs="Times New Roman"/>
              <w:color w:val="auto"/>
              <w:sz w:val="32"/>
              <w:szCs w:val="32"/>
              <w:highlight w:val="none"/>
            </w:rPr>
            <w:fldChar w:fldCharType="end"/>
          </w:r>
        </w:p>
        <w:p>
          <w:pPr>
            <w:spacing w:line="360" w:lineRule="auto"/>
            <w:rPr>
              <w:rFonts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fldChar w:fldCharType="end"/>
          </w:r>
        </w:p>
      </w:sdtContent>
    </w:sdt>
    <w:p>
      <w:pPr>
        <w:rPr>
          <w:rFonts w:hint="default" w:ascii="Times New Roman" w:hAnsi="Times New Roman" w:cs="Times New Roman"/>
          <w:color w:val="auto"/>
          <w:sz w:val="32"/>
          <w:szCs w:val="32"/>
          <w:highlight w:val="none"/>
          <w:lang w:val="en-US" w:eastAsia="zh-CN"/>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5376"/>
        </w:tabs>
        <w:bidi w:val="0"/>
        <w:jc w:val="left"/>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lang w:val="en-US" w:eastAsia="zh-CN"/>
        </w:rPr>
        <w:tab/>
      </w:r>
    </w:p>
    <w:p>
      <w:pPr>
        <w:jc w:val="center"/>
        <w:rPr>
          <w:rFonts w:hint="default" w:ascii="Times New Roman" w:hAnsi="Times New Roman" w:eastAsia="方正小标宋简体" w:cs="Times New Roman"/>
          <w:color w:val="auto"/>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方正小标宋简体" w:cs="Times New Roman"/>
          <w:color w:val="auto"/>
          <w:sz w:val="36"/>
          <w:szCs w:val="36"/>
          <w:highlight w:val="none"/>
          <w:lang w:eastAsia="zh-CN"/>
        </w:rPr>
      </w:pPr>
      <w:r>
        <w:rPr>
          <w:rFonts w:hint="default" w:ascii="Times New Roman" w:hAnsi="Times New Roman" w:eastAsia="方正小标宋简体" w:cs="Times New Roman"/>
          <w:color w:val="auto"/>
          <w:sz w:val="36"/>
          <w:szCs w:val="36"/>
          <w:highlight w:val="none"/>
          <w:lang w:val="en-US" w:eastAsia="zh-CN"/>
        </w:rPr>
        <w:t>阳泉</w:t>
      </w:r>
      <w:r>
        <w:rPr>
          <w:rFonts w:hint="default" w:ascii="Times New Roman" w:hAnsi="Times New Roman" w:eastAsia="方正小标宋简体" w:cs="Times New Roman"/>
          <w:color w:val="auto"/>
          <w:sz w:val="36"/>
          <w:szCs w:val="36"/>
          <w:highlight w:val="none"/>
          <w:lang w:eastAsia="zh-CN"/>
        </w:rPr>
        <w:t>市“十四五”</w:t>
      </w:r>
      <w:r>
        <w:rPr>
          <w:rFonts w:hint="default" w:ascii="Times New Roman" w:hAnsi="Times New Roman" w:eastAsia="方正小标宋简体" w:cs="Times New Roman"/>
          <w:color w:val="auto"/>
          <w:sz w:val="36"/>
          <w:szCs w:val="36"/>
          <w:highlight w:val="none"/>
          <w:lang w:val="en-US" w:eastAsia="zh-CN"/>
        </w:rPr>
        <w:t>现代物流发展</w:t>
      </w:r>
      <w:r>
        <w:rPr>
          <w:rFonts w:hint="default" w:ascii="Times New Roman" w:hAnsi="Times New Roman" w:eastAsia="方正小标宋简体" w:cs="Times New Roman"/>
          <w:color w:val="auto"/>
          <w:sz w:val="36"/>
          <w:szCs w:val="36"/>
          <w:highlight w:val="none"/>
          <w:lang w:eastAsia="zh-CN"/>
        </w:rPr>
        <w:t>规划</w:t>
      </w:r>
    </w:p>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cs="Times New Roman"/>
          <w:color w:val="auto"/>
          <w:sz w:val="32"/>
          <w:szCs w:val="32"/>
          <w:highlight w:val="none"/>
          <w:lang w:val="en-US" w:eastAsia="zh-CN"/>
        </w:rPr>
      </w:pPr>
    </w:p>
    <w:p>
      <w:pPr>
        <w:pStyle w:val="13"/>
        <w:keepNext w:val="0"/>
        <w:keepLines w:val="0"/>
        <w:pageBreakBefore w:val="0"/>
        <w:widowControl w:val="0"/>
        <w:suppressLineNumbers w:val="0"/>
        <w:tabs>
          <w:tab w:val="right" w:leader="dot" w:pos="8306"/>
        </w:tabs>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default" w:ascii="Times New Roman" w:hAnsi="Times New Roman" w:eastAsia="仿宋_GB2312" w:cs="Times New Roman"/>
          <w:color w:val="auto"/>
          <w:sz w:val="32"/>
          <w:szCs w:val="32"/>
          <w:highlight w:val="none"/>
          <w:shd w:val="clear"/>
          <w:lang w:val="en-US" w:eastAsia="zh-CN"/>
        </w:rPr>
      </w:pPr>
      <w:r>
        <w:rPr>
          <w:rFonts w:hint="default" w:ascii="Times New Roman" w:hAnsi="Times New Roman" w:eastAsia="仿宋_GB2312" w:cs="Times New Roman"/>
          <w:color w:val="auto"/>
          <w:sz w:val="32"/>
          <w:szCs w:val="32"/>
          <w:highlight w:val="none"/>
          <w:lang w:val="en-US" w:eastAsia="zh-CN"/>
        </w:rPr>
        <w:t>现代物流业是融合运输、仓储、货代、信息等产业的复合型服务业，是支撑国民经济发展的基础性、战略性、先导性产业。</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现代物流体系也是构建以国内大循环为主体、国内国际双循环相互促进新发展格局的重要组成部分。</w:t>
      </w:r>
      <w:r>
        <w:rPr>
          <w:rFonts w:hint="default" w:ascii="Times New Roman" w:hAnsi="Times New Roman" w:eastAsia="仿宋_GB2312" w:cs="Times New Roman"/>
          <w:color w:val="auto"/>
          <w:sz w:val="32"/>
          <w:szCs w:val="32"/>
          <w:highlight w:val="none"/>
          <w:shd w:val="clear"/>
          <w:lang w:val="en-US" w:eastAsia="zh-CN"/>
        </w:rPr>
        <w:t>为贯彻落实《阳泉市国民经济和社会发展第十四个五年规划和二〇三五年远景目标纲要》，</w:t>
      </w:r>
      <w:r>
        <w:rPr>
          <w:rFonts w:hint="default" w:ascii="Times New Roman" w:hAnsi="Times New Roman" w:eastAsia="仿宋_GB2312" w:cs="Times New Roman"/>
          <w:b w:val="0"/>
          <w:bCs w:val="0"/>
          <w:color w:val="auto"/>
          <w:spacing w:val="11"/>
          <w:sz w:val="32"/>
          <w:szCs w:val="32"/>
          <w:highlight w:val="none"/>
          <w:u w:val="none" w:color="auto"/>
          <w:lang w:val="en-US" w:eastAsia="zh-CN"/>
        </w:rPr>
        <w:t>立足新发展阶段，完整、准确、全面贯彻新发展理念，</w:t>
      </w:r>
      <w:r>
        <w:rPr>
          <w:rFonts w:hint="default" w:ascii="Times New Roman" w:hAnsi="Times New Roman" w:eastAsia="仿宋_GB2312" w:cs="Times New Roman"/>
          <w:color w:val="auto"/>
          <w:sz w:val="32"/>
          <w:szCs w:val="32"/>
          <w:highlight w:val="none"/>
          <w:shd w:val="clear"/>
          <w:lang w:val="en-US" w:eastAsia="zh-CN"/>
        </w:rPr>
        <w:t>紧紧把握国家促进物流业提质增效的机遇期</w:t>
      </w:r>
      <w:r>
        <w:rPr>
          <w:rFonts w:hint="eastAsia" w:ascii="Times New Roman" w:hAnsi="Times New Roman" w:eastAsia="仿宋_GB2312" w:cs="Times New Roman"/>
          <w:color w:val="auto"/>
          <w:sz w:val="32"/>
          <w:szCs w:val="32"/>
          <w:highlight w:val="none"/>
          <w:shd w:val="clear"/>
          <w:lang w:val="en-US" w:eastAsia="zh-CN"/>
        </w:rPr>
        <w:t>和全省</w:t>
      </w:r>
      <w:r>
        <w:rPr>
          <w:rFonts w:hint="default" w:ascii="Times New Roman" w:hAnsi="Times New Roman" w:eastAsia="仿宋_GB2312" w:cs="Times New Roman"/>
          <w:color w:val="auto"/>
          <w:sz w:val="32"/>
          <w:szCs w:val="32"/>
          <w:highlight w:val="none"/>
          <w:shd w:val="clear"/>
          <w:lang w:val="en-US" w:eastAsia="zh-CN"/>
        </w:rPr>
        <w:t>实施高端装备制造、数字产业、现代物流</w:t>
      </w:r>
      <w:r>
        <w:rPr>
          <w:rFonts w:hint="eastAsia" w:ascii="Times New Roman" w:hAnsi="Times New Roman" w:eastAsia="仿宋_GB2312" w:cs="Times New Roman"/>
          <w:color w:val="auto"/>
          <w:sz w:val="32"/>
          <w:szCs w:val="32"/>
          <w:highlight w:val="none"/>
          <w:shd w:val="clear"/>
          <w:lang w:val="en-US" w:eastAsia="zh-CN"/>
        </w:rPr>
        <w:t>等</w:t>
      </w:r>
      <w:r>
        <w:rPr>
          <w:rFonts w:hint="default" w:ascii="Times New Roman" w:hAnsi="Times New Roman" w:eastAsia="仿宋_GB2312" w:cs="Times New Roman"/>
          <w:color w:val="auto"/>
          <w:sz w:val="32"/>
          <w:szCs w:val="32"/>
          <w:highlight w:val="none"/>
          <w:shd w:val="clear"/>
          <w:lang w:val="en-US" w:eastAsia="zh-CN"/>
        </w:rPr>
        <w:t>千亿产业培育工程</w:t>
      </w:r>
      <w:r>
        <w:rPr>
          <w:rFonts w:hint="eastAsia" w:ascii="Times New Roman" w:hAnsi="Times New Roman" w:eastAsia="仿宋_GB2312" w:cs="Times New Roman"/>
          <w:color w:val="auto"/>
          <w:sz w:val="32"/>
          <w:szCs w:val="32"/>
          <w:highlight w:val="none"/>
          <w:shd w:val="clear"/>
          <w:lang w:val="en-US" w:eastAsia="zh-CN"/>
        </w:rPr>
        <w:t>的战略期，按照市委推动平台经济、现代物流、文化旅游、康养产业“四大领域”服务业提质升级的发展部署，加快推动</w:t>
      </w:r>
      <w:r>
        <w:rPr>
          <w:rFonts w:hint="default" w:ascii="Times New Roman" w:hAnsi="Times New Roman" w:eastAsia="仿宋_GB2312" w:cs="Times New Roman"/>
          <w:color w:val="auto"/>
          <w:sz w:val="32"/>
          <w:szCs w:val="32"/>
          <w:highlight w:val="none"/>
          <w:shd w:val="clear"/>
          <w:lang w:val="en-US" w:eastAsia="zh-CN"/>
        </w:rPr>
        <w:t>全市现代物流业集约化、规模化、智能化、绿色化、网络化快速发展，提升物流服务质量，</w:t>
      </w:r>
      <w:r>
        <w:rPr>
          <w:rFonts w:hint="default" w:ascii="Times New Roman" w:hAnsi="Times New Roman" w:eastAsia="仿宋_GB2312" w:cs="Times New Roman"/>
          <w:color w:val="auto"/>
          <w:sz w:val="32"/>
          <w:szCs w:val="32"/>
          <w:highlight w:val="none"/>
          <w:u w:val="none" w:color="auto"/>
          <w:lang w:eastAsia="zh-CN"/>
        </w:rPr>
        <w:t>积极</w:t>
      </w:r>
      <w:r>
        <w:rPr>
          <w:rFonts w:ascii="Times New Roman" w:hAnsi="Times New Roman" w:eastAsia="仿宋_GB2312" w:cs="Times New Roman"/>
          <w:i w:val="0"/>
          <w:iCs w:val="0"/>
          <w:caps w:val="0"/>
          <w:color w:val="auto"/>
          <w:spacing w:val="0"/>
          <w:sz w:val="32"/>
          <w:szCs w:val="32"/>
          <w:highlight w:val="none"/>
          <w:u w:val="none" w:color="auto"/>
          <w:shd w:val="clear"/>
        </w:rPr>
        <w:t>承接</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京津冀和</w:t>
      </w:r>
      <w:r>
        <w:rPr>
          <w:rFonts w:ascii="Times New Roman" w:hAnsi="Times New Roman" w:eastAsia="仿宋_GB2312" w:cs="Times New Roman"/>
          <w:i w:val="0"/>
          <w:iCs w:val="0"/>
          <w:caps w:val="0"/>
          <w:color w:val="auto"/>
          <w:spacing w:val="0"/>
          <w:sz w:val="32"/>
          <w:szCs w:val="32"/>
          <w:highlight w:val="none"/>
          <w:u w:val="none" w:color="auto"/>
          <w:shd w:val="clear"/>
        </w:rPr>
        <w:t>东部</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地区</w:t>
      </w:r>
      <w:r>
        <w:rPr>
          <w:rFonts w:ascii="Times New Roman" w:hAnsi="Times New Roman" w:eastAsia="仿宋_GB2312" w:cs="Times New Roman"/>
          <w:i w:val="0"/>
          <w:iCs w:val="0"/>
          <w:caps w:val="0"/>
          <w:color w:val="auto"/>
          <w:spacing w:val="0"/>
          <w:sz w:val="32"/>
          <w:szCs w:val="32"/>
          <w:highlight w:val="none"/>
          <w:u w:val="none" w:color="auto"/>
          <w:shd w:val="clear"/>
        </w:rPr>
        <w:t>产业西进、</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中</w:t>
      </w:r>
      <w:r>
        <w:rPr>
          <w:rFonts w:ascii="Times New Roman" w:hAnsi="Times New Roman" w:eastAsia="仿宋_GB2312" w:cs="Times New Roman"/>
          <w:i w:val="0"/>
          <w:iCs w:val="0"/>
          <w:caps w:val="0"/>
          <w:color w:val="auto"/>
          <w:spacing w:val="0"/>
          <w:sz w:val="32"/>
          <w:szCs w:val="32"/>
          <w:highlight w:val="none"/>
          <w:u w:val="none" w:color="auto"/>
          <w:shd w:val="clear"/>
        </w:rPr>
        <w:t>西部</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地区</w:t>
      </w:r>
      <w:r>
        <w:rPr>
          <w:rFonts w:ascii="Times New Roman" w:hAnsi="Times New Roman" w:eastAsia="仿宋_GB2312" w:cs="Times New Roman"/>
          <w:i w:val="0"/>
          <w:iCs w:val="0"/>
          <w:caps w:val="0"/>
          <w:color w:val="auto"/>
          <w:spacing w:val="0"/>
          <w:sz w:val="32"/>
          <w:szCs w:val="32"/>
          <w:highlight w:val="none"/>
          <w:u w:val="none" w:color="auto"/>
          <w:shd w:val="clear"/>
        </w:rPr>
        <w:t>资源东输，</w:t>
      </w:r>
      <w:r>
        <w:rPr>
          <w:rFonts w:hint="default" w:ascii="Times New Roman" w:hAnsi="Times New Roman" w:eastAsia="仿宋_GB2312" w:cs="Times New Roman"/>
          <w:color w:val="auto"/>
          <w:kern w:val="0"/>
          <w:sz w:val="32"/>
          <w:szCs w:val="32"/>
          <w:highlight w:val="none"/>
          <w:shd w:val="clear" w:fill="FFFFFF"/>
          <w:lang w:val="en-US" w:eastAsia="zh-CN" w:bidi="ar"/>
        </w:rPr>
        <w:t>打造</w:t>
      </w:r>
      <w:r>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t>京津冀</w:t>
      </w:r>
      <w:r>
        <w:rPr>
          <w:rFonts w:hint="default" w:ascii="Times New Roman" w:hAnsi="Times New Roman" w:eastAsia="仿宋_GB2312" w:cs="Times New Roman"/>
          <w:b w:val="0"/>
          <w:bCs w:val="0"/>
          <w:color w:val="auto"/>
          <w:kern w:val="0"/>
          <w:sz w:val="32"/>
          <w:szCs w:val="32"/>
          <w:highlight w:val="none"/>
          <w:u w:val="none"/>
          <w:shd w:val="clear" w:fill="FFFFFF"/>
          <w:lang w:eastAsia="zh-CN" w:bidi="ar"/>
        </w:rPr>
        <w:t>向</w:t>
      </w:r>
      <w:r>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t>中西部地区</w:t>
      </w:r>
      <w:r>
        <w:rPr>
          <w:rFonts w:hint="default" w:ascii="Times New Roman" w:hAnsi="Times New Roman" w:eastAsia="仿宋_GB2312" w:cs="Times New Roman"/>
          <w:b w:val="0"/>
          <w:bCs w:val="0"/>
          <w:i w:val="0"/>
          <w:iCs w:val="0"/>
          <w:caps w:val="0"/>
          <w:color w:val="auto"/>
          <w:spacing w:val="0"/>
          <w:kern w:val="0"/>
          <w:sz w:val="32"/>
          <w:szCs w:val="32"/>
          <w:highlight w:val="none"/>
          <w:u w:val="none"/>
          <w:shd w:val="clear" w:fill="FFFFFF"/>
          <w:lang w:bidi="ar"/>
        </w:rPr>
        <w:t>辐射</w:t>
      </w:r>
      <w:r>
        <w:rPr>
          <w:rFonts w:hint="default" w:ascii="Times New Roman" w:hAnsi="Times New Roman" w:eastAsia="仿宋_GB2312" w:cs="Times New Roman"/>
          <w:b w:val="0"/>
          <w:bCs w:val="0"/>
          <w:i w:val="0"/>
          <w:iCs w:val="0"/>
          <w:caps w:val="0"/>
          <w:color w:val="auto"/>
          <w:spacing w:val="0"/>
          <w:kern w:val="0"/>
          <w:sz w:val="32"/>
          <w:szCs w:val="32"/>
          <w:highlight w:val="none"/>
          <w:u w:val="none"/>
          <w:shd w:val="clear" w:fill="FFFFFF"/>
          <w:lang w:eastAsia="zh-CN" w:bidi="ar"/>
        </w:rPr>
        <w:t>的</w:t>
      </w:r>
      <w:r>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t>重要物流节点。</w:t>
      </w:r>
      <w:r>
        <w:rPr>
          <w:rFonts w:hint="default" w:ascii="Times New Roman" w:hAnsi="Times New Roman" w:eastAsia="仿宋_GB2312" w:cs="Times New Roman"/>
          <w:color w:val="auto"/>
          <w:sz w:val="32"/>
          <w:szCs w:val="32"/>
          <w:highlight w:val="none"/>
          <w:shd w:val="clear"/>
          <w:lang w:val="en-US" w:eastAsia="zh-CN"/>
        </w:rPr>
        <w:t>本规划规划期为2021-2025年，远期展望到2035年。</w:t>
      </w:r>
    </w:p>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0"/>
        <w:rPr>
          <w:rFonts w:hint="default" w:ascii="Times New Roman" w:hAnsi="Times New Roman" w:eastAsia="黑体" w:cs="Times New Roman"/>
          <w:b w:val="0"/>
          <w:bCs w:val="0"/>
          <w:color w:val="auto"/>
          <w:sz w:val="32"/>
          <w:szCs w:val="32"/>
          <w:highlight w:val="none"/>
          <w:lang w:val="en-US" w:eastAsia="zh-CN"/>
        </w:rPr>
      </w:pPr>
      <w:bookmarkStart w:id="16" w:name="_Toc23033"/>
      <w:bookmarkStart w:id="17" w:name="_Toc18861"/>
      <w:bookmarkStart w:id="18" w:name="_Toc13303"/>
      <w:bookmarkStart w:id="19" w:name="_Toc1255"/>
      <w:bookmarkStart w:id="20" w:name="_Toc8473"/>
      <w:bookmarkStart w:id="21" w:name="_Toc24116"/>
      <w:bookmarkStart w:id="22" w:name="_Toc29617"/>
      <w:bookmarkStart w:id="23" w:name="_Toc474"/>
      <w:bookmarkStart w:id="24" w:name="_Toc905"/>
      <w:bookmarkStart w:id="25" w:name="_Toc11892"/>
      <w:bookmarkStart w:id="26" w:name="_Toc3353"/>
      <w:bookmarkStart w:id="27" w:name="_Toc6247"/>
      <w:bookmarkStart w:id="28" w:name="_Toc12408"/>
      <w:bookmarkStart w:id="29" w:name="_Toc31137"/>
      <w:bookmarkStart w:id="30" w:name="_Toc4317"/>
      <w:bookmarkStart w:id="31" w:name="_Toc16665"/>
      <w:bookmarkStart w:id="32" w:name="_Toc13213"/>
      <w:bookmarkStart w:id="33" w:name="_Toc7880"/>
      <w:bookmarkStart w:id="34" w:name="_Toc22742"/>
      <w:bookmarkStart w:id="35" w:name="_Toc18669"/>
      <w:bookmarkStart w:id="36" w:name="_Toc22652"/>
      <w:bookmarkStart w:id="37" w:name="_Toc21534"/>
      <w:bookmarkStart w:id="38" w:name="_Toc14144"/>
      <w:bookmarkStart w:id="39" w:name="_Toc3249"/>
      <w:bookmarkStart w:id="40" w:name="_Toc20033"/>
      <w:r>
        <w:rPr>
          <w:rFonts w:hint="eastAsia" w:ascii="Times New Roman" w:hAnsi="Times New Roman" w:eastAsia="黑体" w:cs="Times New Roman"/>
          <w:b w:val="0"/>
          <w:bCs w:val="0"/>
          <w:color w:val="auto"/>
          <w:sz w:val="32"/>
          <w:szCs w:val="32"/>
          <w:highlight w:val="none"/>
          <w:lang w:val="en-US" w:eastAsia="zh-CN"/>
        </w:rPr>
        <w:t>一、</w:t>
      </w:r>
      <w:r>
        <w:rPr>
          <w:rFonts w:hint="default" w:ascii="Times New Roman" w:hAnsi="Times New Roman" w:eastAsia="黑体" w:cs="Times New Roman"/>
          <w:b w:val="0"/>
          <w:bCs w:val="0"/>
          <w:color w:val="auto"/>
          <w:sz w:val="32"/>
          <w:szCs w:val="32"/>
          <w:highlight w:val="none"/>
          <w:lang w:val="en-US" w:eastAsia="zh-CN"/>
        </w:rPr>
        <w:t>发展现状和面临形势</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rPr>
      </w:pPr>
      <w:bookmarkStart w:id="41" w:name="_Toc10987"/>
      <w:bookmarkStart w:id="42" w:name="_Toc28113"/>
      <w:bookmarkStart w:id="43" w:name="_Toc32188"/>
      <w:bookmarkStart w:id="44" w:name="_Toc8303"/>
      <w:r>
        <w:rPr>
          <w:rFonts w:hint="default" w:ascii="Times New Roman" w:hAnsi="Times New Roman" w:eastAsia="仿宋_GB2312" w:cs="Times New Roman"/>
          <w:color w:val="auto"/>
          <w:sz w:val="32"/>
          <w:szCs w:val="32"/>
          <w:highlight w:val="none"/>
          <w:shd w:val="clear"/>
          <w:lang w:val="en-US" w:eastAsia="zh-CN"/>
        </w:rPr>
        <w:t>现代物流业的发展提高了供需对接效率，改变了传统商贸业的发展生态，为生产和流通组织创新奠定坚实基础。</w:t>
      </w:r>
      <w:r>
        <w:rPr>
          <w:rFonts w:hint="default" w:ascii="Times New Roman" w:hAnsi="Times New Roman" w:eastAsia="仿宋_GB2312" w:cs="Times New Roman"/>
          <w:i w:val="0"/>
          <w:caps w:val="0"/>
          <w:color w:val="auto"/>
          <w:spacing w:val="0"/>
          <w:sz w:val="32"/>
          <w:szCs w:val="32"/>
          <w:highlight w:val="none"/>
          <w:shd w:val="clear" w:fill="auto"/>
        </w:rPr>
        <w:t>在“双循环”新格局下，</w:t>
      </w:r>
      <w:r>
        <w:rPr>
          <w:rFonts w:hint="default" w:ascii="Times New Roman" w:hAnsi="Times New Roman" w:eastAsia="仿宋_GB2312" w:cs="Times New Roman"/>
          <w:i w:val="0"/>
          <w:caps w:val="0"/>
          <w:color w:val="auto"/>
          <w:spacing w:val="0"/>
          <w:sz w:val="32"/>
          <w:szCs w:val="32"/>
          <w:highlight w:val="none"/>
          <w:shd w:val="clear"/>
          <w:lang w:eastAsia="zh-CN"/>
        </w:rPr>
        <w:t>要加快</w:t>
      </w:r>
      <w:r>
        <w:rPr>
          <w:rFonts w:hint="default" w:ascii="Times New Roman" w:hAnsi="Times New Roman" w:eastAsia="仿宋_GB2312" w:cs="Times New Roman"/>
          <w:i w:val="0"/>
          <w:caps w:val="0"/>
          <w:color w:val="auto"/>
          <w:spacing w:val="0"/>
          <w:sz w:val="32"/>
          <w:szCs w:val="32"/>
          <w:highlight w:val="none"/>
          <w:shd w:val="clear" w:fill="auto"/>
        </w:rPr>
        <w:t>建立适应新发展格局的现代物流体系，调整物流网络与服务组织方式，</w:t>
      </w:r>
      <w:r>
        <w:rPr>
          <w:rFonts w:hint="default" w:ascii="Times New Roman" w:hAnsi="Times New Roman" w:eastAsia="仿宋_GB2312" w:cs="Times New Roman"/>
          <w:i w:val="0"/>
          <w:caps w:val="0"/>
          <w:color w:val="auto"/>
          <w:spacing w:val="0"/>
          <w:sz w:val="32"/>
          <w:szCs w:val="32"/>
          <w:highlight w:val="none"/>
          <w:shd w:val="clear"/>
          <w:lang w:eastAsia="zh-CN"/>
        </w:rPr>
        <w:t>促进</w:t>
      </w:r>
      <w:r>
        <w:rPr>
          <w:rFonts w:hint="default" w:ascii="Times New Roman" w:hAnsi="Times New Roman" w:eastAsia="仿宋_GB2312" w:cs="Times New Roman"/>
          <w:i w:val="0"/>
          <w:caps w:val="0"/>
          <w:color w:val="auto"/>
          <w:spacing w:val="0"/>
          <w:sz w:val="32"/>
          <w:szCs w:val="32"/>
          <w:highlight w:val="none"/>
          <w:shd w:val="clear" w:fill="FFFFFF"/>
        </w:rPr>
        <w:t>物流企业模式创新、业态创新，</w:t>
      </w:r>
      <w:r>
        <w:rPr>
          <w:rFonts w:hint="default" w:ascii="Times New Roman" w:hAnsi="Times New Roman" w:eastAsia="仿宋_GB2312" w:cs="Times New Roman"/>
          <w:i w:val="0"/>
          <w:caps w:val="0"/>
          <w:color w:val="auto"/>
          <w:spacing w:val="0"/>
          <w:sz w:val="32"/>
          <w:szCs w:val="32"/>
          <w:highlight w:val="none"/>
          <w:shd w:val="clear" w:fill="auto"/>
        </w:rPr>
        <w:t>形成全新物流空间布局与服务循环</w:t>
      </w:r>
      <w:r>
        <w:rPr>
          <w:rFonts w:hint="default" w:ascii="Times New Roman" w:hAnsi="Times New Roman" w:eastAsia="仿宋_GB2312" w:cs="Times New Roman"/>
          <w:i w:val="0"/>
          <w:caps w:val="0"/>
          <w:color w:val="auto"/>
          <w:spacing w:val="0"/>
          <w:sz w:val="32"/>
          <w:szCs w:val="32"/>
          <w:highlight w:val="none"/>
          <w:shd w:val="clear" w:fill="FFFFFF"/>
          <w:lang w:eastAsia="zh-CN"/>
        </w:rPr>
        <w:t>。</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楷体_GB2312" w:cs="Times New Roman"/>
          <w:b w:val="0"/>
          <w:bCs w:val="0"/>
          <w:color w:val="auto"/>
          <w:sz w:val="32"/>
          <w:szCs w:val="32"/>
          <w:highlight w:val="none"/>
          <w:lang w:val="en-US" w:eastAsia="zh-CN"/>
        </w:rPr>
      </w:pPr>
      <w:bookmarkStart w:id="45" w:name="_Toc3023"/>
      <w:bookmarkStart w:id="46" w:name="_Toc20764"/>
      <w:bookmarkStart w:id="47" w:name="_Toc7203"/>
      <w:bookmarkStart w:id="48" w:name="_Toc32037"/>
      <w:bookmarkStart w:id="49" w:name="_Toc9134"/>
      <w:bookmarkStart w:id="50" w:name="_Toc20322"/>
      <w:bookmarkStart w:id="51" w:name="_Toc1916"/>
      <w:bookmarkStart w:id="52" w:name="_Toc8395"/>
      <w:bookmarkStart w:id="53" w:name="_Toc20334"/>
      <w:bookmarkStart w:id="54" w:name="_Toc29402"/>
      <w:bookmarkStart w:id="55" w:name="_Toc14812"/>
      <w:bookmarkStart w:id="56" w:name="_Toc25771"/>
      <w:bookmarkStart w:id="57" w:name="_Toc25316"/>
      <w:bookmarkStart w:id="58" w:name="_Toc22579"/>
      <w:bookmarkStart w:id="59" w:name="_Toc26822"/>
      <w:bookmarkStart w:id="60" w:name="_Toc667"/>
      <w:bookmarkStart w:id="61" w:name="_Toc32119"/>
      <w:bookmarkStart w:id="62" w:name="_Toc30703"/>
      <w:bookmarkStart w:id="63" w:name="_Toc7029"/>
      <w:bookmarkStart w:id="64" w:name="_Toc7312"/>
      <w:bookmarkStart w:id="65" w:name="_Toc7113"/>
      <w:bookmarkStart w:id="66" w:name="_Toc4441"/>
      <w:bookmarkStart w:id="67" w:name="_Toc5302"/>
      <w:bookmarkStart w:id="68" w:name="_Toc29328"/>
      <w:bookmarkStart w:id="69" w:name="_Toc23354"/>
      <w:bookmarkStart w:id="70" w:name="_Toc18960"/>
      <w:bookmarkStart w:id="71" w:name="_Toc9602"/>
      <w:bookmarkStart w:id="72" w:name="_Toc28300"/>
      <w:bookmarkStart w:id="73" w:name="_Toc15273"/>
      <w:bookmarkStart w:id="74" w:name="_Toc14221"/>
      <w:bookmarkStart w:id="75" w:name="_Toc32674"/>
      <w:bookmarkStart w:id="76" w:name="_Toc7322"/>
      <w:bookmarkStart w:id="77" w:name="_Toc26811"/>
      <w:bookmarkStart w:id="78" w:name="_Toc10206"/>
      <w:bookmarkStart w:id="79" w:name="_Toc25735"/>
      <w:bookmarkStart w:id="80" w:name="_Toc27970"/>
      <w:r>
        <w:rPr>
          <w:rFonts w:hint="eastAsia" w:ascii="Times New Roman" w:hAnsi="Times New Roman" w:eastAsia="楷体_GB2312" w:cs="Times New Roman"/>
          <w:b w:val="0"/>
          <w:bCs w:val="0"/>
          <w:color w:val="auto"/>
          <w:sz w:val="32"/>
          <w:szCs w:val="32"/>
          <w:highlight w:val="none"/>
          <w:lang w:val="en-US" w:eastAsia="zh-CN"/>
        </w:rPr>
        <w:t>（一）</w:t>
      </w:r>
      <w:r>
        <w:rPr>
          <w:rFonts w:hint="default" w:ascii="Times New Roman" w:hAnsi="Times New Roman" w:eastAsia="楷体_GB2312" w:cs="Times New Roman"/>
          <w:b w:val="0"/>
          <w:bCs w:val="0"/>
          <w:color w:val="auto"/>
          <w:sz w:val="32"/>
          <w:szCs w:val="32"/>
          <w:highlight w:val="none"/>
          <w:lang w:val="en-US" w:eastAsia="zh-CN"/>
        </w:rPr>
        <w:t>发展基础</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i w:val="0"/>
          <w:caps w:val="0"/>
          <w:color w:val="auto"/>
          <w:spacing w:val="0"/>
          <w:sz w:val="32"/>
          <w:szCs w:val="32"/>
          <w:highlight w:val="none"/>
          <w:shd w:val="clear" w:fill="FFFFFF"/>
          <w:lang w:val="en-US" w:eastAsia="zh-CN"/>
        </w:rPr>
        <w:t>“十三五”以来，依托承东启西的区位优势和较为完备的路网优势，我市积极主动参与区域物流产业分工，培育壮大现代物流业，全市物流业发展总体规模持续扩大，基础设施条件和政策环境明显改善，服务能力显著提升，发展质量明显提高，对国民经济发展的促进作用不断增强。</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outlineLvl w:val="3"/>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pPr>
      <w:r>
        <w:rPr>
          <w:rFonts w:hint="default" w:ascii="Times New Roman" w:hAnsi="Times New Roman" w:eastAsia="仿宋_GB2312" w:cs="Times New Roman"/>
          <w:b/>
          <w:bCs/>
          <w:i w:val="0"/>
          <w:caps w:val="0"/>
          <w:color w:val="auto"/>
          <w:spacing w:val="0"/>
          <w:kern w:val="2"/>
          <w:sz w:val="32"/>
          <w:szCs w:val="32"/>
          <w:highlight w:val="none"/>
          <w:shd w:val="clear" w:fill="FFFFFF"/>
          <w:lang w:val="en-US" w:eastAsia="zh-CN" w:bidi="ar-SA"/>
        </w:rPr>
        <w:t>综合交通运输体系逐步完善。</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基本形成铁路、高速公路、国省干线公路、县乡公路相配套、干支路相连的综合交通运输网络。</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left"/>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pPr>
      <w:r>
        <w:rPr>
          <w:rFonts w:hint="default" w:ascii="Times New Roman" w:hAnsi="Times New Roman" w:eastAsia="仿宋_GB2312" w:cs="Times New Roman"/>
          <w:b/>
          <w:bCs/>
          <w:i w:val="0"/>
          <w:caps w:val="0"/>
          <w:color w:val="auto"/>
          <w:spacing w:val="0"/>
          <w:kern w:val="2"/>
          <w:sz w:val="32"/>
          <w:szCs w:val="32"/>
          <w:highlight w:val="none"/>
          <w:shd w:val="clear" w:fill="FFFFFF"/>
          <w:lang w:val="en-US" w:eastAsia="zh-CN" w:bidi="ar-SA"/>
        </w:rPr>
        <w:t>铁路：</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全市</w:t>
      </w:r>
      <w:bookmarkStart w:id="81" w:name="_Toc15842"/>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干线铁路主要有石太客运专线、石太电气化铁路、朔黄铁路、</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阳大铁路（阳泉北站至阳泉东站段）、阳涉铁路</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5</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条，石太电气化铁路的支线和专用线</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32</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条，阳涉铁路、朔黄铁路设有专用线</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24</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条配线</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77</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条，铁路营业里程达到</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251</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公里。</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pPr>
      <w:r>
        <w:rPr>
          <w:rFonts w:hint="default" w:ascii="Times New Roman" w:hAnsi="Times New Roman" w:eastAsia="仿宋_GB2312" w:cs="Times New Roman"/>
          <w:b/>
          <w:bCs/>
          <w:i w:val="0"/>
          <w:caps w:val="0"/>
          <w:color w:val="auto"/>
          <w:spacing w:val="0"/>
          <w:kern w:val="2"/>
          <w:sz w:val="32"/>
          <w:szCs w:val="32"/>
          <w:highlight w:val="none"/>
          <w:shd w:val="clear" w:fill="FFFFFF"/>
          <w:lang w:val="en-US" w:eastAsia="zh-CN" w:bidi="ar-SA"/>
        </w:rPr>
        <w:t>公路：</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市内307、207国道、太旧、阳五、京昆、新中等高速公路纵横交错，太旧、太阳、阳五、西环高速联通太原、石家庄两大省会城市，形成至太原、石家庄1小时交通圈和至北京、天津4小时交通圈。公路通车总里程571</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7</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公里，公路密度达到125公里/百平方公里，是全省和全国平均水平的1.39倍和2.5倍，其中高速公路282公里，占公路总里程的4.94%；一级公路148公里，占公</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路</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总里程的2.59%；二级公路457公里，占公路总里程的7.99%；三级公路617公里，占公路总里程的10.79%；四级公路4212公里，占公路总里程的73.68%；等级公路里程占总通车里程的100%。</w:t>
      </w:r>
      <w:bookmarkEnd w:id="81"/>
      <w:bookmarkStart w:id="82" w:name="_Toc18354"/>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全市邮政邮路总条数24条，总长度（单程）850公里，城市投递路线128条，单程长度3713.7公里，农村投递路线6条，单程长度593公里。</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pPr>
      <w:r>
        <w:rPr>
          <w:rFonts w:hint="default" w:ascii="Times New Roman" w:hAnsi="Times New Roman" w:eastAsia="宋体" w:cs="Times New Roman"/>
          <w:b/>
          <w:bCs/>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144780</wp:posOffset>
            </wp:positionH>
            <wp:positionV relativeFrom="paragraph">
              <wp:posOffset>794385</wp:posOffset>
            </wp:positionV>
            <wp:extent cx="5153025" cy="5748655"/>
            <wp:effectExtent l="0" t="0" r="9525" b="4445"/>
            <wp:wrapTopAndBottom/>
            <wp:docPr id="19" name="图片 19"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true"/>
                    </pic:cNvPicPr>
                  </pic:nvPicPr>
                  <pic:blipFill>
                    <a:blip r:embed="rId5"/>
                    <a:stretch>
                      <a:fillRect/>
                    </a:stretch>
                  </pic:blipFill>
                  <pic:spPr>
                    <a:xfrm>
                      <a:off x="0" y="0"/>
                      <a:ext cx="5153025" cy="5748655"/>
                    </a:xfrm>
                    <a:prstGeom prst="rect">
                      <a:avLst/>
                    </a:prstGeom>
                  </pic:spPr>
                </pic:pic>
              </a:graphicData>
            </a:graphic>
          </wp:anchor>
        </w:drawing>
      </w:r>
      <w:r>
        <w:rPr>
          <w:rFonts w:hint="default" w:ascii="Times New Roman" w:hAnsi="Times New Roman" w:eastAsia="仿宋_GB2312" w:cs="Times New Roman"/>
          <w:b/>
          <w:bCs/>
          <w:i w:val="0"/>
          <w:caps w:val="0"/>
          <w:color w:val="auto"/>
          <w:spacing w:val="0"/>
          <w:kern w:val="2"/>
          <w:sz w:val="32"/>
          <w:szCs w:val="32"/>
          <w:highlight w:val="none"/>
          <w:shd w:val="clear" w:fill="FFFFFF"/>
          <w:lang w:val="en-US" w:eastAsia="zh-CN" w:bidi="ar-SA"/>
        </w:rPr>
        <w:t>航空：</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市区距太原、石家庄机场各约100公里，初步谋划建设阳泉支线机场，开展航空运输。</w:t>
      </w:r>
      <w:bookmarkEnd w:id="82"/>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eastAsia="宋体" w:cs="Times New Roman"/>
          <w:b/>
          <w:bCs/>
          <w:color w:val="auto"/>
          <w:sz w:val="28"/>
          <w:szCs w:val="28"/>
          <w:highlight w:val="none"/>
          <w:lang w:val="en-US" w:eastAsia="zh-CN"/>
        </w:rPr>
      </w:pPr>
      <w:bookmarkStart w:id="83" w:name="_Toc22458"/>
      <w:r>
        <w:rPr>
          <w:rFonts w:hint="default" w:ascii="Times New Roman" w:hAnsi="Times New Roman" w:eastAsia="宋体" w:cs="Times New Roman"/>
          <w:b/>
          <w:bCs/>
          <w:color w:val="auto"/>
          <w:sz w:val="28"/>
          <w:szCs w:val="28"/>
          <w:highlight w:val="none"/>
          <w:lang w:val="en-US" w:eastAsia="zh-CN"/>
        </w:rPr>
        <w:t>图1-1  阳泉市综合交通体系现状</w:t>
      </w:r>
    </w:p>
    <w:bookmarkEnd w:id="83"/>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1" w:firstLineChars="0"/>
        <w:jc w:val="both"/>
        <w:outlineLvl w:val="3"/>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物流基础设施建设初具规模。</w:t>
      </w:r>
      <w:r>
        <w:rPr>
          <w:rFonts w:hint="default" w:ascii="Times New Roman" w:hAnsi="Times New Roman" w:eastAsia="仿宋_GB2312" w:cs="Times New Roman"/>
          <w:b w:val="0"/>
          <w:bCs w:val="0"/>
          <w:color w:val="auto"/>
          <w:sz w:val="32"/>
          <w:szCs w:val="32"/>
          <w:highlight w:val="none"/>
          <w:lang w:eastAsia="zh-CN"/>
        </w:rPr>
        <w:t>初步形成了以物流园区为核心，货运站场、物流服务中心和服务站点为支撑的基础设施网络。截至</w:t>
      </w:r>
      <w:r>
        <w:rPr>
          <w:rFonts w:hint="default" w:ascii="Times New Roman" w:hAnsi="Times New Roman" w:eastAsia="仿宋_GB2312" w:cs="Times New Roman"/>
          <w:color w:val="auto"/>
          <w:sz w:val="32"/>
          <w:szCs w:val="32"/>
          <w:highlight w:val="none"/>
        </w:rPr>
        <w:t>2</w:t>
      </w:r>
      <w:r>
        <w:rPr>
          <w:rFonts w:hint="default" w:ascii="Times New Roman" w:hAnsi="Times New Roman" w:eastAsia="仿宋_GB2312" w:cs="Times New Roman"/>
          <w:color w:val="auto"/>
          <w:sz w:val="32"/>
          <w:szCs w:val="32"/>
          <w:highlight w:val="none"/>
          <w:lang w:val="en-US" w:eastAsia="zh-CN"/>
        </w:rPr>
        <w:t>020</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eastAsia="zh-CN"/>
        </w:rPr>
        <w:t>底</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全市</w:t>
      </w:r>
      <w:r>
        <w:rPr>
          <w:rFonts w:hint="default" w:ascii="Times New Roman" w:hAnsi="Times New Roman" w:eastAsia="仿宋_GB2312" w:cs="Times New Roman"/>
          <w:color w:val="auto"/>
          <w:sz w:val="32"/>
          <w:szCs w:val="32"/>
          <w:highlight w:val="none"/>
        </w:rPr>
        <w:t>共有各类货运</w:t>
      </w:r>
      <w:r>
        <w:rPr>
          <w:rFonts w:hint="default" w:ascii="Times New Roman" w:hAnsi="Times New Roman" w:eastAsia="仿宋_GB2312" w:cs="Times New Roman"/>
          <w:color w:val="auto"/>
          <w:sz w:val="32"/>
          <w:szCs w:val="32"/>
          <w:highlight w:val="none"/>
          <w:lang w:eastAsia="zh-CN"/>
        </w:rPr>
        <w:t>服务站点</w:t>
      </w:r>
      <w:r>
        <w:rPr>
          <w:rFonts w:hint="default" w:ascii="Times New Roman" w:hAnsi="Times New Roman" w:eastAsia="仿宋_GB2312" w:cs="Times New Roman"/>
          <w:color w:val="auto"/>
          <w:sz w:val="32"/>
          <w:szCs w:val="32"/>
          <w:highlight w:val="none"/>
        </w:rPr>
        <w:t>464家</w:t>
      </w:r>
      <w:r>
        <w:rPr>
          <w:rFonts w:hint="default" w:ascii="Times New Roman" w:hAnsi="Times New Roman" w:eastAsia="仿宋_GB2312" w:cs="Times New Roman"/>
          <w:color w:val="auto"/>
          <w:sz w:val="32"/>
          <w:szCs w:val="32"/>
          <w:highlight w:val="none"/>
          <w:lang w:val="en-US" w:eastAsia="zh-CN"/>
        </w:rPr>
        <w:t>，铁路编组站</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个，货运站场8个，公路货运</w:t>
      </w:r>
      <w:r>
        <w:rPr>
          <w:rFonts w:hint="default" w:ascii="Times New Roman" w:hAnsi="Times New Roman" w:eastAsia="仿宋_GB2312" w:cs="Times New Roman"/>
          <w:color w:val="auto"/>
          <w:sz w:val="32"/>
          <w:szCs w:val="32"/>
          <w:highlight w:val="none"/>
          <w:lang w:eastAsia="zh-CN"/>
        </w:rPr>
        <w:t>服务站点38家，主营业务主要为</w:t>
      </w:r>
      <w:r>
        <w:rPr>
          <w:rFonts w:hint="default" w:ascii="Times New Roman" w:hAnsi="Times New Roman" w:eastAsia="仿宋_GB2312" w:cs="Times New Roman"/>
          <w:color w:val="auto"/>
          <w:sz w:val="32"/>
          <w:szCs w:val="32"/>
          <w:highlight w:val="none"/>
        </w:rPr>
        <w:t>配载、信息服务、快递、货物保管、仓储存车</w:t>
      </w:r>
      <w:r>
        <w:rPr>
          <w:rFonts w:hint="default" w:ascii="Times New Roman" w:hAnsi="Times New Roman" w:eastAsia="仿宋_GB2312" w:cs="Times New Roman"/>
          <w:color w:val="auto"/>
          <w:sz w:val="32"/>
          <w:szCs w:val="32"/>
          <w:highlight w:val="none"/>
          <w:lang w:eastAsia="zh-CN"/>
        </w:rPr>
        <w:t>和</w:t>
      </w:r>
      <w:r>
        <w:rPr>
          <w:rFonts w:hint="default" w:ascii="Times New Roman" w:hAnsi="Times New Roman" w:eastAsia="仿宋_GB2312" w:cs="Times New Roman"/>
          <w:color w:val="auto"/>
          <w:sz w:val="32"/>
          <w:szCs w:val="32"/>
          <w:highlight w:val="none"/>
        </w:rPr>
        <w:t>搬运装卸</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截至20</w:t>
      </w:r>
      <w:r>
        <w:rPr>
          <w:rFonts w:hint="eastAsia"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Times New Roman"/>
          <w:b w:val="0"/>
          <w:bCs w:val="0"/>
          <w:color w:val="auto"/>
          <w:sz w:val="32"/>
          <w:szCs w:val="32"/>
          <w:highlight w:val="none"/>
          <w:lang w:val="en-US" w:eastAsia="zh-CN"/>
        </w:rPr>
        <w:t>年，全市共有许可快递企业1</w:t>
      </w:r>
      <w:r>
        <w:rPr>
          <w:rFonts w:hint="eastAsia" w:ascii="Times New Roman" w:hAnsi="Times New Roman" w:eastAsia="仿宋_GB2312" w:cs="Times New Roman"/>
          <w:b w:val="0"/>
          <w:bCs w:val="0"/>
          <w:color w:val="auto"/>
          <w:sz w:val="32"/>
          <w:szCs w:val="32"/>
          <w:highlight w:val="none"/>
          <w:lang w:val="en-US" w:eastAsia="zh-CN"/>
        </w:rPr>
        <w:t>6</w:t>
      </w:r>
      <w:r>
        <w:rPr>
          <w:rFonts w:hint="default" w:ascii="Times New Roman" w:hAnsi="Times New Roman" w:eastAsia="仿宋_GB2312" w:cs="Times New Roman"/>
          <w:b w:val="0"/>
          <w:bCs w:val="0"/>
          <w:color w:val="auto"/>
          <w:sz w:val="32"/>
          <w:szCs w:val="32"/>
          <w:highlight w:val="none"/>
          <w:lang w:val="en-US" w:eastAsia="zh-CN"/>
        </w:rPr>
        <w:t>家，备案分支机构</w:t>
      </w:r>
      <w:r>
        <w:rPr>
          <w:rFonts w:hint="eastAsia" w:ascii="Times New Roman" w:hAnsi="Times New Roman" w:eastAsia="仿宋_GB2312" w:cs="Times New Roman"/>
          <w:b w:val="0"/>
          <w:bCs w:val="0"/>
          <w:color w:val="auto"/>
          <w:sz w:val="32"/>
          <w:szCs w:val="32"/>
          <w:highlight w:val="none"/>
          <w:lang w:val="en-US" w:eastAsia="zh-CN"/>
        </w:rPr>
        <w:t>140</w:t>
      </w:r>
      <w:r>
        <w:rPr>
          <w:rFonts w:hint="default" w:ascii="Times New Roman" w:hAnsi="Times New Roman" w:eastAsia="仿宋_GB2312" w:cs="Times New Roman"/>
          <w:b w:val="0"/>
          <w:bCs w:val="0"/>
          <w:color w:val="auto"/>
          <w:sz w:val="32"/>
          <w:szCs w:val="32"/>
          <w:highlight w:val="none"/>
          <w:lang w:val="en-US" w:eastAsia="zh-CN"/>
        </w:rPr>
        <w:t>家，末端网点1</w:t>
      </w:r>
      <w:r>
        <w:rPr>
          <w:rFonts w:hint="eastAsia" w:ascii="Times New Roman" w:hAnsi="Times New Roman" w:eastAsia="仿宋_GB2312" w:cs="Times New Roman"/>
          <w:b w:val="0"/>
          <w:bCs w:val="0"/>
          <w:color w:val="auto"/>
          <w:sz w:val="32"/>
          <w:szCs w:val="32"/>
          <w:highlight w:val="none"/>
          <w:lang w:val="en-US" w:eastAsia="zh-CN"/>
        </w:rPr>
        <w:t>93</w:t>
      </w:r>
      <w:r>
        <w:rPr>
          <w:rFonts w:hint="default" w:ascii="Times New Roman" w:hAnsi="Times New Roman" w:eastAsia="仿宋_GB2312" w:cs="Times New Roman"/>
          <w:b w:val="0"/>
          <w:bCs w:val="0"/>
          <w:color w:val="auto"/>
          <w:sz w:val="32"/>
          <w:szCs w:val="32"/>
          <w:highlight w:val="none"/>
          <w:lang w:val="en-US" w:eastAsia="zh-CN"/>
        </w:rPr>
        <w:t>家，邮政普遍服务网点67个，合计</w:t>
      </w:r>
      <w:r>
        <w:rPr>
          <w:rFonts w:hint="eastAsia" w:ascii="Times New Roman" w:hAnsi="Times New Roman" w:eastAsia="仿宋_GB2312" w:cs="Times New Roman"/>
          <w:b w:val="0"/>
          <w:bCs w:val="0"/>
          <w:color w:val="auto"/>
          <w:sz w:val="32"/>
          <w:szCs w:val="32"/>
          <w:highlight w:val="none"/>
          <w:lang w:val="en-US" w:eastAsia="zh-CN"/>
        </w:rPr>
        <w:t>416</w:t>
      </w:r>
      <w:r>
        <w:rPr>
          <w:rFonts w:hint="default" w:ascii="Times New Roman" w:hAnsi="Times New Roman" w:eastAsia="仿宋_GB2312" w:cs="Times New Roman"/>
          <w:b w:val="0"/>
          <w:bCs w:val="0"/>
          <w:color w:val="auto"/>
          <w:sz w:val="32"/>
          <w:szCs w:val="32"/>
          <w:highlight w:val="none"/>
          <w:lang w:val="en-US" w:eastAsia="zh-CN"/>
        </w:rPr>
        <w:t>家</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遍布全市32个乡镇，建制村</w:t>
      </w:r>
      <w:r>
        <w:rPr>
          <w:rFonts w:hint="default" w:ascii="Times New Roman" w:hAnsi="Times New Roman" w:eastAsia="仿宋_GB2312" w:cs="Times New Roman"/>
          <w:color w:val="auto"/>
          <w:sz w:val="32"/>
          <w:szCs w:val="32"/>
          <w:highlight w:val="none"/>
          <w:lang w:val="en-US" w:eastAsia="zh-CN"/>
        </w:rPr>
        <w:t>直接通邮率达到100%。华阳新材料科技集团</w:t>
      </w:r>
      <w:r>
        <w:rPr>
          <w:rFonts w:hint="default" w:ascii="Times New Roman" w:hAnsi="Times New Roman" w:eastAsia="仿宋_GB2312" w:cs="Times New Roman"/>
          <w:color w:val="auto"/>
          <w:sz w:val="32"/>
          <w:szCs w:val="32"/>
          <w:highlight w:val="none"/>
          <w:lang w:eastAsia="zh-CN"/>
        </w:rPr>
        <w:t>天成</w:t>
      </w:r>
      <w:r>
        <w:rPr>
          <w:rFonts w:hint="default" w:ascii="Times New Roman" w:hAnsi="Times New Roman" w:eastAsia="仿宋_GB2312" w:cs="Times New Roman"/>
          <w:color w:val="auto"/>
          <w:sz w:val="32"/>
          <w:szCs w:val="32"/>
          <w:highlight w:val="none"/>
        </w:rPr>
        <w:t>物流园区、阳泉农产品批发市场配套物流园区</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顺康</w:t>
      </w:r>
      <w:r>
        <w:rPr>
          <w:rFonts w:hint="default" w:ascii="Times New Roman" w:hAnsi="Times New Roman" w:eastAsia="仿宋_GB2312" w:cs="Times New Roman"/>
          <w:color w:val="auto"/>
          <w:sz w:val="32"/>
          <w:szCs w:val="32"/>
          <w:highlight w:val="none"/>
          <w:lang w:val="en-US" w:eastAsia="zh-CN"/>
        </w:rPr>
        <w:t>物流基</w:t>
      </w:r>
      <w:r>
        <w:rPr>
          <w:rFonts w:hint="default" w:ascii="Times New Roman" w:hAnsi="Times New Roman" w:eastAsia="仿宋_GB2312" w:cs="Times New Roman"/>
          <w:color w:val="auto"/>
          <w:sz w:val="32"/>
          <w:szCs w:val="32"/>
          <w:highlight w:val="none"/>
        </w:rPr>
        <w:t>地等物流园区建成</w:t>
      </w:r>
      <w:r>
        <w:rPr>
          <w:rFonts w:hint="default" w:ascii="Times New Roman" w:hAnsi="Times New Roman" w:eastAsia="仿宋_GB2312" w:cs="Times New Roman"/>
          <w:color w:val="auto"/>
          <w:sz w:val="32"/>
          <w:szCs w:val="32"/>
          <w:highlight w:val="none"/>
          <w:lang w:eastAsia="zh-CN"/>
        </w:rPr>
        <w:t>投用，服务范围已辐射晋东及周边地区。桃林</w:t>
      </w:r>
      <w:r>
        <w:rPr>
          <w:rFonts w:hint="default" w:ascii="Times New Roman" w:hAnsi="Times New Roman" w:eastAsia="仿宋_GB2312" w:cs="Times New Roman"/>
          <w:color w:val="auto"/>
          <w:sz w:val="32"/>
          <w:szCs w:val="32"/>
          <w:highlight w:val="none"/>
          <w:lang w:val="en-US" w:eastAsia="zh-CN"/>
        </w:rPr>
        <w:t>沟</w:t>
      </w:r>
      <w:r>
        <w:rPr>
          <w:rFonts w:hint="default" w:ascii="Times New Roman" w:hAnsi="Times New Roman" w:eastAsia="仿宋_GB2312" w:cs="Times New Roman"/>
          <w:color w:val="auto"/>
          <w:sz w:val="32"/>
          <w:szCs w:val="32"/>
          <w:highlight w:val="none"/>
          <w:lang w:eastAsia="zh-CN"/>
        </w:rPr>
        <w:t>农产品批发市场、山西宏隆商贸公司冷链物流成功运营。</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both"/>
        <w:textAlignment w:val="auto"/>
        <w:outlineLvl w:val="3"/>
        <w:rPr>
          <w:rFonts w:hint="default" w:ascii="Times New Roman" w:hAnsi="Times New Roman" w:cs="Times New Roman"/>
          <w:color w:val="auto"/>
          <w:highlight w:val="none"/>
          <w:lang w:eastAsia="zh-CN"/>
        </w:rPr>
      </w:pPr>
      <w:r>
        <w:rPr>
          <w:rFonts w:hint="default" w:ascii="Times New Roman" w:hAnsi="Times New Roman" w:eastAsia="仿宋_GB2312" w:cs="Times New Roman"/>
          <w:b/>
          <w:bCs/>
          <w:color w:val="auto"/>
          <w:sz w:val="32"/>
          <w:szCs w:val="32"/>
          <w:highlight w:val="none"/>
          <w:lang w:eastAsia="zh-CN"/>
        </w:rPr>
        <w:t>物流产业发展规模持续壮大。</w:t>
      </w:r>
      <w:r>
        <w:rPr>
          <w:rFonts w:hint="default" w:ascii="Times New Roman" w:hAnsi="Times New Roman" w:eastAsia="仿宋_GB2312" w:cs="Times New Roman"/>
          <w:b w:val="0"/>
          <w:bCs w:val="0"/>
          <w:color w:val="auto"/>
          <w:sz w:val="32"/>
          <w:szCs w:val="32"/>
          <w:highlight w:val="none"/>
          <w:lang w:val="en-US" w:eastAsia="zh-CN"/>
        </w:rPr>
        <w:t>2020年，全市社会物流总额达到527.77亿元，</w:t>
      </w:r>
      <w:r>
        <w:rPr>
          <w:rFonts w:hint="default" w:ascii="Times New Roman" w:hAnsi="Times New Roman" w:eastAsia="仿宋_GB2312" w:cs="Times New Roman"/>
          <w:b w:val="0"/>
          <w:bCs w:val="0"/>
          <w:color w:val="auto"/>
          <w:sz w:val="32"/>
          <w:szCs w:val="32"/>
          <w:highlight w:val="none"/>
          <w:lang w:eastAsia="zh-CN"/>
        </w:rPr>
        <w:t>物流业完成增加值</w:t>
      </w:r>
      <w:r>
        <w:rPr>
          <w:rFonts w:hint="default" w:ascii="Times New Roman" w:hAnsi="Times New Roman" w:eastAsia="仿宋_GB2312" w:cs="Times New Roman"/>
          <w:b w:val="0"/>
          <w:bCs w:val="0"/>
          <w:color w:val="auto"/>
          <w:sz w:val="32"/>
          <w:szCs w:val="32"/>
          <w:highlight w:val="none"/>
          <w:lang w:val="en-US" w:eastAsia="zh-CN"/>
        </w:rPr>
        <w:t>50.94</w:t>
      </w:r>
      <w:r>
        <w:rPr>
          <w:rFonts w:hint="default" w:ascii="Times New Roman" w:hAnsi="Times New Roman" w:eastAsia="仿宋_GB2312" w:cs="Times New Roman"/>
          <w:b w:val="0"/>
          <w:bCs w:val="0"/>
          <w:color w:val="auto"/>
          <w:sz w:val="32"/>
          <w:szCs w:val="32"/>
          <w:highlight w:val="none"/>
          <w:lang w:eastAsia="zh-CN"/>
        </w:rPr>
        <w:t>亿元，占地区生产总值（</w:t>
      </w:r>
      <w:r>
        <w:rPr>
          <w:rFonts w:hint="default" w:ascii="Times New Roman" w:hAnsi="Times New Roman" w:eastAsia="仿宋_GB2312" w:cs="Times New Roman"/>
          <w:b w:val="0"/>
          <w:bCs w:val="0"/>
          <w:color w:val="auto"/>
          <w:sz w:val="32"/>
          <w:szCs w:val="32"/>
          <w:highlight w:val="none"/>
          <w:lang w:val="en-US" w:eastAsia="zh-CN"/>
        </w:rPr>
        <w:t>742.2亿元</w:t>
      </w:r>
      <w:r>
        <w:rPr>
          <w:rFonts w:hint="default" w:ascii="Times New Roman" w:hAnsi="Times New Roman" w:eastAsia="仿宋_GB2312" w:cs="Times New Roman"/>
          <w:b w:val="0"/>
          <w:bCs w:val="0"/>
          <w:color w:val="auto"/>
          <w:sz w:val="32"/>
          <w:szCs w:val="32"/>
          <w:highlight w:val="none"/>
          <w:lang w:eastAsia="zh-CN"/>
        </w:rPr>
        <w:t>）和服务业增加值（</w:t>
      </w:r>
      <w:r>
        <w:rPr>
          <w:rFonts w:hint="default" w:ascii="Times New Roman" w:hAnsi="Times New Roman" w:eastAsia="仿宋_GB2312" w:cs="Times New Roman"/>
          <w:b w:val="0"/>
          <w:bCs w:val="0"/>
          <w:color w:val="auto"/>
          <w:sz w:val="32"/>
          <w:szCs w:val="32"/>
          <w:highlight w:val="none"/>
          <w:lang w:val="en-US" w:eastAsia="zh-CN"/>
        </w:rPr>
        <w:t>397.3亿元</w:t>
      </w:r>
      <w:r>
        <w:rPr>
          <w:rFonts w:hint="default" w:ascii="Times New Roman" w:hAnsi="Times New Roman" w:eastAsia="仿宋_GB2312" w:cs="Times New Roman"/>
          <w:b w:val="0"/>
          <w:bCs w:val="0"/>
          <w:color w:val="auto"/>
          <w:sz w:val="32"/>
          <w:szCs w:val="32"/>
          <w:highlight w:val="none"/>
          <w:lang w:eastAsia="zh-CN"/>
        </w:rPr>
        <w:t>）的比重分别达到</w:t>
      </w:r>
      <w:r>
        <w:rPr>
          <w:rFonts w:hint="default" w:ascii="Times New Roman" w:hAnsi="Times New Roman" w:eastAsia="仿宋_GB2312" w:cs="Times New Roman"/>
          <w:b w:val="0"/>
          <w:bCs w:val="0"/>
          <w:color w:val="auto"/>
          <w:sz w:val="32"/>
          <w:szCs w:val="32"/>
          <w:highlight w:val="none"/>
          <w:lang w:val="en-US" w:eastAsia="zh-CN"/>
        </w:rPr>
        <w:t>6.86</w:t>
      </w:r>
      <w:r>
        <w:rPr>
          <w:rFonts w:hint="default" w:ascii="Times New Roman" w:hAnsi="Times New Roman" w:eastAsia="仿宋_GB2312" w:cs="Times New Roman"/>
          <w:b w:val="0"/>
          <w:bCs w:val="0"/>
          <w:color w:val="auto"/>
          <w:sz w:val="32"/>
          <w:szCs w:val="32"/>
          <w:highlight w:val="none"/>
          <w:lang w:eastAsia="zh-CN"/>
        </w:rPr>
        <w:t>%和</w:t>
      </w:r>
      <w:r>
        <w:rPr>
          <w:rFonts w:hint="default" w:ascii="Times New Roman" w:hAnsi="Times New Roman" w:eastAsia="仿宋_GB2312" w:cs="Times New Roman"/>
          <w:b w:val="0"/>
          <w:bCs w:val="0"/>
          <w:color w:val="auto"/>
          <w:sz w:val="32"/>
          <w:szCs w:val="32"/>
          <w:highlight w:val="none"/>
          <w:lang w:val="en-US" w:eastAsia="zh-CN"/>
        </w:rPr>
        <w:t>12.82</w:t>
      </w:r>
      <w:r>
        <w:rPr>
          <w:rFonts w:hint="default" w:ascii="Times New Roman" w:hAnsi="Times New Roman" w:eastAsia="仿宋_GB2312" w:cs="Times New Roman"/>
          <w:b w:val="0"/>
          <w:bCs w:val="0"/>
          <w:color w:val="auto"/>
          <w:sz w:val="32"/>
          <w:szCs w:val="32"/>
          <w:highlight w:val="none"/>
          <w:lang w:eastAsia="zh-CN"/>
        </w:rPr>
        <w:t>%。市场主体和投资主体多元化格局初步形成，全市拥有三百余家公路货运公司，</w:t>
      </w:r>
      <w:r>
        <w:rPr>
          <w:rFonts w:hint="default" w:ascii="Times New Roman" w:hAnsi="Times New Roman" w:eastAsia="仿宋_GB2312" w:cs="Times New Roman"/>
          <w:b w:val="0"/>
          <w:bCs w:val="0"/>
          <w:color w:val="auto"/>
          <w:sz w:val="32"/>
          <w:szCs w:val="32"/>
          <w:highlight w:val="none"/>
          <w:lang w:val="en-US" w:eastAsia="zh-CN"/>
        </w:rPr>
        <w:t>其中</w:t>
      </w:r>
      <w:r>
        <w:rPr>
          <w:rFonts w:hint="default" w:ascii="Times New Roman" w:hAnsi="Times New Roman" w:eastAsia="仿宋_GB2312" w:cs="Times New Roman"/>
          <w:b w:val="0"/>
          <w:bCs w:val="0"/>
          <w:color w:val="auto"/>
          <w:sz w:val="32"/>
          <w:szCs w:val="32"/>
          <w:highlight w:val="none"/>
          <w:lang w:eastAsia="zh-CN"/>
        </w:rPr>
        <w:t>山西通宝鑫能物流有限公司被评为国家AAAA综合服务型物流企业、货运企业质量信誉AAA企业和高新技术企业。</w:t>
      </w:r>
      <w:r>
        <w:rPr>
          <w:rFonts w:hint="default" w:ascii="Times New Roman" w:hAnsi="Times New Roman" w:eastAsia="仿宋_GB2312" w:cs="Times New Roman"/>
          <w:b w:val="0"/>
          <w:bCs w:val="0"/>
          <w:color w:val="auto"/>
          <w:sz w:val="32"/>
          <w:szCs w:val="32"/>
          <w:highlight w:val="none"/>
          <w:lang w:val="en-US" w:eastAsia="zh-CN"/>
        </w:rPr>
        <w:t>2020年，</w:t>
      </w:r>
      <w:r>
        <w:rPr>
          <w:rFonts w:hint="default" w:ascii="Times New Roman" w:hAnsi="Times New Roman" w:eastAsia="仿宋_GB2312" w:cs="Times New Roman"/>
          <w:b w:val="0"/>
          <w:bCs w:val="0"/>
          <w:color w:val="auto"/>
          <w:sz w:val="32"/>
          <w:szCs w:val="32"/>
          <w:highlight w:val="none"/>
          <w:lang w:eastAsia="zh-CN"/>
        </w:rPr>
        <w:t>邮政行业全年业务收入</w:t>
      </w:r>
      <w:r>
        <w:rPr>
          <w:rFonts w:hint="default" w:ascii="Times New Roman" w:hAnsi="Times New Roman" w:eastAsia="仿宋_GB2312" w:cs="Times New Roman"/>
          <w:b w:val="0"/>
          <w:bCs w:val="0"/>
          <w:color w:val="auto"/>
          <w:sz w:val="32"/>
          <w:szCs w:val="32"/>
          <w:highlight w:val="none"/>
          <w:lang w:val="en-US" w:eastAsia="zh-CN"/>
        </w:rPr>
        <w:t>2.6亿元，</w:t>
      </w:r>
      <w:r>
        <w:rPr>
          <w:rFonts w:hint="default" w:ascii="Times New Roman" w:hAnsi="Times New Roman" w:eastAsia="仿宋_GB2312" w:cs="Times New Roman"/>
          <w:b w:val="0"/>
          <w:bCs w:val="0"/>
          <w:color w:val="auto"/>
          <w:sz w:val="32"/>
          <w:szCs w:val="32"/>
          <w:highlight w:val="none"/>
          <w:lang w:eastAsia="zh-CN"/>
        </w:rPr>
        <w:t>完成邮政业务总量3.</w:t>
      </w:r>
      <w:r>
        <w:rPr>
          <w:rFonts w:hint="default" w:ascii="Times New Roman" w:hAnsi="Times New Roman" w:eastAsia="仿宋_GB2312" w:cs="Times New Roman"/>
          <w:b w:val="0"/>
          <w:bCs w:val="0"/>
          <w:color w:val="auto"/>
          <w:sz w:val="32"/>
          <w:szCs w:val="32"/>
          <w:highlight w:val="none"/>
          <w:lang w:val="en-US" w:eastAsia="zh-CN"/>
        </w:rPr>
        <w:t>13</w:t>
      </w:r>
      <w:r>
        <w:rPr>
          <w:rFonts w:hint="default" w:ascii="Times New Roman" w:hAnsi="Times New Roman" w:eastAsia="仿宋_GB2312" w:cs="Times New Roman"/>
          <w:b w:val="0"/>
          <w:bCs w:val="0"/>
          <w:color w:val="auto"/>
          <w:sz w:val="32"/>
          <w:szCs w:val="32"/>
          <w:highlight w:val="none"/>
          <w:lang w:eastAsia="zh-CN"/>
        </w:rPr>
        <w:t>亿元，“十三五”年均增长</w:t>
      </w:r>
      <w:r>
        <w:rPr>
          <w:rFonts w:hint="default" w:ascii="Times New Roman" w:hAnsi="Times New Roman" w:eastAsia="仿宋_GB2312" w:cs="Times New Roman"/>
          <w:b w:val="0"/>
          <w:bCs w:val="0"/>
          <w:color w:val="auto"/>
          <w:sz w:val="32"/>
          <w:szCs w:val="32"/>
          <w:highlight w:val="none"/>
          <w:lang w:val="en-US" w:eastAsia="zh-CN"/>
        </w:rPr>
        <w:t>9.32</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lang w:val="en-US" w:eastAsia="zh-CN" w:bidi="ar-SA"/>
        </w:rPr>
        <w:t>全市快递服务企业业务量累计完成1402.85万件，同比增长24.73%。</w:t>
      </w:r>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drawing>
          <wp:anchor distT="0" distB="0" distL="114300" distR="114300" simplePos="0" relativeHeight="251660288" behindDoc="0" locked="0" layoutInCell="1" allowOverlap="1">
            <wp:simplePos x="0" y="0"/>
            <wp:positionH relativeFrom="column">
              <wp:posOffset>608330</wp:posOffset>
            </wp:positionH>
            <wp:positionV relativeFrom="paragraph">
              <wp:posOffset>148590</wp:posOffset>
            </wp:positionV>
            <wp:extent cx="4009390" cy="2409190"/>
            <wp:effectExtent l="4445" t="4445" r="5715" b="5715"/>
            <wp:wrapTopAndBottom/>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default" w:ascii="Times New Roman" w:hAnsi="Times New Roman" w:eastAsia="宋体" w:cs="Times New Roman"/>
          <w:b/>
          <w:bCs/>
          <w:color w:val="auto"/>
          <w:sz w:val="28"/>
          <w:szCs w:val="28"/>
          <w:highlight w:val="none"/>
          <w:lang w:eastAsia="zh-CN"/>
        </w:rPr>
        <w:t>图</w:t>
      </w:r>
      <w:r>
        <w:rPr>
          <w:rFonts w:hint="default"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lang w:val="en-US" w:eastAsia="zh-CN"/>
        </w:rPr>
        <w:t xml:space="preserve">  2015-2020年阳泉市社会物流总额（万元）</w:t>
      </w:r>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eastAsia="宋体" w:cs="Times New Roman"/>
          <w:b/>
          <w:bCs/>
          <w:color w:val="auto"/>
          <w:sz w:val="28"/>
          <w:szCs w:val="28"/>
          <w:highlight w:val="none"/>
          <w:lang w:val="en-US" w:eastAsia="zh-CN"/>
        </w:rPr>
      </w:pPr>
      <w:r>
        <w:rPr>
          <w:rFonts w:ascii="Times New Roman" w:hAnsi="Times New Roman" w:cs="Times New Roman"/>
          <w:color w:val="auto"/>
          <w:highlight w:val="none"/>
        </w:rPr>
        <w:drawing>
          <wp:anchor distT="0" distB="0" distL="114300" distR="114300" simplePos="0" relativeHeight="251661312" behindDoc="0" locked="0" layoutInCell="1" allowOverlap="1">
            <wp:simplePos x="0" y="0"/>
            <wp:positionH relativeFrom="column">
              <wp:posOffset>648335</wp:posOffset>
            </wp:positionH>
            <wp:positionV relativeFrom="paragraph">
              <wp:posOffset>250825</wp:posOffset>
            </wp:positionV>
            <wp:extent cx="3943985" cy="2392680"/>
            <wp:effectExtent l="4445" t="4445" r="13970" b="12700"/>
            <wp:wrapTopAndBottom/>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default" w:ascii="Times New Roman" w:hAnsi="Times New Roman" w:eastAsia="宋体" w:cs="Times New Roman"/>
          <w:b/>
          <w:bCs/>
          <w:color w:val="auto"/>
          <w:sz w:val="28"/>
          <w:szCs w:val="28"/>
          <w:highlight w:val="none"/>
          <w:lang w:eastAsia="zh-CN"/>
        </w:rPr>
        <w:t>图</w:t>
      </w:r>
      <w:r>
        <w:rPr>
          <w:rFonts w:hint="default"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lang w:val="en-US" w:eastAsia="zh-CN"/>
        </w:rPr>
        <w:t xml:space="preserve">3 </w:t>
      </w:r>
      <w:r>
        <w:rPr>
          <w:rFonts w:hint="default" w:ascii="Times New Roman" w:hAnsi="Times New Roman" w:eastAsia="宋体" w:cs="Times New Roman"/>
          <w:b/>
          <w:bCs/>
          <w:color w:val="auto"/>
          <w:sz w:val="28"/>
          <w:szCs w:val="28"/>
          <w:highlight w:val="none"/>
          <w:lang w:val="en-US" w:eastAsia="zh-CN"/>
        </w:rPr>
        <w:t xml:space="preserve"> 2015-2020年阳泉市物流业增加值及占比</w:t>
      </w:r>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cs="Times New Roman"/>
          <w:color w:val="auto"/>
          <w:highlight w:val="none"/>
          <w:lang w:eastAsia="zh-CN"/>
        </w:rPr>
        <w:drawing>
          <wp:anchor distT="0" distB="0" distL="114300" distR="114300" simplePos="0" relativeHeight="251662336" behindDoc="0" locked="0" layoutInCell="1" allowOverlap="1">
            <wp:simplePos x="0" y="0"/>
            <wp:positionH relativeFrom="column">
              <wp:posOffset>525780</wp:posOffset>
            </wp:positionH>
            <wp:positionV relativeFrom="paragraph">
              <wp:posOffset>159385</wp:posOffset>
            </wp:positionV>
            <wp:extent cx="4153535" cy="2269490"/>
            <wp:effectExtent l="4445" t="4445" r="13970" b="1206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default" w:ascii="Times New Roman" w:hAnsi="Times New Roman" w:eastAsia="宋体" w:cs="Times New Roman"/>
          <w:b/>
          <w:bCs/>
          <w:color w:val="auto"/>
          <w:sz w:val="28"/>
          <w:szCs w:val="28"/>
          <w:highlight w:val="none"/>
          <w:lang w:eastAsia="zh-CN"/>
        </w:rPr>
        <w:t>图</w:t>
      </w:r>
      <w:r>
        <w:rPr>
          <w:rFonts w:hint="default"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lang w:val="en-US" w:eastAsia="zh-CN"/>
        </w:rPr>
        <w:t>4</w:t>
      </w:r>
      <w:r>
        <w:rPr>
          <w:rFonts w:hint="default" w:ascii="Times New Roman" w:hAnsi="Times New Roman" w:eastAsia="宋体" w:cs="Times New Roman"/>
          <w:b/>
          <w:bCs/>
          <w:color w:val="auto"/>
          <w:sz w:val="28"/>
          <w:szCs w:val="28"/>
          <w:highlight w:val="none"/>
          <w:lang w:val="en-US" w:eastAsia="zh-CN"/>
        </w:rPr>
        <w:t xml:space="preserve">  2015-2020年阳泉市交通运输、仓储和邮政业增加值（万元）</w:t>
      </w:r>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eastAsia="宋体" w:cs="Times New Roman"/>
          <w:b/>
          <w:bCs/>
          <w:color w:val="auto"/>
          <w:sz w:val="28"/>
          <w:szCs w:val="28"/>
          <w:highlight w:val="none"/>
          <w:lang w:val="en-US" w:eastAsia="zh-CN"/>
        </w:rPr>
      </w:pPr>
      <w:r>
        <w:rPr>
          <w:rFonts w:ascii="Times New Roman" w:hAnsi="Times New Roman" w:cs="Times New Roman"/>
          <w:color w:val="auto"/>
          <w:highlight w:val="none"/>
        </w:rPr>
        <w:drawing>
          <wp:anchor distT="0" distB="0" distL="114300" distR="114300" simplePos="0" relativeHeight="251663360" behindDoc="0" locked="0" layoutInCell="1" allowOverlap="1">
            <wp:simplePos x="0" y="0"/>
            <wp:positionH relativeFrom="column">
              <wp:posOffset>544195</wp:posOffset>
            </wp:positionH>
            <wp:positionV relativeFrom="paragraph">
              <wp:posOffset>190500</wp:posOffset>
            </wp:positionV>
            <wp:extent cx="3988435" cy="2299970"/>
            <wp:effectExtent l="4445" t="4445" r="7620" b="19685"/>
            <wp:wrapTopAndBottom/>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default" w:ascii="Times New Roman" w:hAnsi="Times New Roman" w:eastAsia="宋体" w:cs="Times New Roman"/>
          <w:b/>
          <w:bCs/>
          <w:color w:val="auto"/>
          <w:sz w:val="28"/>
          <w:szCs w:val="28"/>
          <w:highlight w:val="none"/>
          <w:lang w:val="en-US" w:eastAsia="zh-CN"/>
        </w:rPr>
        <w:t>图1-</w:t>
      </w:r>
      <w:r>
        <w:rPr>
          <w:rFonts w:hint="eastAsia"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lang w:val="en-US" w:eastAsia="zh-CN"/>
        </w:rPr>
        <w:t xml:space="preserve">  2015-2020年阳泉市邮政业务总量（亿元）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jc w:val="both"/>
        <w:textAlignment w:val="auto"/>
        <w:outlineLvl w:val="3"/>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传统物流转型步伐明显加快。</w:t>
      </w:r>
      <w:r>
        <w:rPr>
          <w:rFonts w:hint="default" w:ascii="Times New Roman" w:hAnsi="Times New Roman" w:eastAsia="仿宋_GB2312" w:cs="Times New Roman"/>
          <w:b w:val="0"/>
          <w:bCs w:val="0"/>
          <w:color w:val="auto"/>
          <w:sz w:val="32"/>
          <w:szCs w:val="32"/>
          <w:highlight w:val="none"/>
          <w:lang w:eastAsia="zh-CN"/>
        </w:rPr>
        <w:t>连锁经营、物流配送、电子商务等新型流通方式不断拓展，</w:t>
      </w:r>
      <w:r>
        <w:rPr>
          <w:rFonts w:hint="default" w:ascii="Times New Roman" w:hAnsi="Times New Roman" w:eastAsia="仿宋_GB2312" w:cs="Times New Roman"/>
          <w:i w:val="0"/>
          <w:caps w:val="0"/>
          <w:color w:val="auto"/>
          <w:spacing w:val="0"/>
          <w:sz w:val="32"/>
          <w:szCs w:val="32"/>
          <w:highlight w:val="none"/>
        </w:rPr>
        <w:t>形成了供应商直接配送、连锁企业自营配送、社会化配送及共同配送等物流配送模式</w:t>
      </w:r>
      <w:r>
        <w:rPr>
          <w:rFonts w:hint="default" w:ascii="Times New Roman" w:hAnsi="Times New Roman" w:eastAsia="仿宋_GB2312" w:cs="Times New Roman"/>
          <w:b w:val="0"/>
          <w:bCs w:val="0"/>
          <w:color w:val="auto"/>
          <w:sz w:val="32"/>
          <w:szCs w:val="32"/>
          <w:highlight w:val="none"/>
          <w:lang w:eastAsia="zh-CN"/>
        </w:rPr>
        <w:t>。截至</w:t>
      </w:r>
      <w:r>
        <w:rPr>
          <w:rFonts w:hint="default" w:ascii="Times New Roman" w:hAnsi="Times New Roman" w:eastAsia="仿宋_GB2312" w:cs="Times New Roman"/>
          <w:b w:val="0"/>
          <w:bCs w:val="0"/>
          <w:color w:val="auto"/>
          <w:sz w:val="32"/>
          <w:szCs w:val="32"/>
          <w:highlight w:val="none"/>
          <w:lang w:val="en-US" w:eastAsia="zh-CN"/>
        </w:rPr>
        <w:t>2020年底，全市共有</w:t>
      </w:r>
      <w:r>
        <w:rPr>
          <w:rFonts w:hint="default" w:ascii="Times New Roman" w:hAnsi="Times New Roman" w:eastAsia="仿宋_GB2312" w:cs="Times New Roman"/>
          <w:b w:val="0"/>
          <w:bCs w:val="0"/>
          <w:color w:val="auto"/>
          <w:sz w:val="32"/>
          <w:szCs w:val="32"/>
          <w:highlight w:val="none"/>
          <w:lang w:eastAsia="zh-CN"/>
        </w:rPr>
        <w:t>电子商务产业园4家，网络零售企业20家，电子商务平台企业8家，电子商务服务企业25家，县级电子商务运营中心1个，</w:t>
      </w:r>
      <w:r>
        <w:rPr>
          <w:rFonts w:hint="default" w:ascii="Times New Roman" w:hAnsi="Times New Roman" w:eastAsia="仿宋_GB2312" w:cs="Times New Roman"/>
          <w:b w:val="0"/>
          <w:bCs w:val="0"/>
          <w:color w:val="auto"/>
          <w:kern w:val="2"/>
          <w:sz w:val="32"/>
          <w:szCs w:val="32"/>
          <w:highlight w:val="none"/>
          <w:lang w:val="en-US" w:eastAsia="zh-CN" w:bidi="ar-SA"/>
        </w:rPr>
        <w:t>网店1050家，产品涉及耐火材料、特色农产品等。</w:t>
      </w:r>
      <w:r>
        <w:rPr>
          <w:rFonts w:hint="default" w:ascii="Times New Roman" w:hAnsi="Times New Roman" w:eastAsia="仿宋_GB2312" w:cs="Times New Roman"/>
          <w:b w:val="0"/>
          <w:bCs w:val="0"/>
          <w:color w:val="auto"/>
          <w:sz w:val="32"/>
          <w:szCs w:val="32"/>
          <w:highlight w:val="none"/>
          <w:lang w:eastAsia="zh-CN"/>
        </w:rPr>
        <w:t>国际陆港公司云平台商务结算系统顺利上线运行。通宝鑫能物流、顺康商贸等第三方物流企业不断涌现，</w:t>
      </w:r>
      <w:r>
        <w:rPr>
          <w:rFonts w:hint="default" w:ascii="Times New Roman" w:hAnsi="Times New Roman" w:eastAsia="仿宋_GB2312" w:cs="Times New Roman"/>
          <w:i w:val="0"/>
          <w:caps w:val="0"/>
          <w:color w:val="auto"/>
          <w:spacing w:val="0"/>
          <w:sz w:val="32"/>
          <w:szCs w:val="32"/>
          <w:highlight w:val="none"/>
        </w:rPr>
        <w:t>商贸物流网络加快向农村乡镇下沉，向居民社区拓展，服务能力不断增强。</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3"/>
        <w:rPr>
          <w:rFonts w:hint="default" w:ascii="Times New Roman" w:hAnsi="Times New Roman" w:eastAsia="仿宋_GB2312" w:cs="Times New Roman"/>
          <w:i w:val="0"/>
          <w:caps w:val="0"/>
          <w:color w:val="auto"/>
          <w:spacing w:val="0"/>
          <w:sz w:val="32"/>
          <w:szCs w:val="32"/>
          <w:highlight w:val="none"/>
          <w:lang w:eastAsia="zh-CN"/>
        </w:rPr>
      </w:pPr>
      <w:r>
        <w:rPr>
          <w:rFonts w:hint="default" w:ascii="Times New Roman" w:hAnsi="Times New Roman" w:eastAsia="仿宋_GB2312" w:cs="Times New Roman"/>
          <w:b/>
          <w:bCs/>
          <w:color w:val="auto"/>
          <w:sz w:val="32"/>
          <w:szCs w:val="32"/>
          <w:highlight w:val="none"/>
          <w:lang w:val="en-US" w:eastAsia="zh-CN"/>
        </w:rPr>
        <w:t>物流技术装备水平</w:t>
      </w:r>
      <w:r>
        <w:rPr>
          <w:rFonts w:hint="default" w:ascii="Times New Roman" w:hAnsi="Times New Roman" w:eastAsia="仿宋_GB2312" w:cs="Times New Roman"/>
          <w:b/>
          <w:bCs/>
          <w:color w:val="auto"/>
          <w:sz w:val="32"/>
          <w:szCs w:val="32"/>
          <w:highlight w:val="none"/>
          <w:lang w:eastAsia="zh-CN"/>
        </w:rPr>
        <w:t>稳步提高。</w:t>
      </w:r>
      <w:r>
        <w:rPr>
          <w:rFonts w:hint="default" w:ascii="Times New Roman" w:hAnsi="Times New Roman" w:eastAsia="仿宋_GB2312" w:cs="Times New Roman"/>
          <w:b w:val="0"/>
          <w:bCs w:val="0"/>
          <w:color w:val="auto"/>
          <w:sz w:val="32"/>
          <w:szCs w:val="32"/>
          <w:highlight w:val="none"/>
          <w:lang w:val="en-US" w:eastAsia="zh-CN"/>
        </w:rPr>
        <w:t>物流基础装备初具规模，</w:t>
      </w:r>
      <w:r>
        <w:rPr>
          <w:rFonts w:hint="default" w:ascii="Times New Roman" w:hAnsi="Times New Roman" w:eastAsia="仿宋_GB2312" w:cs="Times New Roman"/>
          <w:i w:val="0"/>
          <w:caps w:val="0"/>
          <w:color w:val="auto"/>
          <w:spacing w:val="0"/>
          <w:sz w:val="32"/>
          <w:szCs w:val="32"/>
          <w:highlight w:val="none"/>
        </w:rPr>
        <w:t>仓储分拣、装卸搬运、包装加工、运输配送等专用设施设备</w:t>
      </w:r>
      <w:r>
        <w:rPr>
          <w:rFonts w:hint="default" w:ascii="Times New Roman" w:hAnsi="Times New Roman" w:eastAsia="仿宋_GB2312" w:cs="Times New Roman"/>
          <w:i w:val="0"/>
          <w:caps w:val="0"/>
          <w:color w:val="auto"/>
          <w:spacing w:val="0"/>
          <w:sz w:val="32"/>
          <w:szCs w:val="32"/>
          <w:highlight w:val="none"/>
          <w:lang w:eastAsia="zh-CN"/>
        </w:rPr>
        <w:t>广泛应</w:t>
      </w:r>
      <w:r>
        <w:rPr>
          <w:rFonts w:hint="default" w:ascii="Times New Roman" w:hAnsi="Times New Roman" w:eastAsia="仿宋_GB2312" w:cs="Times New Roman"/>
          <w:b w:val="0"/>
          <w:bCs w:val="0"/>
          <w:color w:val="auto"/>
          <w:sz w:val="32"/>
          <w:szCs w:val="32"/>
          <w:highlight w:val="none"/>
          <w:lang w:val="en-US" w:eastAsia="zh-CN"/>
        </w:rPr>
        <w:t>用。截至20</w:t>
      </w:r>
      <w:r>
        <w:rPr>
          <w:rFonts w:hint="eastAsia" w:ascii="Times New Roman" w:hAnsi="Times New Roman" w:eastAsia="仿宋_GB2312" w:cs="Times New Roman"/>
          <w:b w:val="0"/>
          <w:bCs w:val="0"/>
          <w:color w:val="auto"/>
          <w:sz w:val="32"/>
          <w:szCs w:val="32"/>
          <w:highlight w:val="none"/>
          <w:lang w:val="en-US" w:eastAsia="zh-CN"/>
        </w:rPr>
        <w:t>20</w:t>
      </w:r>
      <w:r>
        <w:rPr>
          <w:rFonts w:hint="default" w:ascii="Times New Roman" w:hAnsi="Times New Roman" w:eastAsia="仿宋_GB2312" w:cs="Times New Roman"/>
          <w:b w:val="0"/>
          <w:bCs w:val="0"/>
          <w:color w:val="auto"/>
          <w:sz w:val="32"/>
          <w:szCs w:val="32"/>
          <w:highlight w:val="none"/>
          <w:lang w:val="en-US" w:eastAsia="zh-CN"/>
        </w:rPr>
        <w:t>年底，全市共有载货汽车20</w:t>
      </w:r>
      <w:r>
        <w:rPr>
          <w:rFonts w:hint="eastAsia" w:ascii="Times New Roman" w:hAnsi="Times New Roman" w:eastAsia="仿宋_GB2312" w:cs="Times New Roman"/>
          <w:b w:val="0"/>
          <w:bCs w:val="0"/>
          <w:color w:val="auto"/>
          <w:sz w:val="32"/>
          <w:szCs w:val="32"/>
          <w:highlight w:val="none"/>
          <w:lang w:val="en-US" w:eastAsia="zh-CN"/>
        </w:rPr>
        <w:t>9</w:t>
      </w:r>
      <w:r>
        <w:rPr>
          <w:rFonts w:hint="default" w:ascii="Times New Roman" w:hAnsi="Times New Roman" w:eastAsia="仿宋_GB2312" w:cs="Times New Roman"/>
          <w:b w:val="0"/>
          <w:bCs w:val="0"/>
          <w:color w:val="auto"/>
          <w:sz w:val="32"/>
          <w:szCs w:val="32"/>
          <w:highlight w:val="none"/>
          <w:lang w:val="en-US" w:eastAsia="zh-CN"/>
        </w:rPr>
        <w:t>38辆，</w:t>
      </w:r>
      <w:r>
        <w:rPr>
          <w:rFonts w:hint="default" w:ascii="Times New Roman" w:hAnsi="Times New Roman" w:eastAsia="仿宋_GB2312" w:cs="Times New Roman"/>
          <w:color w:val="auto"/>
          <w:sz w:val="32"/>
          <w:szCs w:val="32"/>
          <w:highlight w:val="none"/>
        </w:rPr>
        <w:t>从事邮件快件服务车辆600余辆</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自动驾驶车路协同在现代物流领域</w:t>
      </w:r>
      <w:r>
        <w:rPr>
          <w:rFonts w:hint="default" w:ascii="Times New Roman" w:hAnsi="Times New Roman" w:eastAsia="仿宋_GB2312" w:cs="Times New Roman"/>
          <w:color w:val="auto"/>
          <w:sz w:val="32"/>
          <w:szCs w:val="32"/>
          <w:highlight w:val="none"/>
          <w:lang w:eastAsia="zh-CN"/>
        </w:rPr>
        <w:t>完成</w:t>
      </w:r>
      <w:r>
        <w:rPr>
          <w:rFonts w:hint="default" w:ascii="Times New Roman" w:hAnsi="Times New Roman" w:eastAsia="仿宋_GB2312" w:cs="Times New Roman"/>
          <w:color w:val="auto"/>
          <w:sz w:val="32"/>
          <w:szCs w:val="32"/>
          <w:highlight w:val="none"/>
        </w:rPr>
        <w:t>测试</w:t>
      </w:r>
      <w:r>
        <w:rPr>
          <w:rFonts w:hint="default" w:ascii="Times New Roman" w:hAnsi="Times New Roman" w:eastAsia="仿宋_GB2312" w:cs="Times New Roman"/>
          <w:color w:val="auto"/>
          <w:sz w:val="32"/>
          <w:szCs w:val="32"/>
          <w:highlight w:val="none"/>
          <w:lang w:eastAsia="zh-CN"/>
        </w:rPr>
        <w:t>，实现小范围</w:t>
      </w:r>
      <w:r>
        <w:rPr>
          <w:rFonts w:hint="default" w:ascii="Times New Roman" w:hAnsi="Times New Roman" w:eastAsia="仿宋_GB2312" w:cs="Times New Roman"/>
          <w:color w:val="auto"/>
          <w:sz w:val="32"/>
          <w:szCs w:val="32"/>
          <w:highlight w:val="none"/>
        </w:rPr>
        <w:t>应用</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i w:val="0"/>
          <w:caps w:val="0"/>
          <w:color w:val="auto"/>
          <w:spacing w:val="0"/>
          <w:sz w:val="32"/>
          <w:szCs w:val="32"/>
          <w:highlight w:val="none"/>
          <w:lang w:val="en-US" w:eastAsia="zh-CN"/>
        </w:rPr>
        <w:t>入选第二批交通强国试点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信息化水平在全国同类城市中处于先进水平，市内企业</w:t>
      </w:r>
      <w:r>
        <w:rPr>
          <w:rFonts w:hint="default" w:ascii="Times New Roman" w:hAnsi="Times New Roman" w:eastAsia="仿宋_GB2312" w:cs="Times New Roman"/>
          <w:b w:val="0"/>
          <w:bCs w:val="0"/>
          <w:color w:val="auto"/>
          <w:sz w:val="32"/>
          <w:szCs w:val="32"/>
          <w:highlight w:val="none"/>
          <w:lang w:val="en-US" w:eastAsia="zh-CN"/>
        </w:rPr>
        <w:t>物流计算机信息管理系统近100套，自有仓储面积约80万平方米。大数据、</w:t>
      </w:r>
      <w:r>
        <w:rPr>
          <w:rFonts w:hint="default" w:ascii="Times New Roman" w:hAnsi="Times New Roman" w:eastAsia="仿宋_GB2312" w:cs="Times New Roman"/>
          <w:b w:val="0"/>
          <w:bCs w:val="0"/>
          <w:color w:val="auto"/>
          <w:sz w:val="32"/>
          <w:szCs w:val="32"/>
          <w:highlight w:val="none"/>
          <w:lang w:eastAsia="zh-CN"/>
        </w:rPr>
        <w:t>物联网、云计算等现代信息技术加速应用，智能标签、跟踪追溯、路径优化等技术</w:t>
      </w:r>
      <w:r>
        <w:rPr>
          <w:rFonts w:hint="default" w:ascii="Times New Roman" w:hAnsi="Times New Roman" w:eastAsia="仿宋_GB2312" w:cs="Times New Roman"/>
          <w:i w:val="0"/>
          <w:caps w:val="0"/>
          <w:color w:val="auto"/>
          <w:spacing w:val="0"/>
          <w:sz w:val="32"/>
          <w:szCs w:val="32"/>
          <w:highlight w:val="none"/>
        </w:rPr>
        <w:t>日益推广</w:t>
      </w:r>
      <w:r>
        <w:rPr>
          <w:rFonts w:hint="default" w:ascii="Times New Roman" w:hAnsi="Times New Roman" w:eastAsia="仿宋_GB2312" w:cs="Times New Roman"/>
          <w:i w:val="0"/>
          <w:caps w:val="0"/>
          <w:color w:val="auto"/>
          <w:spacing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bidi="ar-SA"/>
        </w:rPr>
        <w:t xml:space="preserve">    </w:t>
      </w:r>
      <w:r>
        <w:rPr>
          <w:rFonts w:hint="default" w:ascii="Times New Roman" w:hAnsi="Times New Roman" w:eastAsia="仿宋_GB2312" w:cs="Times New Roman"/>
          <w:b/>
          <w:bCs/>
          <w:color w:val="auto"/>
          <w:kern w:val="2"/>
          <w:sz w:val="32"/>
          <w:szCs w:val="32"/>
          <w:highlight w:val="none"/>
          <w:lang w:val="en-US" w:eastAsia="zh-CN" w:bidi="ar-SA"/>
        </w:rPr>
        <w:t>大宗商品物流运输发展平稳。</w:t>
      </w:r>
      <w:r>
        <w:rPr>
          <w:rFonts w:hint="default" w:ascii="Times New Roman" w:hAnsi="Times New Roman" w:eastAsia="仿宋_GB2312" w:cs="Times New Roman"/>
          <w:b w:val="0"/>
          <w:bCs w:val="0"/>
          <w:color w:val="auto"/>
          <w:kern w:val="2"/>
          <w:sz w:val="32"/>
          <w:szCs w:val="32"/>
          <w:highlight w:val="none"/>
          <w:lang w:val="en-US" w:eastAsia="zh-CN" w:bidi="ar-SA"/>
        </w:rPr>
        <w:t>“十三五”期间，全市煤炭产量约为5000万吨/年，耐火产品、氧化铝等年产能接近2000万吨，产品外运需求强烈，形成了以煤炭、耐火等大宗原料外运为主的物流格局，铁路货运方式占比高达50%以上，货物运输经济性和绿色化水平不断提高。2020年，</w:t>
      </w:r>
      <w:r>
        <w:rPr>
          <w:rFonts w:hint="default" w:ascii="Times New Roman" w:hAnsi="Times New Roman" w:eastAsia="仿宋_GB2312" w:cs="Times New Roman"/>
          <w:b w:val="0"/>
          <w:bCs w:val="0"/>
          <w:color w:val="auto"/>
          <w:sz w:val="32"/>
          <w:szCs w:val="32"/>
          <w:highlight w:val="none"/>
          <w:lang w:eastAsia="zh-CN"/>
        </w:rPr>
        <w:t>全年铁路货运量</w:t>
      </w:r>
      <w:r>
        <w:rPr>
          <w:rFonts w:hint="default" w:ascii="Times New Roman" w:hAnsi="Times New Roman" w:eastAsia="仿宋_GB2312" w:cs="Times New Roman"/>
          <w:b w:val="0"/>
          <w:bCs w:val="0"/>
          <w:color w:val="auto"/>
          <w:sz w:val="32"/>
          <w:szCs w:val="32"/>
          <w:highlight w:val="none"/>
          <w:lang w:val="en-US" w:eastAsia="zh-CN"/>
        </w:rPr>
        <w:t>4238.2</w:t>
      </w:r>
      <w:r>
        <w:rPr>
          <w:rFonts w:hint="default" w:ascii="Times New Roman" w:hAnsi="Times New Roman" w:eastAsia="仿宋_GB2312" w:cs="Times New Roman"/>
          <w:b w:val="0"/>
          <w:bCs w:val="0"/>
          <w:color w:val="auto"/>
          <w:sz w:val="32"/>
          <w:szCs w:val="32"/>
          <w:highlight w:val="none"/>
          <w:lang w:eastAsia="zh-CN"/>
        </w:rPr>
        <w:t>万吨，其中，阳泉站总发运煤炭3</w:t>
      </w:r>
      <w:r>
        <w:rPr>
          <w:rFonts w:hint="default" w:ascii="Times New Roman" w:hAnsi="Times New Roman" w:eastAsia="仿宋_GB2312" w:cs="Times New Roman"/>
          <w:b w:val="0"/>
          <w:bCs w:val="0"/>
          <w:color w:val="auto"/>
          <w:sz w:val="32"/>
          <w:szCs w:val="32"/>
          <w:highlight w:val="none"/>
          <w:lang w:val="en-US" w:eastAsia="zh-CN"/>
        </w:rPr>
        <w:t>851.2</w:t>
      </w:r>
      <w:r>
        <w:rPr>
          <w:rFonts w:hint="default" w:ascii="Times New Roman" w:hAnsi="Times New Roman" w:eastAsia="仿宋_GB2312" w:cs="Times New Roman"/>
          <w:b w:val="0"/>
          <w:bCs w:val="0"/>
          <w:color w:val="auto"/>
          <w:sz w:val="32"/>
          <w:szCs w:val="32"/>
          <w:highlight w:val="none"/>
          <w:lang w:eastAsia="zh-CN"/>
        </w:rPr>
        <w:t>万吨，阳涉铁路境内4个集运站年发运煤炭</w:t>
      </w:r>
      <w:r>
        <w:rPr>
          <w:rFonts w:hint="default" w:ascii="Times New Roman" w:hAnsi="Times New Roman" w:eastAsia="仿宋_GB2312" w:cs="Times New Roman"/>
          <w:b w:val="0"/>
          <w:bCs w:val="0"/>
          <w:color w:val="auto"/>
          <w:sz w:val="32"/>
          <w:szCs w:val="32"/>
          <w:highlight w:val="none"/>
          <w:lang w:val="en-US" w:eastAsia="zh-CN"/>
        </w:rPr>
        <w:t>387</w:t>
      </w:r>
      <w:r>
        <w:rPr>
          <w:rFonts w:hint="default" w:ascii="Times New Roman" w:hAnsi="Times New Roman" w:eastAsia="仿宋_GB2312" w:cs="Times New Roman"/>
          <w:b w:val="0"/>
          <w:bCs w:val="0"/>
          <w:color w:val="auto"/>
          <w:sz w:val="32"/>
          <w:szCs w:val="32"/>
          <w:highlight w:val="none"/>
          <w:lang w:eastAsia="zh-CN"/>
        </w:rPr>
        <w:t>万吨。此外，</w:t>
      </w:r>
      <w:r>
        <w:rPr>
          <w:rFonts w:hint="default" w:ascii="Times New Roman" w:hAnsi="Times New Roman" w:eastAsia="仿宋_GB2312" w:cs="Times New Roman"/>
          <w:b w:val="0"/>
          <w:bCs w:val="0"/>
          <w:color w:val="auto"/>
          <w:kern w:val="2"/>
          <w:sz w:val="32"/>
          <w:szCs w:val="32"/>
          <w:highlight w:val="none"/>
          <w:lang w:val="en-US" w:eastAsia="zh-CN" w:bidi="ar-SA"/>
        </w:rPr>
        <w:t>华阳新材料科技集团联合中国铁路北京局集团、天津港集团借鉴“内陆港”模式，成功组建山西（阳泉）国际陆港集团有限公司，致力打造高速高效的现代化物流体系，构建</w:t>
      </w:r>
      <w:r>
        <w:rPr>
          <w:rFonts w:hint="eastAsia" w:ascii="Times New Roman" w:hAnsi="Times New Roman" w:eastAsia="仿宋_GB2312" w:cs="Times New Roman"/>
          <w:b w:val="0"/>
          <w:bCs w:val="0"/>
          <w:color w:val="auto"/>
          <w:kern w:val="2"/>
          <w:sz w:val="32"/>
          <w:szCs w:val="32"/>
          <w:highlight w:val="none"/>
          <w:lang w:val="en-US" w:eastAsia="zh-CN" w:bidi="ar-SA"/>
        </w:rPr>
        <w:t>连</w:t>
      </w:r>
      <w:r>
        <w:rPr>
          <w:rFonts w:hint="default" w:ascii="Times New Roman" w:hAnsi="Times New Roman" w:eastAsia="仿宋_GB2312" w:cs="Times New Roman"/>
          <w:b w:val="0"/>
          <w:bCs w:val="0"/>
          <w:color w:val="auto"/>
          <w:kern w:val="2"/>
          <w:sz w:val="32"/>
          <w:szCs w:val="32"/>
          <w:highlight w:val="none"/>
          <w:lang w:val="en-US" w:eastAsia="zh-CN" w:bidi="ar-SA"/>
        </w:rPr>
        <w:t>接“一带</w:t>
      </w:r>
      <w:r>
        <w:rPr>
          <w:rFonts w:hint="eastAsia" w:ascii="Times New Roman" w:hAnsi="Times New Roman" w:eastAsia="仿宋_GB2312" w:cs="Times New Roman"/>
          <w:b w:val="0"/>
          <w:bCs w:val="0"/>
          <w:color w:val="auto"/>
          <w:kern w:val="2"/>
          <w:sz w:val="32"/>
          <w:szCs w:val="32"/>
          <w:highlight w:val="none"/>
          <w:lang w:val="en-US" w:eastAsia="zh-CN" w:bidi="ar-SA"/>
        </w:rPr>
        <w:t xml:space="preserve">  </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jc w:val="both"/>
        <w:textAlignment w:val="auto"/>
        <w:outlineLvl w:val="3"/>
        <w:rPr>
          <w:rFonts w:ascii="Times New Roman" w:hAnsi="Times New Roman" w:cs="Times New Roman"/>
          <w:color w:val="auto"/>
          <w:highlight w:val="none"/>
        </w:rPr>
      </w:pPr>
      <w:r>
        <w:rPr>
          <w:rFonts w:hint="default" w:ascii="Times New Roman" w:hAnsi="Times New Roman" w:eastAsia="仿宋_GB2312" w:cs="Times New Roman"/>
          <w:b w:val="0"/>
          <w:bCs w:val="0"/>
          <w:color w:val="auto"/>
          <w:kern w:val="2"/>
          <w:sz w:val="32"/>
          <w:szCs w:val="32"/>
          <w:highlight w:val="none"/>
          <w:lang w:val="en-US" w:eastAsia="zh-CN" w:bidi="ar-SA"/>
        </w:rPr>
        <w:t>一路”的大通道，实现“矿、路、港”一体化发展。</w:t>
      </w:r>
    </w:p>
    <w:p>
      <w:pPr>
        <w:keepNext w:val="0"/>
        <w:keepLines w:val="0"/>
        <w:pageBreakBefore w:val="0"/>
        <w:widowControl w:val="0"/>
        <w:kinsoku/>
        <w:wordWrap/>
        <w:overflowPunct/>
        <w:topLinePunct w:val="0"/>
        <w:autoSpaceDE/>
        <w:autoSpaceDN/>
        <w:bidi w:val="0"/>
        <w:adjustRightInd/>
        <w:snapToGrid/>
        <w:spacing w:line="600" w:lineRule="exact"/>
        <w:ind w:firstLine="0"/>
        <w:jc w:val="center"/>
        <w:outlineLvl w:val="9"/>
        <w:rPr>
          <w:rFonts w:hint="default" w:ascii="Times New Roman" w:hAnsi="Times New Roman" w:eastAsia="仿宋_GB2312" w:cs="Times New Roman"/>
          <w:b/>
          <w:bCs/>
          <w:color w:val="auto"/>
          <w:kern w:val="2"/>
          <w:sz w:val="32"/>
          <w:szCs w:val="32"/>
          <w:highlight w:val="none"/>
          <w:lang w:val="en-US" w:eastAsia="zh-CN" w:bidi="ar-SA"/>
        </w:rPr>
      </w:pPr>
      <w:r>
        <w:rPr>
          <w:rFonts w:ascii="Times New Roman" w:hAnsi="Times New Roman" w:cs="Times New Roman"/>
          <w:color w:val="auto"/>
          <w:highlight w:val="none"/>
        </w:rPr>
        <w:drawing>
          <wp:anchor distT="0" distB="0" distL="114300" distR="114300" simplePos="0" relativeHeight="251664384" behindDoc="0" locked="0" layoutInCell="1" allowOverlap="1">
            <wp:simplePos x="0" y="0"/>
            <wp:positionH relativeFrom="column">
              <wp:posOffset>389255</wp:posOffset>
            </wp:positionH>
            <wp:positionV relativeFrom="paragraph">
              <wp:posOffset>96520</wp:posOffset>
            </wp:positionV>
            <wp:extent cx="4156710" cy="2511425"/>
            <wp:effectExtent l="4445" t="4445" r="10795" b="17780"/>
            <wp:wrapTopAndBottom/>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default" w:ascii="Times New Roman" w:hAnsi="Times New Roman" w:eastAsia="宋体" w:cs="Times New Roman"/>
          <w:b/>
          <w:bCs/>
          <w:color w:val="auto"/>
          <w:sz w:val="28"/>
          <w:szCs w:val="28"/>
          <w:highlight w:val="none"/>
          <w:lang w:val="en-US" w:eastAsia="zh-CN"/>
        </w:rPr>
        <w:t>图1-</w:t>
      </w:r>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lang w:val="en-US" w:eastAsia="zh-CN"/>
        </w:rPr>
        <w:t xml:space="preserve">  2015-2020年阳泉市铁路货运量（万吨）</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3"/>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bCs/>
          <w:color w:val="auto"/>
          <w:kern w:val="2"/>
          <w:sz w:val="32"/>
          <w:szCs w:val="32"/>
          <w:highlight w:val="none"/>
          <w:lang w:val="en-US" w:eastAsia="zh-CN" w:bidi="ar-SA"/>
        </w:rPr>
        <w:t>产业发展外部环境显著改善。</w:t>
      </w:r>
      <w:r>
        <w:rPr>
          <w:rFonts w:hint="default" w:ascii="Times New Roman" w:hAnsi="Times New Roman" w:eastAsia="仿宋_GB2312" w:cs="Times New Roman"/>
          <w:b w:val="0"/>
          <w:bCs w:val="0"/>
          <w:color w:val="auto"/>
          <w:kern w:val="2"/>
          <w:sz w:val="32"/>
          <w:szCs w:val="32"/>
          <w:highlight w:val="none"/>
          <w:lang w:val="en-US" w:eastAsia="zh-CN" w:bidi="ar-SA"/>
        </w:rPr>
        <w:t>国家、省级有关部门连续出台《国家物流枢纽布局和建设规划》《关于推动物流高质量发展促进形成强大国内市场的意见》《关于现代物流发展的实施意见》《关于进一步推进物流降本增效促进实体经济发展的实施意见》等多项政策。</w:t>
      </w:r>
      <w:r>
        <w:rPr>
          <w:rFonts w:hint="default" w:ascii="Times New Roman" w:hAnsi="Times New Roman" w:eastAsia="仿宋_GB2312" w:cs="Times New Roman"/>
          <w:b w:val="0"/>
          <w:bCs w:val="0"/>
          <w:color w:val="auto"/>
          <w:sz w:val="32"/>
          <w:szCs w:val="32"/>
          <w:highlight w:val="none"/>
          <w:lang w:eastAsia="zh-CN"/>
        </w:rPr>
        <w:t>市委市政府也将</w:t>
      </w:r>
      <w:r>
        <w:rPr>
          <w:rFonts w:hint="default" w:ascii="Times New Roman" w:hAnsi="Times New Roman" w:eastAsia="仿宋_GB2312" w:cs="Times New Roman"/>
          <w:b w:val="0"/>
          <w:bCs w:val="0"/>
          <w:color w:val="auto"/>
          <w:sz w:val="32"/>
          <w:szCs w:val="32"/>
          <w:highlight w:val="none"/>
          <w:lang w:val="en-US" w:eastAsia="zh-CN"/>
        </w:rPr>
        <w:t>物流产业作为全市转型升级重要方向之一，提出</w:t>
      </w:r>
      <w:r>
        <w:rPr>
          <w:rFonts w:ascii="Times New Roman" w:hAnsi="Times New Roman" w:eastAsia="仿宋_GB2312" w:cs="Times New Roman"/>
          <w:i w:val="0"/>
          <w:iCs w:val="0"/>
          <w:caps w:val="0"/>
          <w:color w:val="auto"/>
          <w:spacing w:val="0"/>
          <w:sz w:val="32"/>
          <w:szCs w:val="32"/>
          <w:highlight w:val="none"/>
          <w:shd w:val="clear"/>
        </w:rPr>
        <w:t>实施服务业扩容提质战略，大力发展平台经济、现代物流、文化旅游和康养</w:t>
      </w:r>
      <w:r>
        <w:rPr>
          <w:rFonts w:hint="default" w:ascii="Times New Roman" w:hAnsi="Times New Roman" w:eastAsia="仿宋_GB2312" w:cs="Times New Roman"/>
          <w:b w:val="0"/>
          <w:bCs w:val="0"/>
          <w:color w:val="auto"/>
          <w:sz w:val="32"/>
          <w:szCs w:val="32"/>
          <w:highlight w:val="none"/>
          <w:lang w:val="en-US" w:eastAsia="zh-CN"/>
        </w:rPr>
        <w:t>等生产性、生活性服务业，先后出台了《阳泉市物流发展中长期规划》《阳泉市进一步降低物流成本实施方案》</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val="en-US" w:eastAsia="zh-CN"/>
        </w:rPr>
        <w:t>阳泉市支持全市网络货运平台发展若干措施</w:t>
      </w:r>
      <w:r>
        <w:rPr>
          <w:rFonts w:hint="eastAsia"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lang w:eastAsia="zh-CN"/>
        </w:rPr>
        <w:t>《关于加快电子商务发展实施意见》等多项</w:t>
      </w:r>
      <w:r>
        <w:rPr>
          <w:rFonts w:hint="default" w:ascii="Times New Roman" w:hAnsi="Times New Roman" w:eastAsia="仿宋_GB2312" w:cs="Times New Roman"/>
          <w:b w:val="0"/>
          <w:bCs w:val="0"/>
          <w:color w:val="auto"/>
          <w:sz w:val="32"/>
          <w:szCs w:val="32"/>
          <w:highlight w:val="none"/>
          <w:lang w:val="en-US" w:eastAsia="zh-CN"/>
        </w:rPr>
        <w:t>扶持政策。</w:t>
      </w:r>
      <w:r>
        <w:rPr>
          <w:rFonts w:hint="default" w:ascii="Times New Roman" w:hAnsi="Times New Roman" w:eastAsia="仿宋_GB2312" w:cs="Times New Roman"/>
          <w:b w:val="0"/>
          <w:bCs w:val="0"/>
          <w:color w:val="auto"/>
          <w:sz w:val="32"/>
          <w:szCs w:val="32"/>
          <w:highlight w:val="none"/>
          <w:lang w:eastAsia="zh-CN"/>
        </w:rPr>
        <w:t>同时，有关职能部门</w:t>
      </w:r>
      <w:r>
        <w:rPr>
          <w:rFonts w:hint="default" w:ascii="Times New Roman" w:hAnsi="Times New Roman" w:eastAsia="仿宋_GB2312" w:cs="Times New Roman"/>
          <w:b w:val="0"/>
          <w:bCs w:val="0"/>
          <w:color w:val="auto"/>
          <w:sz w:val="32"/>
          <w:szCs w:val="32"/>
          <w:highlight w:val="none"/>
          <w:lang w:val="en-US" w:eastAsia="zh-CN"/>
        </w:rPr>
        <w:t>积极落实土地、资金、税费、交通管理等政策，不断完善相关规划和标准体系，加大招商引资力度，全面提升了政务效率，改善了物流产业投资和发展环境。</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sz w:val="32"/>
          <w:szCs w:val="32"/>
          <w:highlight w:val="none"/>
          <w:lang w:val="en-US" w:eastAsia="zh-CN"/>
        </w:rPr>
      </w:pPr>
      <w:bookmarkStart w:id="84" w:name="_Toc8365"/>
      <w:bookmarkStart w:id="85" w:name="_Toc31058"/>
      <w:bookmarkStart w:id="86" w:name="_Toc12452"/>
      <w:bookmarkStart w:id="87" w:name="_Toc5444"/>
      <w:bookmarkStart w:id="88" w:name="_Toc7216"/>
      <w:bookmarkStart w:id="89" w:name="_Toc22297"/>
      <w:bookmarkStart w:id="90" w:name="_Toc26543"/>
      <w:bookmarkStart w:id="91" w:name="_Toc1227"/>
      <w:bookmarkStart w:id="92" w:name="_Toc4308"/>
      <w:bookmarkStart w:id="93" w:name="_Toc4511"/>
      <w:bookmarkStart w:id="94" w:name="_Toc14382"/>
      <w:bookmarkStart w:id="95" w:name="_Toc32464"/>
      <w:bookmarkStart w:id="96" w:name="_Toc944"/>
      <w:bookmarkStart w:id="97" w:name="_Toc7294"/>
      <w:bookmarkStart w:id="98" w:name="_Toc10470"/>
      <w:bookmarkStart w:id="99" w:name="_Toc27066"/>
      <w:bookmarkStart w:id="100" w:name="_Toc18062"/>
      <w:bookmarkStart w:id="101" w:name="_Toc18867"/>
      <w:bookmarkStart w:id="102" w:name="_Toc29737"/>
      <w:bookmarkStart w:id="103" w:name="_Toc28948"/>
      <w:bookmarkStart w:id="104" w:name="_Toc23107"/>
      <w:bookmarkStart w:id="105" w:name="_Toc1404"/>
      <w:bookmarkStart w:id="106" w:name="_Toc19424"/>
      <w:bookmarkStart w:id="107" w:name="_Toc10374"/>
      <w:bookmarkStart w:id="108" w:name="_Toc22070"/>
      <w:r>
        <w:rPr>
          <w:rFonts w:hint="eastAsia" w:ascii="Times New Roman" w:hAnsi="Times New Roman" w:eastAsia="楷体_GB2312" w:cs="Times New Roman"/>
          <w:b/>
          <w:bCs/>
          <w:color w:val="auto"/>
          <w:sz w:val="32"/>
          <w:szCs w:val="32"/>
          <w:highlight w:val="none"/>
          <w:lang w:val="en-US" w:eastAsia="zh-CN"/>
        </w:rPr>
        <w:t>（二）</w:t>
      </w:r>
      <w:r>
        <w:rPr>
          <w:rFonts w:hint="default" w:ascii="Times New Roman" w:hAnsi="Times New Roman" w:eastAsia="楷体_GB2312" w:cs="Times New Roman"/>
          <w:b/>
          <w:bCs/>
          <w:color w:val="auto"/>
          <w:sz w:val="32"/>
          <w:szCs w:val="32"/>
          <w:highlight w:val="none"/>
          <w:lang w:val="en-US" w:eastAsia="zh-CN"/>
        </w:rPr>
        <w:t>存在问题</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i w:val="0"/>
          <w:caps w:val="0"/>
          <w:color w:val="auto"/>
          <w:spacing w:val="0"/>
          <w:sz w:val="32"/>
          <w:szCs w:val="32"/>
          <w:highlight w:val="none"/>
          <w:shd w:val="clear" w:fill="FFFFFF"/>
          <w:lang w:val="en-US" w:eastAsia="zh-CN"/>
        </w:rPr>
        <w:t>虽然全市物流业发展取得了一定的成绩，形成了一定的发展基础，但规模小、层次低、底子薄的状况尚未得到根本改善，现代物流业仍处在发展起步阶段，主要表现在：</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both"/>
        <w:outlineLvl w:val="3"/>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shd w:val="clear" w:fill="FFFFFF"/>
          <w:lang w:val="en-US" w:eastAsia="zh-CN" w:bidi="ar-SA"/>
        </w:rPr>
        <w:t>物流基础设施建设相对滞后。</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货运枢纽等级低、规模小，多为三、四级枢纽，尚未建成大型货运枢纽，相对于全市大量货运需求，货运站场严重缺乏；公路技术等级有待提升，G207、G239、G307、S216等多条国省干线公路存在瓶颈路段，高等级公路占比仅为15.2%，在全省排名第八，低于全省平均水平（16.5%）。</w:t>
      </w:r>
      <w:r>
        <w:rPr>
          <w:rFonts w:hint="default" w:ascii="Times New Roman" w:hAnsi="Times New Roman" w:eastAsia="仿宋_GB2312" w:cs="Times New Roman"/>
          <w:i w:val="0"/>
          <w:iCs w:val="0"/>
          <w:caps w:val="0"/>
          <w:color w:val="auto"/>
          <w:spacing w:val="0"/>
          <w:sz w:val="32"/>
          <w:szCs w:val="32"/>
          <w:highlight w:val="none"/>
          <w:shd w:val="clear" w:fill="FFFFFF"/>
        </w:rPr>
        <w:t>物流基础设施</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尚未</w:t>
      </w:r>
      <w:r>
        <w:rPr>
          <w:rFonts w:hint="default" w:ascii="Times New Roman" w:hAnsi="Times New Roman" w:eastAsia="仿宋_GB2312" w:cs="Times New Roman"/>
          <w:i w:val="0"/>
          <w:iCs w:val="0"/>
          <w:caps w:val="0"/>
          <w:color w:val="auto"/>
          <w:spacing w:val="0"/>
          <w:sz w:val="32"/>
          <w:szCs w:val="32"/>
          <w:highlight w:val="none"/>
          <w:shd w:val="clear" w:fill="FFFFFF"/>
        </w:rPr>
        <w:t>形成网络化格局，公路、铁路之间</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尚未实现</w:t>
      </w:r>
      <w:r>
        <w:rPr>
          <w:rFonts w:hint="default" w:ascii="Times New Roman" w:hAnsi="Times New Roman" w:eastAsia="仿宋_GB2312" w:cs="Times New Roman"/>
          <w:i w:val="0"/>
          <w:iCs w:val="0"/>
          <w:caps w:val="0"/>
          <w:color w:val="auto"/>
          <w:spacing w:val="0"/>
          <w:sz w:val="32"/>
          <w:szCs w:val="32"/>
          <w:highlight w:val="none"/>
          <w:shd w:val="clear" w:fill="FFFFFF"/>
        </w:rPr>
        <w:t>无缝连接，“最后一公里”未真正打通</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。缺</w:t>
      </w:r>
      <w:r>
        <w:rPr>
          <w:rFonts w:hint="default" w:ascii="Times New Roman" w:hAnsi="Times New Roman" w:eastAsia="仿宋_GB2312" w:cs="Times New Roman"/>
          <w:b w:val="0"/>
          <w:bCs w:val="0"/>
          <w:color w:val="auto"/>
          <w:kern w:val="2"/>
          <w:sz w:val="32"/>
          <w:szCs w:val="32"/>
          <w:highlight w:val="none"/>
          <w:lang w:val="en-US" w:eastAsia="zh-CN" w:bidi="ar-SA"/>
        </w:rPr>
        <w:t>少较为系统的空间规划布局和</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面向国际和区域的大型物流中心、物流园区。</w:t>
      </w:r>
      <w:r>
        <w:rPr>
          <w:rFonts w:hint="default" w:ascii="Times New Roman" w:hAnsi="Times New Roman" w:eastAsia="仿宋_GB2312" w:cs="Times New Roman"/>
          <w:b w:val="0"/>
          <w:bCs w:val="0"/>
          <w:color w:val="auto"/>
          <w:kern w:val="2"/>
          <w:sz w:val="32"/>
          <w:szCs w:val="32"/>
          <w:highlight w:val="none"/>
          <w:lang w:val="en-US" w:eastAsia="zh-CN" w:bidi="ar-SA"/>
        </w:rPr>
        <w:t>现有物流园区</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规模相对较小、服务功能单一、</w:t>
      </w:r>
      <w:r>
        <w:rPr>
          <w:rFonts w:hint="default" w:ascii="Times New Roman" w:hAnsi="Times New Roman" w:eastAsia="仿宋_GB2312" w:cs="Times New Roman"/>
          <w:b w:val="0"/>
          <w:bCs w:val="0"/>
          <w:color w:val="auto"/>
          <w:kern w:val="2"/>
          <w:sz w:val="32"/>
          <w:szCs w:val="32"/>
          <w:highlight w:val="none"/>
          <w:lang w:val="en-US" w:eastAsia="zh-CN" w:bidi="ar-SA"/>
        </w:rPr>
        <w:t>定位不够清晰明确，与农业、制造业、商贸业联动发展的匹配性不强。</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both"/>
        <w:outlineLvl w:val="3"/>
        <w:rPr>
          <w:rFonts w:hint="default" w:ascii="Times New Roman" w:hAnsi="Times New Roman" w:eastAsia="仿宋_GB2312" w:cs="Times New Roman"/>
          <w:color w:val="auto"/>
          <w:kern w:val="2"/>
          <w:sz w:val="32"/>
          <w:szCs w:val="32"/>
          <w:highlight w:val="none"/>
          <w:shd w:val="clear" w:fill="FFFFFF"/>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行业</w:t>
      </w:r>
      <w:r>
        <w:rPr>
          <w:rFonts w:hint="default" w:ascii="Times New Roman" w:hAnsi="Times New Roman" w:eastAsia="仿宋_GB2312" w:cs="Times New Roman"/>
          <w:b/>
          <w:bCs/>
          <w:color w:val="auto"/>
          <w:sz w:val="32"/>
          <w:szCs w:val="32"/>
          <w:highlight w:val="none"/>
          <w:shd w:val="clear" w:fill="auto"/>
        </w:rPr>
        <w:t>总体水平依然偏低</w:t>
      </w:r>
      <w:r>
        <w:rPr>
          <w:rFonts w:hint="default" w:ascii="Times New Roman" w:hAnsi="Times New Roman" w:eastAsia="仿宋_GB2312" w:cs="Times New Roman"/>
          <w:b/>
          <w:bCs/>
          <w:color w:val="auto"/>
          <w:kern w:val="2"/>
          <w:sz w:val="32"/>
          <w:szCs w:val="32"/>
          <w:highlight w:val="none"/>
          <w:lang w:val="en-US" w:eastAsia="zh-CN" w:bidi="ar-SA"/>
        </w:rPr>
        <w:t>。</w:t>
      </w:r>
      <w:r>
        <w:rPr>
          <w:rFonts w:hint="default" w:ascii="Times New Roman" w:hAnsi="Times New Roman" w:eastAsia="仿宋_GB2312" w:cs="Times New Roman"/>
          <w:b w:val="0"/>
          <w:bCs w:val="0"/>
          <w:color w:val="auto"/>
          <w:sz w:val="32"/>
          <w:szCs w:val="32"/>
          <w:highlight w:val="none"/>
          <w:shd w:val="clear" w:fill="FFFFFF"/>
          <w:lang w:eastAsia="zh-CN"/>
        </w:rPr>
        <w:t>全市地区生产总值偏低，</w:t>
      </w:r>
      <w:r>
        <w:rPr>
          <w:rFonts w:hint="default" w:ascii="Times New Roman" w:hAnsi="Times New Roman" w:eastAsia="仿宋_GB2312" w:cs="Times New Roman"/>
          <w:b w:val="0"/>
          <w:bCs w:val="0"/>
          <w:color w:val="auto"/>
          <w:sz w:val="32"/>
          <w:szCs w:val="32"/>
          <w:highlight w:val="none"/>
          <w:shd w:val="clear" w:fill="FFFFFF"/>
        </w:rPr>
        <w:t>本地生产消费物流需求规模有限；</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物流行业发展总体仍处于产业链中低端，</w:t>
      </w:r>
      <w:r>
        <w:rPr>
          <w:rFonts w:hint="default" w:ascii="Times New Roman" w:hAnsi="Times New Roman" w:eastAsia="仿宋_GB2312" w:cs="Times New Roman"/>
          <w:b w:val="0"/>
          <w:bCs w:val="0"/>
          <w:color w:val="auto"/>
          <w:kern w:val="2"/>
          <w:sz w:val="32"/>
          <w:szCs w:val="32"/>
          <w:highlight w:val="none"/>
          <w:lang w:val="en-US" w:eastAsia="zh-CN" w:bidi="ar-SA"/>
        </w:rPr>
        <w:t>货运企业主体规模化、集约化程度不高，缺乏引导行业发展的龙头企业；</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大型物流企业较少，仅有1家4A级和2家3A级物流企业，占全省</w:t>
      </w:r>
      <w:r>
        <w:rPr>
          <w:rFonts w:hint="default" w:ascii="Times New Roman" w:hAnsi="Times New Roman" w:eastAsia="仿宋_GB2312" w:cs="Times New Roman"/>
          <w:color w:val="auto"/>
          <w:kern w:val="2"/>
          <w:sz w:val="32"/>
          <w:szCs w:val="32"/>
          <w:highlight w:val="none"/>
          <w:shd w:val="clear" w:fill="FFFFFF"/>
          <w:lang w:val="en-US" w:eastAsia="zh-CN" w:bidi="ar-SA"/>
        </w:rPr>
        <w:t>A级物流企业的比重仅为4.5%；山西（阳泉）国际陆港集团引领作用尚未充分发挥，生产企业大宗专业物流尚未实现服务外包，多以企业辅业形式存在；同时</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中小型物流企业占比较高，</w:t>
      </w:r>
      <w:r>
        <w:rPr>
          <w:rFonts w:hint="default" w:ascii="Times New Roman" w:hAnsi="Times New Roman" w:eastAsia="仿宋_GB2312" w:cs="Times New Roman"/>
          <w:color w:val="auto"/>
          <w:kern w:val="2"/>
          <w:sz w:val="32"/>
          <w:szCs w:val="32"/>
          <w:highlight w:val="none"/>
          <w:shd w:val="clear" w:fill="FFFFFF"/>
          <w:lang w:val="en-US" w:eastAsia="zh-CN" w:bidi="ar-SA"/>
        </w:rPr>
        <w:t>社会化、专业化的第三方物流企业</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“小、散、弱”现象明显，</w:t>
      </w:r>
      <w:r>
        <w:rPr>
          <w:rFonts w:hint="default" w:ascii="Times New Roman" w:hAnsi="Times New Roman" w:eastAsia="仿宋_GB2312" w:cs="Times New Roman"/>
          <w:color w:val="auto"/>
          <w:kern w:val="2"/>
          <w:sz w:val="32"/>
          <w:szCs w:val="32"/>
          <w:highlight w:val="none"/>
          <w:shd w:val="clear" w:fill="FFFFFF"/>
          <w:lang w:val="en-US" w:eastAsia="zh-CN" w:bidi="ar-SA"/>
        </w:rPr>
        <w:t>个体运输家和小企业仍然是道路运输的主体。</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outlineLvl w:val="3"/>
        <w:rPr>
          <w:rFonts w:hint="default" w:ascii="Times New Roman" w:hAnsi="Times New Roman" w:eastAsia="仿宋_GB2312" w:cs="Times New Roman"/>
          <w:color w:val="auto"/>
          <w:sz w:val="32"/>
          <w:szCs w:val="32"/>
          <w:highlight w:val="none"/>
          <w:shd w:val="clear" w:fill="FFFFFF"/>
        </w:rPr>
      </w:pPr>
      <w:r>
        <w:rPr>
          <w:rFonts w:hint="default" w:ascii="Times New Roman" w:hAnsi="Times New Roman" w:eastAsia="仿宋_GB2312" w:cs="Times New Roman"/>
          <w:b/>
          <w:bCs/>
          <w:color w:val="auto"/>
          <w:kern w:val="2"/>
          <w:sz w:val="32"/>
          <w:szCs w:val="32"/>
          <w:highlight w:val="none"/>
          <w:lang w:val="en-US" w:eastAsia="zh-CN" w:bidi="ar-SA"/>
        </w:rPr>
        <w:t>新业态新模式发展不足。</w:t>
      </w:r>
      <w:r>
        <w:rPr>
          <w:rFonts w:hint="default" w:ascii="Times New Roman" w:hAnsi="Times New Roman" w:eastAsia="仿宋_GB2312" w:cs="Times New Roman"/>
          <w:b w:val="0"/>
          <w:bCs w:val="0"/>
          <w:color w:val="auto"/>
          <w:sz w:val="32"/>
          <w:szCs w:val="32"/>
          <w:highlight w:val="none"/>
          <w:shd w:val="clear" w:fill="FFFFFF"/>
          <w:lang w:eastAsia="zh-CN"/>
        </w:rPr>
        <w:t>城市配送组织模式创新和社区末端配送设施建设不足；</w:t>
      </w:r>
      <w:r>
        <w:rPr>
          <w:rFonts w:hint="default" w:ascii="Times New Roman" w:hAnsi="Times New Roman" w:eastAsia="仿宋_GB2312" w:cs="Times New Roman"/>
          <w:color w:val="auto"/>
          <w:sz w:val="32"/>
          <w:szCs w:val="32"/>
          <w:highlight w:val="none"/>
          <w:shd w:val="clear" w:fill="FFFFFF"/>
        </w:rPr>
        <w:t>冷链物流规模</w:t>
      </w:r>
      <w:r>
        <w:rPr>
          <w:rFonts w:hint="default" w:ascii="Times New Roman" w:hAnsi="Times New Roman" w:eastAsia="仿宋_GB2312" w:cs="Times New Roman"/>
          <w:color w:val="auto"/>
          <w:sz w:val="32"/>
          <w:szCs w:val="32"/>
          <w:highlight w:val="none"/>
          <w:shd w:val="clear" w:fill="FFFFFF"/>
          <w:lang w:eastAsia="zh-CN"/>
        </w:rPr>
        <w:t>较</w:t>
      </w:r>
      <w:r>
        <w:rPr>
          <w:rFonts w:hint="default" w:ascii="Times New Roman" w:hAnsi="Times New Roman" w:eastAsia="仿宋_GB2312" w:cs="Times New Roman"/>
          <w:color w:val="auto"/>
          <w:sz w:val="32"/>
          <w:szCs w:val="32"/>
          <w:highlight w:val="none"/>
          <w:shd w:val="clear" w:fill="FFFFFF"/>
        </w:rPr>
        <w:t>小</w:t>
      </w:r>
      <w:r>
        <w:rPr>
          <w:rFonts w:hint="default" w:ascii="Times New Roman" w:hAnsi="Times New Roman" w:eastAsia="仿宋_GB2312" w:cs="Times New Roman"/>
          <w:color w:val="auto"/>
          <w:sz w:val="32"/>
          <w:szCs w:val="32"/>
          <w:highlight w:val="none"/>
          <w:shd w:val="clear" w:fill="FFFFFF"/>
          <w:lang w:eastAsia="zh-CN"/>
        </w:rPr>
        <w:t>、</w:t>
      </w:r>
      <w:r>
        <w:rPr>
          <w:rFonts w:hint="default" w:ascii="Times New Roman" w:hAnsi="Times New Roman" w:eastAsia="仿宋_GB2312" w:cs="Times New Roman"/>
          <w:color w:val="auto"/>
          <w:sz w:val="32"/>
          <w:szCs w:val="32"/>
          <w:highlight w:val="none"/>
          <w:shd w:val="clear" w:fill="FFFFFF"/>
        </w:rPr>
        <w:t>布局分散</w:t>
      </w:r>
      <w:r>
        <w:rPr>
          <w:rFonts w:hint="default" w:ascii="Times New Roman" w:hAnsi="Times New Roman" w:eastAsia="仿宋_GB2312" w:cs="Times New Roman"/>
          <w:color w:val="auto"/>
          <w:sz w:val="32"/>
          <w:szCs w:val="32"/>
          <w:highlight w:val="none"/>
          <w:shd w:val="clear" w:fill="FFFFFF"/>
          <w:lang w:eastAsia="zh-CN"/>
        </w:rPr>
        <w:t>，尚不能满足</w:t>
      </w:r>
      <w:r>
        <w:rPr>
          <w:rFonts w:hint="default" w:ascii="Times New Roman" w:hAnsi="Times New Roman" w:eastAsia="仿宋_GB2312" w:cs="Times New Roman"/>
          <w:color w:val="auto"/>
          <w:sz w:val="32"/>
          <w:szCs w:val="32"/>
          <w:highlight w:val="none"/>
          <w:shd w:val="clear" w:fill="FFFFFF"/>
          <w:lang w:val="en-US" w:eastAsia="zh-CN"/>
        </w:rPr>
        <w:t>生鲜电商、生鲜超市等快速发展需求；</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智慧物流、电商物流等</w:t>
      </w:r>
      <w:r>
        <w:rPr>
          <w:rFonts w:hint="default" w:ascii="Times New Roman" w:hAnsi="Times New Roman" w:eastAsia="仿宋_GB2312" w:cs="Times New Roman"/>
          <w:color w:val="auto"/>
          <w:sz w:val="32"/>
          <w:szCs w:val="32"/>
          <w:highlight w:val="none"/>
          <w:shd w:val="clear" w:fill="FFFFFF"/>
          <w:lang w:val="en-US" w:eastAsia="zh-CN"/>
        </w:rPr>
        <w:t>新业态</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发展还比较薄弱，</w:t>
      </w:r>
      <w:r>
        <w:rPr>
          <w:rFonts w:hint="default" w:ascii="Times New Roman" w:hAnsi="Times New Roman" w:eastAsia="仿宋_GB2312" w:cs="Times New Roman"/>
          <w:color w:val="auto"/>
          <w:sz w:val="32"/>
          <w:szCs w:val="32"/>
          <w:highlight w:val="none"/>
          <w:shd w:val="clear" w:fill="FFFFFF"/>
        </w:rPr>
        <w:t>供应链服务、多式联运、物流金融等</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发展滞后</w:t>
      </w:r>
      <w:r>
        <w:rPr>
          <w:rFonts w:hint="default" w:ascii="Times New Roman" w:hAnsi="Times New Roman" w:eastAsia="仿宋_GB2312" w:cs="Times New Roman"/>
          <w:color w:val="auto"/>
          <w:sz w:val="32"/>
          <w:szCs w:val="32"/>
          <w:highlight w:val="none"/>
          <w:shd w:val="clear" w:fill="FFFFFF"/>
        </w:rPr>
        <w:t>。</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技术化信息化程度不高，多数货运企业专业化、社会化、集约化管理程度较低，尚未形成现代物流经营模式；</w:t>
      </w:r>
      <w:r>
        <w:rPr>
          <w:rFonts w:hint="default" w:ascii="Times New Roman" w:hAnsi="Times New Roman" w:eastAsia="仿宋_GB2312" w:cs="Times New Roman"/>
          <w:color w:val="auto"/>
          <w:kern w:val="2"/>
          <w:sz w:val="32"/>
          <w:szCs w:val="32"/>
          <w:highlight w:val="none"/>
          <w:shd w:val="clear" w:fill="FFFFFF"/>
        </w:rPr>
        <w:t>物流基地</w:t>
      </w:r>
      <w:r>
        <w:rPr>
          <w:rFonts w:hint="default" w:ascii="Times New Roman" w:hAnsi="Times New Roman" w:eastAsia="仿宋_GB2312" w:cs="Times New Roman"/>
          <w:color w:val="auto"/>
          <w:kern w:val="2"/>
          <w:sz w:val="32"/>
          <w:szCs w:val="32"/>
          <w:highlight w:val="none"/>
          <w:shd w:val="clear" w:fill="FFFFFF"/>
          <w:lang w:val="en-US" w:eastAsia="zh-CN"/>
        </w:rPr>
        <w:t>和</w:t>
      </w:r>
      <w:r>
        <w:rPr>
          <w:rFonts w:hint="default" w:ascii="Times New Roman" w:hAnsi="Times New Roman" w:eastAsia="仿宋_GB2312" w:cs="Times New Roman"/>
          <w:color w:val="auto"/>
          <w:kern w:val="2"/>
          <w:sz w:val="32"/>
          <w:szCs w:val="32"/>
          <w:highlight w:val="none"/>
          <w:shd w:val="clear" w:fill="FFFFFF"/>
        </w:rPr>
        <w:t>物流中心</w:t>
      </w:r>
      <w:r>
        <w:rPr>
          <w:rFonts w:hint="default" w:ascii="Times New Roman" w:hAnsi="Times New Roman" w:eastAsia="仿宋_GB2312" w:cs="Times New Roman"/>
          <w:color w:val="auto"/>
          <w:kern w:val="2"/>
          <w:sz w:val="32"/>
          <w:szCs w:val="32"/>
          <w:highlight w:val="none"/>
          <w:shd w:val="clear" w:fill="FFFFFF"/>
          <w:lang w:eastAsia="zh-CN"/>
        </w:rPr>
        <w:t>内</w:t>
      </w:r>
      <w:r>
        <w:rPr>
          <w:rFonts w:hint="default" w:ascii="Times New Roman" w:hAnsi="Times New Roman" w:eastAsia="仿宋_GB2312" w:cs="Times New Roman"/>
          <w:color w:val="auto"/>
          <w:kern w:val="2"/>
          <w:sz w:val="32"/>
          <w:szCs w:val="32"/>
          <w:highlight w:val="none"/>
          <w:shd w:val="clear" w:fill="FFFFFF"/>
        </w:rPr>
        <w:t>物流设施装运机械化水平较低，普遍缺乏自动监控设备</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物流信息技术与传统产业结合的深度和广度还有待加强，信息共享能力相对不足。</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jc w:val="both"/>
        <w:textAlignment w:val="auto"/>
        <w:outlineLvl w:val="3"/>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物流运输结构不尽合理。</w:t>
      </w:r>
      <w:r>
        <w:rPr>
          <w:rFonts w:hint="default" w:ascii="Times New Roman" w:hAnsi="Times New Roman" w:eastAsia="仿宋_GB2312" w:cs="Times New Roman"/>
          <w:color w:val="auto"/>
          <w:sz w:val="32"/>
          <w:szCs w:val="32"/>
          <w:highlight w:val="none"/>
          <w:shd w:val="clear" w:fill="FFFFFF"/>
          <w:lang w:eastAsia="zh-CN"/>
        </w:rPr>
        <w:t>目前，全市</w:t>
      </w:r>
      <w:r>
        <w:rPr>
          <w:rFonts w:hint="default" w:ascii="Times New Roman" w:hAnsi="Times New Roman" w:eastAsia="仿宋_GB2312" w:cs="Times New Roman"/>
          <w:color w:val="auto"/>
          <w:sz w:val="32"/>
          <w:szCs w:val="32"/>
          <w:highlight w:val="none"/>
          <w:shd w:val="clear" w:fill="FFFFFF"/>
        </w:rPr>
        <w:t>生产物流以传统低端的大宗生产资料运输、仓储为主，</w:t>
      </w:r>
      <w:r>
        <w:rPr>
          <w:rFonts w:hint="default" w:ascii="Times New Roman" w:hAnsi="Times New Roman" w:eastAsia="仿宋_GB2312" w:cs="Times New Roman"/>
          <w:color w:val="auto"/>
          <w:kern w:val="2"/>
          <w:sz w:val="32"/>
          <w:szCs w:val="32"/>
          <w:highlight w:val="none"/>
          <w:shd w:val="clear" w:fill="FFFFFF"/>
          <w:lang w:val="en-US" w:eastAsia="zh-CN" w:bidi="ar-SA"/>
        </w:rPr>
        <w:t>总体上黑货、白货比为6：4，</w:t>
      </w:r>
      <w:r>
        <w:rPr>
          <w:rFonts w:hint="default" w:ascii="Times New Roman" w:hAnsi="Times New Roman" w:eastAsia="仿宋_GB2312" w:cs="Times New Roman"/>
          <w:color w:val="auto"/>
          <w:sz w:val="32"/>
          <w:szCs w:val="32"/>
          <w:highlight w:val="none"/>
          <w:shd w:val="clear" w:fill="FFFFFF"/>
        </w:rPr>
        <w:t>石太铁路运能基本饱和，阳涉铁路南向货运能力有限</w:t>
      </w:r>
      <w:r>
        <w:rPr>
          <w:rFonts w:hint="default" w:ascii="Times New Roman" w:hAnsi="Times New Roman" w:eastAsia="仿宋_GB2312" w:cs="Times New Roman"/>
          <w:color w:val="auto"/>
          <w:sz w:val="32"/>
          <w:szCs w:val="32"/>
          <w:highlight w:val="none"/>
          <w:shd w:val="clear" w:fill="FFFFFF"/>
          <w:lang w:eastAsia="zh-CN"/>
        </w:rPr>
        <w:t>，且</w:t>
      </w:r>
      <w:r>
        <w:rPr>
          <w:rFonts w:hint="default" w:ascii="Times New Roman" w:hAnsi="Times New Roman" w:eastAsia="仿宋_GB2312" w:cs="Times New Roman"/>
          <w:color w:val="auto"/>
          <w:sz w:val="32"/>
          <w:szCs w:val="32"/>
          <w:highlight w:val="none"/>
          <w:shd w:val="clear" w:fill="FFFFFF"/>
        </w:rPr>
        <w:t>运输工具回程空载率高</w:t>
      </w:r>
      <w:r>
        <w:rPr>
          <w:rFonts w:hint="default" w:ascii="Times New Roman" w:hAnsi="Times New Roman" w:eastAsia="仿宋_GB2312" w:cs="Times New Roman"/>
          <w:color w:val="auto"/>
          <w:sz w:val="32"/>
          <w:szCs w:val="32"/>
          <w:highlight w:val="none"/>
          <w:shd w:val="clear" w:fill="FFFFFF"/>
          <w:lang w:eastAsia="zh-CN"/>
        </w:rPr>
        <w:t>。</w:t>
      </w:r>
      <w:r>
        <w:rPr>
          <w:rFonts w:hint="default" w:ascii="Times New Roman" w:hAnsi="Times New Roman" w:eastAsia="仿宋_GB2312" w:cs="Times New Roman"/>
          <w:color w:val="auto"/>
          <w:sz w:val="32"/>
          <w:szCs w:val="32"/>
          <w:highlight w:val="none"/>
          <w:shd w:val="clear" w:fill="FFFFFF"/>
          <w:lang w:val="en-US" w:eastAsia="zh-CN"/>
        </w:rPr>
        <w:t>2020年全市进出口邮件快件1.97亿件，进口1.58亿件，出口0.39亿件，</w:t>
      </w:r>
      <w:r>
        <w:rPr>
          <w:rFonts w:hint="default" w:ascii="Times New Roman" w:hAnsi="Times New Roman" w:eastAsia="仿宋_GB2312" w:cs="Times New Roman"/>
          <w:color w:val="auto"/>
          <w:sz w:val="32"/>
          <w:szCs w:val="32"/>
          <w:highlight w:val="none"/>
          <w:shd w:val="clear" w:fill="FFFFFF"/>
          <w:lang w:eastAsia="zh-CN"/>
        </w:rPr>
        <w:t>进出港量不平衡导致快递车辆外出拉货满载率低，显著提高了我市物流企业运输成本，全市</w:t>
      </w:r>
      <w:r>
        <w:rPr>
          <w:rFonts w:hint="default" w:ascii="Times New Roman" w:hAnsi="Times New Roman" w:eastAsia="仿宋_GB2312" w:cs="Times New Roman"/>
          <w:color w:val="auto"/>
          <w:kern w:val="2"/>
          <w:sz w:val="32"/>
          <w:szCs w:val="32"/>
          <w:highlight w:val="none"/>
          <w:shd w:val="clear" w:fill="FFFFFF"/>
          <w:lang w:val="en-US" w:eastAsia="zh-CN" w:bidi="ar-SA"/>
        </w:rPr>
        <w:t>物流总成本占GDP的比重高达32%，高于全省平均水平4个百分点，高于全国平均水平13.7个百分点。</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3"/>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color w:val="auto"/>
          <w:kern w:val="2"/>
          <w:sz w:val="32"/>
          <w:szCs w:val="32"/>
          <w:highlight w:val="none"/>
          <w:lang w:val="en-US" w:eastAsia="zh-CN" w:bidi="ar-SA"/>
        </w:rPr>
        <w:t>服务体系建设有待完善。</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现有物流企业</w:t>
      </w:r>
      <w:r>
        <w:rPr>
          <w:rFonts w:hint="eastAsia" w:ascii="Times New Roman" w:hAnsi="Times New Roman" w:eastAsia="仿宋_GB2312" w:cs="Times New Roman"/>
          <w:i w:val="0"/>
          <w:caps w:val="0"/>
          <w:color w:val="auto"/>
          <w:spacing w:val="0"/>
          <w:sz w:val="32"/>
          <w:szCs w:val="32"/>
          <w:highlight w:val="none"/>
          <w:shd w:val="clear" w:fill="FFFFFF"/>
          <w:lang w:val="en-US" w:eastAsia="zh-CN"/>
        </w:rPr>
        <w:t>参差</w:t>
      </w:r>
      <w:bookmarkStart w:id="1575" w:name="_GoBack"/>
      <w:bookmarkEnd w:id="1575"/>
      <w:r>
        <w:rPr>
          <w:rFonts w:hint="default" w:ascii="Times New Roman" w:hAnsi="Times New Roman" w:eastAsia="仿宋_GB2312" w:cs="Times New Roman"/>
          <w:i w:val="0"/>
          <w:caps w:val="0"/>
          <w:color w:val="auto"/>
          <w:spacing w:val="0"/>
          <w:sz w:val="32"/>
          <w:szCs w:val="32"/>
          <w:highlight w:val="none"/>
          <w:shd w:val="clear" w:fill="FFFFFF"/>
          <w:lang w:val="en-US" w:eastAsia="zh-CN"/>
        </w:rPr>
        <w:t>不齐，物流服务同质竞争依然存在</w:t>
      </w:r>
      <w:r>
        <w:rPr>
          <w:rFonts w:hint="default" w:ascii="Times New Roman" w:hAnsi="Times New Roman" w:eastAsia="仿宋_GB2312" w:cs="Times New Roman"/>
          <w:color w:val="auto"/>
          <w:kern w:val="2"/>
          <w:sz w:val="32"/>
          <w:szCs w:val="32"/>
          <w:highlight w:val="none"/>
          <w:shd w:val="clear" w:fill="FFFFFF"/>
        </w:rPr>
        <w:t>，吸引力、辐射力和拉动力</w:t>
      </w:r>
      <w:r>
        <w:rPr>
          <w:rFonts w:hint="default" w:ascii="Times New Roman" w:hAnsi="Times New Roman" w:eastAsia="仿宋_GB2312" w:cs="Times New Roman"/>
          <w:color w:val="auto"/>
          <w:kern w:val="2"/>
          <w:sz w:val="32"/>
          <w:szCs w:val="32"/>
          <w:highlight w:val="none"/>
          <w:shd w:val="clear" w:fill="FFFFFF"/>
          <w:lang w:eastAsia="zh-CN"/>
        </w:rPr>
        <w:t>不足；</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物流业与相关产业之间缺乏深度合作，统一物流市场尚未形成，</w:t>
      </w:r>
      <w:r>
        <w:rPr>
          <w:rFonts w:hint="default" w:ascii="Times New Roman" w:hAnsi="Times New Roman" w:eastAsia="仿宋_GB2312" w:cs="Times New Roman"/>
          <w:color w:val="auto"/>
          <w:kern w:val="2"/>
          <w:sz w:val="32"/>
          <w:szCs w:val="32"/>
          <w:highlight w:val="none"/>
          <w:shd w:val="clear" w:fill="FFFFFF"/>
        </w:rPr>
        <w:t>严重影响物流集散和运输效率</w:t>
      </w:r>
      <w:r>
        <w:rPr>
          <w:rFonts w:hint="default" w:ascii="Times New Roman" w:hAnsi="Times New Roman" w:eastAsia="仿宋_GB2312" w:cs="Times New Roman"/>
          <w:color w:val="auto"/>
          <w:kern w:val="2"/>
          <w:sz w:val="32"/>
          <w:szCs w:val="32"/>
          <w:highlight w:val="none"/>
          <w:shd w:val="clear" w:fill="FFFFFF"/>
          <w:lang w:eastAsia="zh-CN"/>
        </w:rPr>
        <w:t>；</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现有物流企业内部物流人才缺失，缺乏能够适应现代化、专业化、精细化物流服务要求的管理人员；物流业管理体制机制有待完善，发展优惠政策有待进一步落实。</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z w:val="32"/>
          <w:szCs w:val="32"/>
          <w:highlight w:val="none"/>
          <w:lang w:val="en-US" w:eastAsia="zh-CN"/>
        </w:rPr>
      </w:pPr>
      <w:bookmarkStart w:id="109" w:name="_Toc10242"/>
      <w:bookmarkStart w:id="110" w:name="_Toc12632"/>
      <w:bookmarkStart w:id="111" w:name="_Toc24001"/>
      <w:bookmarkStart w:id="112" w:name="_Toc17957"/>
      <w:bookmarkStart w:id="113" w:name="_Toc17973"/>
      <w:bookmarkStart w:id="114" w:name="_Toc20984"/>
      <w:bookmarkStart w:id="115" w:name="_Toc29110"/>
      <w:bookmarkStart w:id="116" w:name="_Toc31273"/>
      <w:bookmarkStart w:id="117" w:name="_Toc1540"/>
      <w:bookmarkStart w:id="118" w:name="_Toc4919"/>
      <w:bookmarkStart w:id="119" w:name="_Toc31590"/>
      <w:bookmarkStart w:id="120" w:name="_Toc8693"/>
      <w:bookmarkStart w:id="121" w:name="_Toc25330"/>
      <w:bookmarkStart w:id="122" w:name="_Toc24489"/>
      <w:bookmarkStart w:id="123" w:name="_Toc18706"/>
      <w:bookmarkStart w:id="124" w:name="_Toc31762"/>
      <w:bookmarkStart w:id="125" w:name="_Toc15715"/>
      <w:bookmarkStart w:id="126" w:name="_Toc18843"/>
      <w:bookmarkStart w:id="127" w:name="_Toc1996"/>
      <w:bookmarkStart w:id="128" w:name="_Toc24101"/>
      <w:bookmarkStart w:id="129" w:name="_Toc4912"/>
      <w:bookmarkStart w:id="130" w:name="_Toc26186"/>
      <w:bookmarkStart w:id="131" w:name="_Toc9529"/>
      <w:bookmarkStart w:id="132" w:name="_Toc5029"/>
      <w:bookmarkStart w:id="133" w:name="_Toc165"/>
      <w:bookmarkStart w:id="134" w:name="_Toc16420"/>
      <w:bookmarkStart w:id="135" w:name="_Toc8679"/>
      <w:bookmarkStart w:id="136" w:name="_Toc5711"/>
      <w:bookmarkStart w:id="137" w:name="_Toc4031"/>
      <w:bookmarkStart w:id="138" w:name="_Toc4821"/>
      <w:bookmarkStart w:id="139" w:name="_Toc29669"/>
      <w:bookmarkStart w:id="140" w:name="_Toc4697"/>
      <w:bookmarkStart w:id="141" w:name="_Toc24844"/>
      <w:bookmarkStart w:id="142" w:name="_Toc19350"/>
      <w:bookmarkStart w:id="143" w:name="_Toc15249"/>
      <w:bookmarkStart w:id="144" w:name="_Toc13017"/>
      <w:bookmarkStart w:id="145" w:name="_Toc27385"/>
      <w:bookmarkStart w:id="146" w:name="_Toc32100"/>
      <w:bookmarkStart w:id="147" w:name="_Toc19086"/>
      <w:bookmarkStart w:id="148" w:name="_Toc28708"/>
      <w:r>
        <w:rPr>
          <w:rFonts w:hint="default" w:ascii="Times New Roman" w:hAnsi="Times New Roman" w:eastAsia="楷体_GB2312" w:cs="Times New Roman"/>
          <w:b/>
          <w:bCs/>
          <w:color w:val="auto"/>
          <w:sz w:val="32"/>
          <w:szCs w:val="32"/>
          <w:highlight w:val="none"/>
          <w:lang w:val="en-US" w:eastAsia="zh-CN"/>
        </w:rPr>
        <w:t>（三）面临形势</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kern w:val="2"/>
          <w:sz w:val="32"/>
          <w:szCs w:val="32"/>
          <w:highlight w:val="none"/>
          <w:shd w:val="clear" w:fill="FFFFFF"/>
          <w:lang w:val="en-US" w:eastAsia="zh-CN"/>
        </w:rPr>
      </w:pP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全球产业链供应链面临非经济因素冲击，贸易格局加速调整，对国际物流发展提出新的要求。</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我国已进入高质量发展阶段，</w:t>
      </w:r>
      <w:r>
        <w:rPr>
          <w:rFonts w:hint="default" w:ascii="Times New Roman" w:hAnsi="Times New Roman" w:eastAsia="仿宋_GB2312" w:cs="Times New Roman"/>
          <w:i w:val="0"/>
          <w:caps w:val="0"/>
          <w:color w:val="auto"/>
          <w:spacing w:val="0"/>
          <w:sz w:val="32"/>
          <w:szCs w:val="32"/>
          <w:highlight w:val="none"/>
          <w:shd w:val="clear" w:fill="FFFFFF"/>
        </w:rPr>
        <w:t>物流</w:t>
      </w:r>
      <w:r>
        <w:rPr>
          <w:rFonts w:hint="default" w:ascii="Times New Roman" w:hAnsi="Times New Roman" w:eastAsia="仿宋_GB2312" w:cs="Times New Roman"/>
          <w:i w:val="0"/>
          <w:caps w:val="0"/>
          <w:color w:val="auto"/>
          <w:spacing w:val="0"/>
          <w:sz w:val="32"/>
          <w:szCs w:val="32"/>
          <w:highlight w:val="none"/>
          <w:shd w:val="clear" w:fill="FFFFFF"/>
          <w:lang w:eastAsia="zh-CN"/>
        </w:rPr>
        <w:t>作为</w:t>
      </w:r>
      <w:r>
        <w:rPr>
          <w:rFonts w:hint="default" w:ascii="Times New Roman" w:hAnsi="Times New Roman" w:eastAsia="仿宋_GB2312" w:cs="Times New Roman"/>
          <w:i w:val="0"/>
          <w:caps w:val="0"/>
          <w:color w:val="auto"/>
          <w:spacing w:val="0"/>
          <w:sz w:val="32"/>
          <w:szCs w:val="32"/>
          <w:highlight w:val="none"/>
          <w:shd w:val="clear" w:fill="FFFFFF"/>
        </w:rPr>
        <w:t>现代流通体系的重要组成部分，</w:t>
      </w:r>
      <w:r>
        <w:rPr>
          <w:rFonts w:hint="default" w:ascii="Times New Roman" w:hAnsi="Times New Roman" w:eastAsia="仿宋_GB2312" w:cs="Times New Roman"/>
          <w:i w:val="0"/>
          <w:caps w:val="0"/>
          <w:color w:val="auto"/>
          <w:spacing w:val="0"/>
          <w:sz w:val="32"/>
          <w:szCs w:val="32"/>
          <w:highlight w:val="none"/>
          <w:shd w:val="clear" w:fill="FFFFFF"/>
          <w:lang w:eastAsia="zh-CN"/>
        </w:rPr>
        <w:t>在</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以国内大循环为主体、国内国际双循环相互促进的新发展格局初现端倪和云计算、大数据、物联网等新一代信息技术普及应用的背景下，整体将处于现代产业体系建设关键期、强大国内市场培育加速期、区域经济协调发展提升期和现代供应链体系构建闯关期。国家层面持续推进物流枢纽建设，将对国内区域产业布局、梯度转移等产生较大影响，物流业区域竞争、发展业态面临大变革和大发展。</w:t>
      </w:r>
      <w:r>
        <w:rPr>
          <w:rFonts w:hint="default" w:ascii="Times New Roman" w:hAnsi="Times New Roman" w:eastAsia="仿宋_GB2312" w:cs="Times New Roman"/>
          <w:color w:val="auto"/>
          <w:kern w:val="0"/>
          <w:sz w:val="32"/>
          <w:szCs w:val="32"/>
          <w:highlight w:val="none"/>
          <w:lang w:eastAsia="zh-CN"/>
        </w:rPr>
        <w:t>同时，</w:t>
      </w:r>
      <w:r>
        <w:rPr>
          <w:rFonts w:hint="default" w:ascii="Times New Roman" w:hAnsi="Times New Roman" w:eastAsia="仿宋_GB2312" w:cs="Times New Roman"/>
          <w:color w:val="auto"/>
          <w:kern w:val="0"/>
          <w:sz w:val="32"/>
          <w:szCs w:val="32"/>
          <w:highlight w:val="none"/>
          <w:lang w:val="en-US" w:eastAsia="zh-CN"/>
        </w:rPr>
        <w:t>新型城镇化战略、城乡</w:t>
      </w:r>
      <w:r>
        <w:rPr>
          <w:rFonts w:hint="default" w:ascii="Times New Roman" w:hAnsi="Times New Roman" w:eastAsia="仿宋_GB2312" w:cs="Times New Roman"/>
          <w:color w:val="auto"/>
          <w:kern w:val="2"/>
          <w:sz w:val="32"/>
          <w:szCs w:val="32"/>
          <w:highlight w:val="none"/>
          <w:shd w:val="clear" w:fill="FFFFFF"/>
          <w:lang w:val="en-US" w:eastAsia="zh-CN"/>
        </w:rPr>
        <w:t>一体化发展、产业转型和居民消费升级都迫切要求建立现代物流体系，为冷链物流、快递物流和电商物流等新兴物流产业发展提供了广阔的市场空间。</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3"/>
        <w:outlineLvl w:val="9"/>
        <w:rPr>
          <w:rFonts w:hint="default" w:ascii="Times New Roman" w:hAnsi="Times New Roman" w:eastAsia="仿宋_GB2312" w:cs="Times New Roman"/>
          <w:i w:val="0"/>
          <w:iCs w:val="0"/>
          <w:caps w:val="0"/>
          <w:color w:val="auto"/>
          <w:spacing w:val="0"/>
          <w:sz w:val="32"/>
          <w:szCs w:val="32"/>
          <w:highlight w:val="none"/>
          <w:shd w:val="clear" w:fill="FFFFFF"/>
          <w:lang w:eastAsia="zh-CN"/>
        </w:rPr>
      </w:pPr>
      <w:r>
        <w:rPr>
          <w:rFonts w:hint="default" w:ascii="Times New Roman" w:hAnsi="Times New Roman" w:eastAsia="仿宋_GB2312" w:cs="Times New Roman"/>
          <w:b/>
          <w:bCs/>
          <w:color w:val="auto"/>
          <w:sz w:val="32"/>
          <w:szCs w:val="32"/>
          <w:highlight w:val="none"/>
          <w:lang w:val="en-US" w:eastAsia="zh-CN"/>
        </w:rPr>
        <w:t>从省内看，</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习近平总书记</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五</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年内</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三</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次视察山西，</w:t>
      </w:r>
      <w:r>
        <w:rPr>
          <w:rFonts w:hint="default" w:ascii="Times New Roman" w:hAnsi="Times New Roman" w:eastAsia="仿宋_GB2312" w:cs="Times New Roman"/>
          <w:color w:val="auto"/>
          <w:sz w:val="32"/>
          <w:szCs w:val="32"/>
          <w:highlight w:val="none"/>
        </w:rPr>
        <w:t>提出</w:t>
      </w:r>
      <w:r>
        <w:rPr>
          <w:rFonts w:hint="default" w:ascii="Times New Roman" w:hAnsi="Times New Roman" w:eastAsia="仿宋_GB2312" w:cs="Times New Roman"/>
          <w:color w:val="auto"/>
          <w:sz w:val="32"/>
          <w:szCs w:val="32"/>
          <w:highlight w:val="none"/>
          <w:lang w:eastAsia="zh-CN"/>
        </w:rPr>
        <w:t>了</w:t>
      </w:r>
      <w:r>
        <w:rPr>
          <w:rFonts w:hint="default" w:ascii="Times New Roman" w:hAnsi="Times New Roman" w:eastAsia="仿宋_GB2312" w:cs="Times New Roman"/>
          <w:color w:val="auto"/>
          <w:sz w:val="32"/>
          <w:szCs w:val="32"/>
          <w:highlight w:val="none"/>
        </w:rPr>
        <w:t>“在新基建、新技术、新材料、新装备、新产品、新业态上不断取得突破”的要求，</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为全省</w:t>
      </w:r>
      <w:r>
        <w:rPr>
          <w:rFonts w:hint="default" w:ascii="Times New Roman" w:hAnsi="Times New Roman" w:eastAsia="仿宋_GB2312" w:cs="Times New Roman"/>
          <w:color w:val="auto"/>
          <w:sz w:val="32"/>
          <w:szCs w:val="32"/>
          <w:highlight w:val="none"/>
        </w:rPr>
        <w:t>物流业创新发展，培育新业态与</w:t>
      </w:r>
      <w:r>
        <w:rPr>
          <w:rFonts w:hint="default" w:ascii="Times New Roman" w:hAnsi="Times New Roman" w:eastAsia="仿宋_GB2312" w:cs="Times New Roman"/>
          <w:color w:val="auto"/>
          <w:sz w:val="32"/>
          <w:szCs w:val="32"/>
          <w:highlight w:val="none"/>
          <w:lang w:eastAsia="zh-CN"/>
        </w:rPr>
        <w:t>新模式</w:t>
      </w:r>
      <w:r>
        <w:rPr>
          <w:rFonts w:hint="default" w:ascii="Times New Roman" w:hAnsi="Times New Roman" w:eastAsia="仿宋_GB2312" w:cs="Times New Roman"/>
          <w:color w:val="auto"/>
          <w:sz w:val="32"/>
          <w:szCs w:val="32"/>
          <w:highlight w:val="none"/>
        </w:rPr>
        <w:t>提供了充足的动力</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在</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全省</w:t>
      </w:r>
      <w:r>
        <w:rPr>
          <w:rFonts w:hint="default" w:ascii="Times New Roman" w:hAnsi="Times New Roman" w:eastAsia="仿宋_GB2312" w:cs="Times New Roman"/>
          <w:sz w:val="32"/>
          <w:szCs w:val="32"/>
          <w:lang w:eastAsia="zh-CN"/>
        </w:rPr>
        <w:t>“一群两区三</w:t>
      </w:r>
      <w:r>
        <w:rPr>
          <w:rFonts w:hint="default" w:ascii="Times New Roman" w:hAnsi="Times New Roman" w:eastAsia="仿宋_GB2312" w:cs="Times New Roman"/>
          <w:sz w:val="32"/>
          <w:szCs w:val="32"/>
          <w:lang w:val="en-US" w:eastAsia="zh-CN"/>
        </w:rPr>
        <w:t>圈</w:t>
      </w:r>
      <w:r>
        <w:rPr>
          <w:rFonts w:hint="default" w:ascii="Times New Roman" w:hAnsi="Times New Roman" w:eastAsia="仿宋_GB2312" w:cs="Times New Roman"/>
          <w:sz w:val="32"/>
          <w:szCs w:val="32"/>
          <w:lang w:eastAsia="zh-CN"/>
        </w:rPr>
        <w:t>”区域发展新布局</w:t>
      </w:r>
      <w:r>
        <w:rPr>
          <w:rFonts w:hint="eastAsia" w:ascii="Times New Roman" w:hAnsi="Times New Roman" w:eastAsia="仿宋_GB2312" w:cs="Times New Roman"/>
          <w:sz w:val="32"/>
          <w:szCs w:val="32"/>
          <w:lang w:val="en-US" w:eastAsia="zh-CN"/>
        </w:rPr>
        <w:t>下，阳泉作为中部城市群的核心成员，将进一步依托区位优势，</w:t>
      </w:r>
      <w:r>
        <w:rPr>
          <w:rFonts w:hint="default" w:ascii="Times New Roman" w:hAnsi="Times New Roman" w:eastAsia="仿宋_GB2312" w:cs="Times New Roman"/>
          <w:color w:val="auto"/>
          <w:kern w:val="2"/>
          <w:sz w:val="32"/>
          <w:szCs w:val="32"/>
          <w:highlight w:val="none"/>
          <w:shd w:val="clear" w:fill="FFFFFF"/>
          <w:lang w:val="en-US" w:eastAsia="zh-CN"/>
        </w:rPr>
        <w:t>加强与周边太原、忻州、晋中等地</w:t>
      </w:r>
      <w:r>
        <w:rPr>
          <w:rFonts w:hint="eastAsia" w:ascii="Times New Roman" w:hAnsi="Times New Roman" w:eastAsia="仿宋_GB2312" w:cs="Times New Roman"/>
          <w:color w:val="auto"/>
          <w:kern w:val="2"/>
          <w:sz w:val="32"/>
          <w:szCs w:val="32"/>
          <w:highlight w:val="none"/>
          <w:shd w:val="clear" w:fill="FFFFFF"/>
          <w:lang w:val="en-US" w:eastAsia="zh-CN"/>
        </w:rPr>
        <w:t>在物流领域</w:t>
      </w:r>
      <w:r>
        <w:rPr>
          <w:rFonts w:hint="default" w:ascii="Times New Roman" w:hAnsi="Times New Roman" w:eastAsia="仿宋_GB2312" w:cs="Times New Roman"/>
          <w:color w:val="auto"/>
          <w:kern w:val="2"/>
          <w:sz w:val="32"/>
          <w:szCs w:val="32"/>
          <w:highlight w:val="none"/>
          <w:shd w:val="clear" w:fill="FFFFFF"/>
          <w:lang w:val="en-US" w:eastAsia="zh-CN"/>
        </w:rPr>
        <w:t>的区域分工、园区布局、要素流动</w:t>
      </w:r>
      <w:r>
        <w:rPr>
          <w:rFonts w:hint="eastAsia" w:ascii="Times New Roman" w:hAnsi="Times New Roman" w:eastAsia="仿宋_GB2312" w:cs="Times New Roman"/>
          <w:color w:val="auto"/>
          <w:kern w:val="2"/>
          <w:sz w:val="32"/>
          <w:szCs w:val="32"/>
          <w:highlight w:val="none"/>
          <w:shd w:val="clear" w:fill="FFFFFF"/>
          <w:lang w:val="en-US" w:eastAsia="zh-CN"/>
        </w:rPr>
        <w:t>和</w:t>
      </w:r>
      <w:r>
        <w:rPr>
          <w:rFonts w:hint="default" w:ascii="Times New Roman" w:hAnsi="Times New Roman" w:eastAsia="仿宋_GB2312" w:cs="Times New Roman"/>
          <w:color w:val="auto"/>
          <w:kern w:val="2"/>
          <w:sz w:val="32"/>
          <w:szCs w:val="32"/>
          <w:highlight w:val="none"/>
          <w:shd w:val="clear" w:fill="FFFFFF"/>
          <w:lang w:val="en-US" w:eastAsia="zh-CN"/>
        </w:rPr>
        <w:t>产业转移合作。</w:t>
      </w:r>
      <w:r>
        <w:rPr>
          <w:rFonts w:hint="eastAsia" w:ascii="Times New Roman" w:hAnsi="Times New Roman" w:eastAsia="仿宋_GB2312" w:cs="Times New Roman"/>
          <w:sz w:val="32"/>
          <w:szCs w:val="32"/>
          <w:lang w:val="en-US" w:eastAsia="zh-CN"/>
        </w:rPr>
        <w:t>在全省持续推进</w:t>
      </w:r>
      <w:r>
        <w:rPr>
          <w:rFonts w:hint="default" w:ascii="Times New Roman" w:hAnsi="Times New Roman" w:eastAsia="仿宋_GB2312" w:cs="Times New Roman"/>
          <w:color w:val="auto"/>
          <w:kern w:val="2"/>
          <w:sz w:val="32"/>
          <w:szCs w:val="32"/>
          <w:highlight w:val="none"/>
          <w:shd w:val="clear" w:fill="FFFFFF"/>
          <w:lang w:val="en-US" w:eastAsia="zh-CN"/>
        </w:rPr>
        <w:t>“天字型”物流网络建设</w:t>
      </w:r>
      <w:r>
        <w:rPr>
          <w:rFonts w:hint="eastAsia" w:ascii="Times New Roman" w:hAnsi="Times New Roman" w:eastAsia="仿宋_GB2312" w:cs="Times New Roman"/>
          <w:color w:val="auto"/>
          <w:kern w:val="2"/>
          <w:sz w:val="32"/>
          <w:szCs w:val="32"/>
          <w:highlight w:val="none"/>
          <w:shd w:val="clear" w:fill="FFFFFF"/>
          <w:lang w:val="en-US" w:eastAsia="zh-CN"/>
        </w:rPr>
        <w:t>背景下</w:t>
      </w:r>
      <w:r>
        <w:rPr>
          <w:rFonts w:hint="default" w:ascii="Times New Roman" w:hAnsi="Times New Roman" w:eastAsia="仿宋_GB2312" w:cs="Times New Roman"/>
          <w:i w:val="0"/>
          <w:iCs w:val="0"/>
          <w:caps w:val="0"/>
          <w:color w:val="auto"/>
          <w:spacing w:val="0"/>
          <w:sz w:val="32"/>
          <w:szCs w:val="32"/>
          <w:highlight w:val="none"/>
          <w:shd w:val="clear" w:fill="FFFFFF"/>
        </w:rPr>
        <w:t>，</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将</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有助于我市与大同、临汾等区域性物流枢纽进行跨区域合作，</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统筹</w:t>
      </w:r>
      <w:r>
        <w:rPr>
          <w:rFonts w:hint="default" w:ascii="Times New Roman" w:hAnsi="Times New Roman" w:eastAsia="仿宋_GB2312" w:cs="Times New Roman"/>
          <w:i w:val="0"/>
          <w:iCs w:val="0"/>
          <w:caps w:val="0"/>
          <w:color w:val="auto"/>
          <w:spacing w:val="0"/>
          <w:sz w:val="32"/>
          <w:szCs w:val="32"/>
          <w:highlight w:val="none"/>
          <w:shd w:val="clear" w:fill="FFFFFF"/>
        </w:rPr>
        <w:t>资源要素</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和</w:t>
      </w:r>
      <w:r>
        <w:rPr>
          <w:rFonts w:hint="default" w:ascii="Times New Roman" w:hAnsi="Times New Roman" w:eastAsia="仿宋_GB2312" w:cs="Times New Roman"/>
          <w:i w:val="0"/>
          <w:iCs w:val="0"/>
          <w:caps w:val="0"/>
          <w:color w:val="auto"/>
          <w:spacing w:val="0"/>
          <w:sz w:val="32"/>
          <w:szCs w:val="32"/>
          <w:highlight w:val="none"/>
          <w:shd w:val="clear" w:fill="FFFFFF"/>
        </w:rPr>
        <w:t>产业布局</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扩大物流服务范围，</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促进</w:t>
      </w:r>
      <w:r>
        <w:rPr>
          <w:rFonts w:hint="eastAsia" w:ascii="Times New Roman" w:hAnsi="Times New Roman" w:eastAsia="仿宋_GB2312" w:cs="Times New Roman"/>
          <w:i w:val="0"/>
          <w:iCs w:val="0"/>
          <w:caps w:val="0"/>
          <w:color w:val="auto"/>
          <w:spacing w:val="0"/>
          <w:sz w:val="32"/>
          <w:szCs w:val="32"/>
          <w:highlight w:val="none"/>
          <w:shd w:val="clear" w:fill="FFFFFF"/>
          <w:lang w:val="en-US" w:eastAsia="zh-CN"/>
        </w:rPr>
        <w:t>全省物流实现</w:t>
      </w:r>
      <w:r>
        <w:rPr>
          <w:rFonts w:hint="default" w:ascii="Times New Roman" w:hAnsi="Times New Roman" w:eastAsia="仿宋_GB2312" w:cs="Times New Roman"/>
          <w:i w:val="0"/>
          <w:iCs w:val="0"/>
          <w:caps w:val="0"/>
          <w:color w:val="auto"/>
          <w:spacing w:val="0"/>
          <w:sz w:val="32"/>
          <w:szCs w:val="32"/>
          <w:highlight w:val="none"/>
          <w:shd w:val="clear" w:fill="FFFFFF"/>
        </w:rPr>
        <w:t>一体化</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发展</w:t>
      </w:r>
      <w:r>
        <w:rPr>
          <w:rFonts w:hint="eastAsia" w:ascii="Times New Roman" w:hAnsi="Times New Roman" w:eastAsia="仿宋_GB2312" w:cs="Times New Roman"/>
          <w:i w:val="0"/>
          <w:iCs w:val="0"/>
          <w:caps w:val="0"/>
          <w:color w:val="auto"/>
          <w:spacing w:val="0"/>
          <w:sz w:val="32"/>
          <w:szCs w:val="32"/>
          <w:highlight w:val="none"/>
          <w:shd w:val="clear" w:fill="FFFFFF"/>
          <w:lang w:eastAsia="zh-CN"/>
        </w:rPr>
        <w:t>。</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3"/>
        <w:outlineLvl w:val="9"/>
        <w:rPr>
          <w:rFonts w:hint="default" w:ascii="Times New Roman" w:hAnsi="Times New Roman" w:eastAsia="仿宋_GB2312" w:cs="Times New Roman"/>
          <w:color w:val="auto"/>
          <w:kern w:val="2"/>
          <w:sz w:val="32"/>
          <w:szCs w:val="32"/>
          <w:highlight w:val="none"/>
          <w:shd w:val="clear" w:fill="FFFFFF"/>
        </w:rPr>
      </w:pPr>
      <w:r>
        <w:rPr>
          <w:rFonts w:hint="default" w:ascii="Times New Roman" w:hAnsi="Times New Roman" w:eastAsia="仿宋_GB2312" w:cs="Times New Roman"/>
          <w:b/>
          <w:bCs/>
          <w:color w:val="auto"/>
          <w:sz w:val="32"/>
          <w:szCs w:val="32"/>
          <w:highlight w:val="none"/>
          <w:lang w:val="en-US" w:eastAsia="zh-CN"/>
        </w:rPr>
        <w:t>从我市看，</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“十四五”时期是我市勇蹚转型新路，奋力谱写全方位推进高质量发展阳泉篇章的窗口期，市委</w:t>
      </w:r>
      <w:r>
        <w:rPr>
          <w:rFonts w:hint="default" w:ascii="Times New Roman" w:hAnsi="Times New Roman" w:eastAsia="仿宋_GB2312" w:cs="Times New Roman"/>
          <w:color w:val="auto"/>
          <w:kern w:val="2"/>
          <w:sz w:val="32"/>
          <w:szCs w:val="32"/>
          <w:highlight w:val="none"/>
          <w:shd w:val="clear" w:fill="FFFFFF"/>
          <w:lang w:val="en-US" w:eastAsia="zh-CN" w:bidi="ar-SA"/>
        </w:rPr>
        <w:t>在</w:t>
      </w:r>
      <w:r>
        <w:rPr>
          <w:rFonts w:hint="default" w:ascii="Times New Roman" w:hAnsi="Times New Roman" w:eastAsia="仿宋_GB2312" w:cs="Times New Roman"/>
          <w:i w:val="0"/>
          <w:iCs w:val="0"/>
          <w:caps w:val="0"/>
          <w:color w:val="auto"/>
          <w:spacing w:val="0"/>
          <w:kern w:val="2"/>
          <w:sz w:val="32"/>
          <w:szCs w:val="32"/>
          <w:highlight w:val="none"/>
          <w:shd w:val="clear" w:fill="FFFFFF"/>
          <w:lang w:bidi="ar-SA"/>
        </w:rPr>
        <w:t>服务业扩容提质战略</w:t>
      </w:r>
      <w:r>
        <w:rPr>
          <w:rFonts w:hint="eastAsia" w:ascii="Times New Roman" w:hAnsi="Times New Roman" w:eastAsia="仿宋_GB2312" w:cs="Times New Roman"/>
          <w:i w:val="0"/>
          <w:iCs w:val="0"/>
          <w:caps w:val="0"/>
          <w:color w:val="auto"/>
          <w:spacing w:val="0"/>
          <w:kern w:val="2"/>
          <w:sz w:val="32"/>
          <w:szCs w:val="32"/>
          <w:highlight w:val="none"/>
          <w:shd w:val="clear" w:fill="FFFFFF"/>
          <w:lang w:val="en-US" w:eastAsia="zh-CN" w:bidi="ar-SA"/>
        </w:rPr>
        <w:t>和</w:t>
      </w:r>
      <w:r>
        <w:rPr>
          <w:rFonts w:hint="default" w:ascii="Times New Roman" w:hAnsi="Times New Roman" w:eastAsia="仿宋_GB2312" w:cs="Times New Roman"/>
          <w:i w:val="0"/>
          <w:iCs w:val="0"/>
          <w:caps w:val="0"/>
          <w:color w:val="auto"/>
          <w:spacing w:val="0"/>
          <w:kern w:val="2"/>
          <w:sz w:val="32"/>
          <w:szCs w:val="32"/>
          <w:highlight w:val="none"/>
          <w:shd w:val="clear" w:fill="FFFFFF"/>
          <w:lang w:bidi="ar-SA"/>
        </w:rPr>
        <w:t>开放格局重塑战略</w:t>
      </w:r>
      <w:r>
        <w:rPr>
          <w:rFonts w:hint="eastAsia" w:ascii="Times New Roman" w:hAnsi="Times New Roman" w:eastAsia="仿宋_GB2312" w:cs="Times New Roman"/>
          <w:i w:val="0"/>
          <w:iCs w:val="0"/>
          <w:caps w:val="0"/>
          <w:color w:val="auto"/>
          <w:spacing w:val="0"/>
          <w:kern w:val="2"/>
          <w:sz w:val="32"/>
          <w:szCs w:val="32"/>
          <w:highlight w:val="none"/>
          <w:shd w:val="clear" w:fill="FFFFFF"/>
          <w:lang w:val="en-US" w:eastAsia="zh-CN" w:bidi="ar-SA"/>
        </w:rPr>
        <w:t>的部署</w:t>
      </w:r>
      <w:r>
        <w:rPr>
          <w:rFonts w:hint="default" w:ascii="Times New Roman" w:hAnsi="Times New Roman" w:eastAsia="仿宋_GB2312" w:cs="Times New Roman"/>
          <w:i w:val="0"/>
          <w:iCs w:val="0"/>
          <w:caps w:val="0"/>
          <w:color w:val="auto"/>
          <w:spacing w:val="0"/>
          <w:kern w:val="2"/>
          <w:sz w:val="32"/>
          <w:szCs w:val="32"/>
          <w:highlight w:val="none"/>
          <w:shd w:val="clear" w:fill="FFFFFF"/>
          <w:lang w:bidi="ar-SA"/>
        </w:rPr>
        <w:t>实施</w:t>
      </w:r>
      <w:r>
        <w:rPr>
          <w:rFonts w:hint="eastAsia" w:ascii="Times New Roman" w:hAnsi="Times New Roman" w:eastAsia="仿宋_GB2312" w:cs="Times New Roman"/>
          <w:i w:val="0"/>
          <w:iCs w:val="0"/>
          <w:caps w:val="0"/>
          <w:color w:val="auto"/>
          <w:spacing w:val="0"/>
          <w:kern w:val="2"/>
          <w:sz w:val="32"/>
          <w:szCs w:val="32"/>
          <w:highlight w:val="none"/>
          <w:shd w:val="clear" w:fill="FFFFFF"/>
          <w:lang w:val="en-US" w:eastAsia="zh-CN" w:bidi="ar-SA"/>
        </w:rPr>
        <w:t>中</w:t>
      </w:r>
      <w:r>
        <w:rPr>
          <w:rFonts w:hint="default" w:ascii="Times New Roman" w:hAnsi="Times New Roman" w:eastAsia="仿宋_GB2312" w:cs="Times New Roman"/>
          <w:i w:val="0"/>
          <w:iCs w:val="0"/>
          <w:caps w:val="0"/>
          <w:color w:val="auto"/>
          <w:spacing w:val="0"/>
          <w:kern w:val="2"/>
          <w:sz w:val="32"/>
          <w:szCs w:val="32"/>
          <w:highlight w:val="none"/>
          <w:shd w:val="clear" w:fill="FFFFFF"/>
          <w:lang w:bidi="ar-SA"/>
        </w:rPr>
        <w:t>，</w:t>
      </w:r>
      <w:r>
        <w:rPr>
          <w:rFonts w:hint="eastAsia" w:ascii="Times New Roman" w:hAnsi="Times New Roman" w:eastAsia="仿宋_GB2312" w:cs="Times New Roman"/>
          <w:i w:val="0"/>
          <w:iCs w:val="0"/>
          <w:caps w:val="0"/>
          <w:color w:val="auto"/>
          <w:spacing w:val="0"/>
          <w:kern w:val="2"/>
          <w:sz w:val="32"/>
          <w:szCs w:val="32"/>
          <w:highlight w:val="none"/>
          <w:shd w:val="clear" w:fill="FFFFFF"/>
          <w:lang w:val="en-US" w:eastAsia="zh-CN" w:bidi="ar-SA"/>
        </w:rPr>
        <w:t>均</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将现代物流作为全市重点打造的产业之一，</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在</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打造生产性服务业集聚区</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建设公共服务标杆工程</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推进消费升级重点项目</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发展开放型枢纽经济</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等</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方面明确了</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我市现代物流</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发展</w:t>
      </w:r>
      <w:r>
        <w:rPr>
          <w:rFonts w:hint="eastAsia" w:ascii="Times New Roman" w:hAnsi="Times New Roman" w:eastAsia="仿宋_GB2312" w:cs="Times New Roman"/>
          <w:i w:val="0"/>
          <w:caps w:val="0"/>
          <w:color w:val="auto"/>
          <w:spacing w:val="0"/>
          <w:kern w:val="2"/>
          <w:sz w:val="32"/>
          <w:szCs w:val="32"/>
          <w:highlight w:val="none"/>
          <w:shd w:val="clear" w:fill="FFFFFF"/>
          <w:lang w:val="en-US" w:eastAsia="zh-CN" w:bidi="ar-SA"/>
        </w:rPr>
        <w:t>的重点</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导向，同步将加快物流基础设施、网络体系建设和布局，</w:t>
      </w:r>
      <w:r>
        <w:rPr>
          <w:rFonts w:hint="default" w:ascii="Times New Roman" w:hAnsi="Times New Roman" w:eastAsia="仿宋_GB2312" w:cs="Times New Roman"/>
          <w:color w:val="auto"/>
          <w:kern w:val="0"/>
          <w:sz w:val="32"/>
          <w:szCs w:val="32"/>
          <w:highlight w:val="none"/>
          <w:lang w:val="en-US" w:eastAsia="zh-CN"/>
        </w:rPr>
        <w:t>推动物流行业持续降本增效，</w:t>
      </w:r>
      <w:r>
        <w:rPr>
          <w:rFonts w:hint="default" w:ascii="Times New Roman" w:hAnsi="Times New Roman" w:eastAsia="仿宋_GB2312" w:cs="Times New Roman"/>
          <w:i w:val="0"/>
          <w:caps w:val="0"/>
          <w:color w:val="auto"/>
          <w:spacing w:val="0"/>
          <w:kern w:val="2"/>
          <w:sz w:val="32"/>
          <w:szCs w:val="32"/>
          <w:highlight w:val="none"/>
          <w:shd w:val="clear" w:fill="FFFFFF"/>
          <w:lang w:val="en-US" w:eastAsia="zh-CN" w:bidi="ar-SA"/>
        </w:rPr>
        <w:t>积极促进行业转型升级，全市现代物流产业正处于前所未有的优越发展环境。</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149" w:name="_Toc24369"/>
      <w:bookmarkStart w:id="150" w:name="_Toc7797"/>
      <w:bookmarkStart w:id="151" w:name="_Toc14552"/>
      <w:bookmarkStart w:id="152" w:name="_Toc2702"/>
      <w:bookmarkStart w:id="153" w:name="_Toc6750"/>
      <w:bookmarkStart w:id="154" w:name="_Toc23689"/>
      <w:bookmarkStart w:id="155" w:name="_Toc15978"/>
      <w:bookmarkStart w:id="156" w:name="_Toc13085"/>
      <w:bookmarkStart w:id="157" w:name="_Toc27288"/>
      <w:bookmarkStart w:id="158" w:name="_Toc12559"/>
      <w:bookmarkStart w:id="159" w:name="_Toc17355"/>
      <w:bookmarkStart w:id="160" w:name="_Toc20828"/>
      <w:bookmarkStart w:id="161" w:name="_Toc12273"/>
      <w:bookmarkStart w:id="162" w:name="_Toc1355"/>
      <w:bookmarkStart w:id="163" w:name="_Toc24121"/>
      <w:bookmarkStart w:id="164" w:name="_Toc13820"/>
      <w:bookmarkStart w:id="165" w:name="_Toc1164"/>
      <w:bookmarkStart w:id="166" w:name="_Toc11088"/>
      <w:bookmarkStart w:id="167" w:name="_Toc5425"/>
      <w:bookmarkStart w:id="168" w:name="_Toc9607"/>
      <w:bookmarkStart w:id="169" w:name="_Toc9035"/>
      <w:bookmarkStart w:id="170" w:name="_Toc435"/>
      <w:bookmarkStart w:id="171" w:name="_Toc14641"/>
      <w:bookmarkStart w:id="172" w:name="_Toc2595"/>
      <w:bookmarkStart w:id="173" w:name="_Toc3275"/>
      <w:bookmarkStart w:id="174" w:name="_Toc13698"/>
      <w:bookmarkStart w:id="175" w:name="_Toc25796"/>
      <w:bookmarkStart w:id="176" w:name="_Toc2144"/>
      <w:bookmarkStart w:id="177" w:name="_Toc24438"/>
      <w:bookmarkStart w:id="178" w:name="_Toc15752"/>
      <w:bookmarkStart w:id="179" w:name="_Toc16381"/>
      <w:bookmarkStart w:id="180" w:name="_Toc1619"/>
      <w:bookmarkStart w:id="181" w:name="_Toc15353"/>
      <w:bookmarkStart w:id="182" w:name="_Toc25571"/>
      <w:bookmarkStart w:id="183" w:name="_Toc20714"/>
      <w:bookmarkStart w:id="184" w:name="_Toc21564"/>
      <w:bookmarkStart w:id="185" w:name="_Toc18749"/>
      <w:bookmarkStart w:id="186" w:name="_Toc22582"/>
      <w:bookmarkStart w:id="187" w:name="_Toc12406"/>
      <w:bookmarkStart w:id="188" w:name="_Toc32492"/>
      <w:r>
        <w:rPr>
          <w:rFonts w:hint="eastAsia" w:ascii="Times New Roman" w:hAnsi="Times New Roman" w:eastAsia="黑体" w:cs="Times New Roman"/>
          <w:b w:val="0"/>
          <w:bCs w:val="0"/>
          <w:color w:val="auto"/>
          <w:kern w:val="0"/>
          <w:sz w:val="32"/>
          <w:szCs w:val="32"/>
          <w:highlight w:val="none"/>
          <w:lang w:val="en-US" w:eastAsia="zh-CN" w:bidi="ar"/>
        </w:rPr>
        <w:t>二、</w:t>
      </w:r>
      <w:r>
        <w:rPr>
          <w:rFonts w:hint="default" w:ascii="Times New Roman" w:hAnsi="Times New Roman" w:eastAsia="黑体" w:cs="Times New Roman"/>
          <w:b w:val="0"/>
          <w:bCs w:val="0"/>
          <w:color w:val="auto"/>
          <w:kern w:val="0"/>
          <w:sz w:val="32"/>
          <w:szCs w:val="32"/>
          <w:highlight w:val="none"/>
          <w:lang w:val="en-US" w:eastAsia="zh-CN" w:bidi="ar"/>
        </w:rPr>
        <w:t>总体要求</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jc w:val="both"/>
        <w:textAlignment w:val="auto"/>
        <w:outlineLvl w:val="1"/>
        <w:rPr>
          <w:rFonts w:hint="default" w:ascii="Times New Roman" w:hAnsi="Times New Roman" w:eastAsia="楷体_GB2312" w:cs="Times New Roman"/>
          <w:b w:val="0"/>
          <w:bCs w:val="0"/>
          <w:color w:val="auto"/>
          <w:sz w:val="32"/>
          <w:szCs w:val="32"/>
          <w:highlight w:val="none"/>
          <w:lang w:val="en-US" w:eastAsia="zh-CN"/>
        </w:rPr>
      </w:pPr>
      <w:bookmarkStart w:id="189" w:name="_Toc32326"/>
      <w:bookmarkStart w:id="190" w:name="_Toc13398"/>
      <w:bookmarkStart w:id="191" w:name="_Toc23918"/>
      <w:bookmarkStart w:id="192" w:name="_Toc341"/>
      <w:bookmarkStart w:id="193" w:name="_Toc6972"/>
      <w:bookmarkStart w:id="194" w:name="_Toc25253"/>
      <w:bookmarkStart w:id="195" w:name="_Toc5207"/>
      <w:bookmarkStart w:id="196" w:name="_Toc14737"/>
      <w:bookmarkStart w:id="197" w:name="_Toc25013"/>
      <w:bookmarkStart w:id="198" w:name="_Toc25106"/>
      <w:bookmarkStart w:id="199" w:name="_Toc27947"/>
      <w:bookmarkStart w:id="200" w:name="_Toc7775"/>
      <w:bookmarkStart w:id="201" w:name="_Toc11023"/>
      <w:bookmarkStart w:id="202" w:name="_Toc23279"/>
      <w:bookmarkStart w:id="203" w:name="_Toc32122"/>
      <w:bookmarkStart w:id="204" w:name="_Toc16273"/>
      <w:bookmarkStart w:id="205" w:name="_Toc24205"/>
      <w:bookmarkStart w:id="206" w:name="_Toc262"/>
      <w:bookmarkStart w:id="207" w:name="_Toc14558"/>
      <w:bookmarkStart w:id="208" w:name="_Toc364"/>
      <w:bookmarkStart w:id="209" w:name="_Toc2521"/>
      <w:bookmarkStart w:id="210" w:name="_Toc2448"/>
      <w:bookmarkStart w:id="211" w:name="_Toc9299"/>
      <w:bookmarkStart w:id="212" w:name="_Toc37"/>
      <w:bookmarkStart w:id="213" w:name="_Toc24099"/>
      <w:r>
        <w:rPr>
          <w:rFonts w:hint="eastAsia" w:ascii="Times New Roman" w:hAnsi="Times New Roman" w:eastAsia="楷体_GB2312" w:cs="Times New Roman"/>
          <w:b w:val="0"/>
          <w:bCs w:val="0"/>
          <w:color w:val="auto"/>
          <w:sz w:val="32"/>
          <w:szCs w:val="32"/>
          <w:highlight w:val="none"/>
          <w:lang w:val="en-US" w:eastAsia="zh-CN"/>
        </w:rPr>
        <w:t>（一）</w:t>
      </w:r>
      <w:r>
        <w:rPr>
          <w:rFonts w:hint="default" w:ascii="Times New Roman" w:hAnsi="Times New Roman" w:eastAsia="楷体_GB2312" w:cs="Times New Roman"/>
          <w:b w:val="0"/>
          <w:bCs w:val="0"/>
          <w:color w:val="auto"/>
          <w:sz w:val="32"/>
          <w:szCs w:val="32"/>
          <w:highlight w:val="none"/>
          <w:lang w:val="en-US" w:eastAsia="zh-CN"/>
        </w:rPr>
        <w:t>指导思想</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keepNext w:val="0"/>
        <w:keepLines w:val="0"/>
        <w:pageBreakBefore w:val="0"/>
        <w:widowControl w:val="0"/>
        <w:kinsoku/>
        <w:wordWrap/>
        <w:overflowPunct/>
        <w:topLinePunct w:val="0"/>
        <w:autoSpaceDE/>
        <w:autoSpaceDN/>
        <w:bidi w:val="0"/>
        <w:adjustRightInd/>
        <w:snapToGrid/>
        <w:spacing w:line="600" w:lineRule="exact"/>
        <w:ind w:firstLine="624" w:firstLineChars="195"/>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i w:val="0"/>
          <w:caps w:val="0"/>
          <w:color w:val="auto"/>
          <w:spacing w:val="0"/>
          <w:sz w:val="32"/>
          <w:szCs w:val="32"/>
          <w:highlight w:val="none"/>
          <w:shd w:val="clear" w:fill="FFFFFF"/>
          <w:lang w:val="en-US" w:eastAsia="zh-CN"/>
        </w:rPr>
        <w:t>以习近平新时代中国特色社会主义思想为指导，深入贯彻党的十九大和十九届</w:t>
      </w:r>
      <w:r>
        <w:rPr>
          <w:rFonts w:hint="eastAsia" w:ascii="Times New Roman" w:hAnsi="Times New Roman" w:eastAsia="仿宋_GB2312" w:cs="Times New Roman"/>
          <w:i w:val="0"/>
          <w:caps w:val="0"/>
          <w:color w:val="auto"/>
          <w:spacing w:val="0"/>
          <w:sz w:val="32"/>
          <w:szCs w:val="32"/>
          <w:highlight w:val="none"/>
          <w:shd w:val="clear" w:fill="FFFFFF"/>
          <w:lang w:val="en-US" w:eastAsia="zh-CN"/>
        </w:rPr>
        <w:t>历次</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全会精神，全面落实习近平总书记视察山西重要讲话重要指示，完整、准确、全面贯彻新发展理念，按照全方位推动高质量发展的目标要求，坚持“14510”总体思路和部署，树立“大物流”观念、全产业链思维，以降本增效提质为导向，大力培育市场主体，持续优化空间布局，加快推动产业融合，聚力发展枢纽经济，构建以综合物流为核心，以商贸物流、冷链物流、快递物流、电商物流、应急物流等专业物流为支撑的现代物流体系，</w:t>
      </w:r>
      <w:r>
        <w:rPr>
          <w:rFonts w:hint="default" w:ascii="Times New Roman" w:hAnsi="Times New Roman" w:eastAsia="仿宋_GB2312" w:cs="Times New Roman"/>
          <w:color w:val="auto"/>
          <w:sz w:val="32"/>
          <w:szCs w:val="32"/>
          <w:highlight w:val="none"/>
          <w:shd w:val="clear" w:fill="FFFFFF"/>
        </w:rPr>
        <w:t>增强物流供应链管理能力，</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延伸农业供应链、提升制造业价值链、创新商贸业产业链，把现代物流业培育成为优势支柱产业，为构建现代化经济体系、全方位推动高质量发展提供有力支撑。</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z w:val="32"/>
          <w:szCs w:val="32"/>
          <w:highlight w:val="none"/>
          <w:lang w:val="en-US" w:eastAsia="zh-CN"/>
        </w:rPr>
      </w:pPr>
      <w:bookmarkStart w:id="214" w:name="_Toc1172"/>
      <w:bookmarkStart w:id="215" w:name="_Toc25872"/>
      <w:bookmarkStart w:id="216" w:name="_Toc18114"/>
      <w:bookmarkStart w:id="217" w:name="_Toc32279"/>
      <w:bookmarkStart w:id="218" w:name="_Toc11258"/>
      <w:bookmarkStart w:id="219" w:name="_Toc21820"/>
      <w:bookmarkStart w:id="220" w:name="_Toc2470"/>
      <w:bookmarkStart w:id="221" w:name="_Toc17602"/>
      <w:bookmarkStart w:id="222" w:name="_Toc25375"/>
      <w:bookmarkStart w:id="223" w:name="_Toc10679"/>
      <w:bookmarkStart w:id="224" w:name="_Toc18606"/>
      <w:bookmarkStart w:id="225" w:name="_Toc1711"/>
      <w:bookmarkStart w:id="226" w:name="_Toc10293"/>
      <w:bookmarkStart w:id="227" w:name="_Toc24606"/>
      <w:bookmarkStart w:id="228" w:name="_Toc5117"/>
      <w:bookmarkStart w:id="229" w:name="_Toc10112"/>
      <w:bookmarkStart w:id="230" w:name="_Toc19556"/>
      <w:bookmarkStart w:id="231" w:name="_Toc30668"/>
      <w:bookmarkStart w:id="232" w:name="_Toc13632"/>
      <w:bookmarkStart w:id="233" w:name="_Toc8228"/>
      <w:bookmarkStart w:id="234" w:name="_Toc17890"/>
      <w:bookmarkStart w:id="235" w:name="_Toc12421"/>
      <w:bookmarkStart w:id="236" w:name="_Toc20214"/>
      <w:bookmarkStart w:id="237" w:name="_Toc16138"/>
      <w:bookmarkStart w:id="238" w:name="_Toc30370"/>
      <w:bookmarkStart w:id="239" w:name="_Toc6847"/>
      <w:bookmarkStart w:id="240" w:name="_Toc8545"/>
      <w:bookmarkStart w:id="241" w:name="_Toc8262"/>
      <w:bookmarkStart w:id="242" w:name="_Toc16858"/>
      <w:bookmarkStart w:id="243" w:name="_Toc21921"/>
      <w:bookmarkStart w:id="244" w:name="_Toc25476"/>
      <w:bookmarkStart w:id="245" w:name="_Toc7291"/>
      <w:bookmarkStart w:id="246" w:name="_Toc17505"/>
      <w:bookmarkStart w:id="247" w:name="_Toc28114"/>
      <w:bookmarkStart w:id="248" w:name="_Toc17836"/>
      <w:bookmarkStart w:id="249" w:name="_Toc6838"/>
      <w:bookmarkStart w:id="250" w:name="_Toc15813"/>
      <w:bookmarkStart w:id="251" w:name="_Toc21856"/>
      <w:bookmarkStart w:id="252" w:name="_Toc24996"/>
      <w:r>
        <w:rPr>
          <w:rFonts w:hint="default" w:ascii="Times New Roman" w:hAnsi="Times New Roman" w:eastAsia="楷体_GB2312" w:cs="Times New Roman"/>
          <w:b/>
          <w:bCs/>
          <w:color w:val="auto"/>
          <w:sz w:val="32"/>
          <w:szCs w:val="32"/>
          <w:highlight w:val="none"/>
          <w:lang w:val="en-US" w:eastAsia="zh-CN"/>
        </w:rPr>
        <w:t>（二）</w:t>
      </w:r>
      <w:bookmarkStart w:id="253" w:name="_Toc20143"/>
      <w:bookmarkStart w:id="254" w:name="_Toc14300"/>
      <w:bookmarkStart w:id="255" w:name="_Toc20844"/>
      <w:bookmarkStart w:id="256" w:name="_Toc24910"/>
      <w:bookmarkStart w:id="257" w:name="_Toc23319"/>
      <w:bookmarkStart w:id="258" w:name="_Toc32578"/>
      <w:bookmarkStart w:id="259" w:name="_Toc1390"/>
      <w:bookmarkStart w:id="260" w:name="_Toc8462"/>
      <w:bookmarkStart w:id="261" w:name="_Toc20480"/>
      <w:bookmarkStart w:id="262" w:name="_Toc4094"/>
      <w:bookmarkStart w:id="263" w:name="_Toc24050"/>
      <w:bookmarkStart w:id="264" w:name="_Toc11769"/>
      <w:bookmarkStart w:id="265" w:name="_Toc9093"/>
      <w:bookmarkStart w:id="266" w:name="_Toc29932"/>
      <w:bookmarkStart w:id="267" w:name="_Toc11885"/>
      <w:r>
        <w:rPr>
          <w:rFonts w:hint="default" w:ascii="Times New Roman" w:hAnsi="Times New Roman" w:eastAsia="楷体_GB2312" w:cs="Times New Roman"/>
          <w:b/>
          <w:bCs/>
          <w:color w:val="auto"/>
          <w:sz w:val="32"/>
          <w:szCs w:val="32"/>
          <w:highlight w:val="none"/>
          <w:lang w:val="en-US" w:eastAsia="zh-CN"/>
        </w:rPr>
        <w:t>基本原则</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仿宋_GB2312" w:cs="Times New Roman"/>
          <w:b w:val="0"/>
          <w:bCs w:val="0"/>
          <w:color w:val="auto"/>
          <w:spacing w:val="0"/>
          <w:sz w:val="32"/>
          <w:szCs w:val="32"/>
          <w:highlight w:val="none"/>
          <w:u w:val="none" w:color="auto"/>
          <w:lang w:val="en-US" w:eastAsia="zh-CN"/>
        </w:rPr>
      </w:pPr>
      <w:r>
        <w:rPr>
          <w:rFonts w:hint="default" w:ascii="Times New Roman" w:hAnsi="Times New Roman" w:eastAsia="仿宋_GB2312" w:cs="Times New Roman"/>
          <w:b/>
          <w:bCs/>
          <w:color w:val="auto"/>
          <w:spacing w:val="0"/>
          <w:sz w:val="32"/>
          <w:szCs w:val="32"/>
          <w:highlight w:val="none"/>
          <w:u w:val="none" w:color="auto"/>
          <w:lang w:val="en-US" w:eastAsia="zh-CN"/>
        </w:rPr>
        <w:t>市场主导，政府引导。</w:t>
      </w:r>
      <w:r>
        <w:rPr>
          <w:rFonts w:hint="default" w:ascii="Times New Roman" w:hAnsi="Times New Roman" w:eastAsia="仿宋_GB2312" w:cs="Times New Roman"/>
          <w:b w:val="0"/>
          <w:bCs w:val="0"/>
          <w:color w:val="auto"/>
          <w:spacing w:val="0"/>
          <w:sz w:val="32"/>
          <w:szCs w:val="32"/>
          <w:highlight w:val="none"/>
          <w:u w:val="none" w:color="auto"/>
          <w:lang w:val="en-US" w:eastAsia="zh-CN"/>
        </w:rPr>
        <w:t>遵循市场经济规律和现代物流发展规律，充分发挥市场在资源配置中的决定性作用，强化企业市场主体地位，</w:t>
      </w:r>
      <w:r>
        <w:rPr>
          <w:rFonts w:hint="default" w:ascii="Times New Roman" w:hAnsi="Times New Roman" w:eastAsia="仿宋_GB2312" w:cs="Times New Roman"/>
          <w:color w:val="auto"/>
          <w:sz w:val="32"/>
          <w:szCs w:val="32"/>
          <w:highlight w:val="none"/>
          <w:shd w:val="clear" w:color="auto" w:fill="FFFFFF"/>
        </w:rPr>
        <w:t>培育</w:t>
      </w:r>
      <w:r>
        <w:rPr>
          <w:rFonts w:hint="default" w:ascii="Times New Roman" w:hAnsi="Times New Roman" w:eastAsia="仿宋_GB2312" w:cs="Times New Roman"/>
          <w:color w:val="auto"/>
          <w:sz w:val="32"/>
          <w:szCs w:val="32"/>
          <w:highlight w:val="none"/>
          <w:shd w:val="clear" w:color="auto" w:fill="FFFFFF"/>
          <w:lang w:eastAsia="zh-CN"/>
        </w:rPr>
        <w:t>发展</w:t>
      </w:r>
      <w:r>
        <w:rPr>
          <w:rFonts w:hint="default" w:ascii="Times New Roman" w:hAnsi="Times New Roman" w:eastAsia="仿宋_GB2312" w:cs="Times New Roman"/>
          <w:color w:val="auto"/>
          <w:sz w:val="32"/>
          <w:szCs w:val="32"/>
          <w:highlight w:val="none"/>
          <w:shd w:val="clear" w:color="auto" w:fill="FFFFFF"/>
        </w:rPr>
        <w:t>物流运营主体</w:t>
      </w:r>
      <w:r>
        <w:rPr>
          <w:rFonts w:hint="default" w:ascii="Times New Roman" w:hAnsi="Times New Roman" w:eastAsia="仿宋_GB2312" w:cs="Times New Roman"/>
          <w:b w:val="0"/>
          <w:bCs w:val="0"/>
          <w:color w:val="auto"/>
          <w:spacing w:val="0"/>
          <w:sz w:val="32"/>
          <w:szCs w:val="32"/>
          <w:highlight w:val="none"/>
          <w:u w:val="none" w:color="auto"/>
          <w:lang w:val="en-US" w:eastAsia="zh-CN"/>
        </w:rPr>
        <w:t>。更好发挥政府作用，在服务管理、标准制定等方面开展积极引导，营造良好的现代物流业发展环境，推动现代物流业健康发展。</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ind w:firstLine="642" w:firstLineChars="200"/>
        <w:jc w:val="both"/>
        <w:outlineLvl w:val="9"/>
        <w:rPr>
          <w:rFonts w:hint="default" w:ascii="Times New Roman" w:hAnsi="Times New Roman" w:eastAsia="仿宋_GB2312" w:cs="Times New Roman"/>
          <w:color w:val="auto"/>
          <w:sz w:val="32"/>
          <w:szCs w:val="32"/>
          <w:highlight w:val="none"/>
          <w:u w:val="none" w:color="auto"/>
        </w:rPr>
      </w:pPr>
      <w:r>
        <w:rPr>
          <w:rFonts w:hint="default" w:ascii="Times New Roman" w:hAnsi="Times New Roman" w:eastAsia="仿宋_GB2312" w:cs="Times New Roman"/>
          <w:b/>
          <w:bCs/>
          <w:color w:val="auto"/>
          <w:spacing w:val="0"/>
          <w:sz w:val="32"/>
          <w:szCs w:val="32"/>
          <w:highlight w:val="none"/>
          <w:u w:val="none" w:color="auto"/>
          <w:lang w:val="en-US" w:eastAsia="zh-CN"/>
        </w:rPr>
        <w:t>集约整合，集聚高效。</w:t>
      </w:r>
      <w:r>
        <w:rPr>
          <w:rFonts w:hint="default" w:ascii="Times New Roman" w:hAnsi="Times New Roman" w:eastAsia="仿宋_GB2312" w:cs="Times New Roman"/>
          <w:b w:val="0"/>
          <w:bCs w:val="0"/>
          <w:color w:val="auto"/>
          <w:spacing w:val="0"/>
          <w:sz w:val="32"/>
          <w:szCs w:val="32"/>
          <w:highlight w:val="none"/>
          <w:u w:val="none" w:color="auto"/>
          <w:lang w:val="en-US" w:eastAsia="zh-CN"/>
        </w:rPr>
        <w:t>坚持以存量设施整合提升为主、以增量设施补短板为辅，</w:t>
      </w:r>
      <w:r>
        <w:rPr>
          <w:rFonts w:hint="default" w:ascii="Times New Roman" w:hAnsi="Times New Roman" w:eastAsia="仿宋_GB2312" w:cs="Times New Roman"/>
          <w:color w:val="auto"/>
          <w:kern w:val="2"/>
          <w:sz w:val="32"/>
          <w:szCs w:val="32"/>
          <w:highlight w:val="none"/>
          <w:u w:val="none" w:color="auto"/>
          <w:lang w:val="en-US" w:eastAsia="zh-CN" w:bidi="ar"/>
        </w:rPr>
        <w:t>加快完善现有物流园区基础设施和生活配套设施，</w:t>
      </w:r>
      <w:r>
        <w:rPr>
          <w:rFonts w:hint="default" w:ascii="Times New Roman" w:hAnsi="Times New Roman" w:eastAsia="仿宋_GB2312" w:cs="Times New Roman"/>
          <w:b w:val="0"/>
          <w:bCs w:val="0"/>
          <w:color w:val="auto"/>
          <w:spacing w:val="0"/>
          <w:sz w:val="32"/>
          <w:szCs w:val="32"/>
          <w:highlight w:val="none"/>
          <w:u w:val="none" w:color="auto"/>
          <w:lang w:val="en-US" w:eastAsia="zh-CN"/>
        </w:rPr>
        <w:t>提高物流资源集约利用水平，集聚发展</w:t>
      </w:r>
      <w:r>
        <w:rPr>
          <w:rFonts w:hint="default" w:ascii="Times New Roman" w:hAnsi="Times New Roman" w:eastAsia="仿宋_GB2312" w:cs="Times New Roman"/>
          <w:color w:val="auto"/>
          <w:sz w:val="32"/>
          <w:szCs w:val="32"/>
          <w:highlight w:val="none"/>
        </w:rPr>
        <w:t>一批服务水平高、竞争力强的现代物流品牌企业，</w:t>
      </w:r>
      <w:r>
        <w:rPr>
          <w:rFonts w:hint="default" w:ascii="Times New Roman" w:hAnsi="Times New Roman" w:eastAsia="仿宋_GB2312" w:cs="Times New Roman"/>
          <w:b w:val="0"/>
          <w:bCs w:val="0"/>
          <w:color w:val="auto"/>
          <w:spacing w:val="0"/>
          <w:sz w:val="32"/>
          <w:szCs w:val="32"/>
          <w:highlight w:val="none"/>
          <w:u w:val="none" w:color="auto"/>
          <w:lang w:val="en-US" w:eastAsia="zh-CN"/>
        </w:rPr>
        <w:t>扭转“小、散、乱”的行业发展格局，推动现代物流业集聚整合发展。</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color w:val="auto"/>
          <w:spacing w:val="0"/>
          <w:sz w:val="32"/>
          <w:szCs w:val="32"/>
          <w:highlight w:val="none"/>
          <w:u w:val="none" w:color="auto"/>
          <w:lang w:val="en-US" w:eastAsia="zh-CN"/>
        </w:rPr>
        <w:t>融合创新，绿色智能。</w:t>
      </w:r>
      <w:r>
        <w:rPr>
          <w:rFonts w:hint="default" w:ascii="Times New Roman" w:hAnsi="Times New Roman" w:eastAsia="仿宋_GB2312" w:cs="Times New Roman"/>
          <w:i w:val="0"/>
          <w:caps w:val="0"/>
          <w:color w:val="auto"/>
          <w:spacing w:val="0"/>
          <w:sz w:val="32"/>
          <w:szCs w:val="32"/>
          <w:highlight w:val="none"/>
          <w:u w:val="none" w:color="auto"/>
          <w:shd w:val="clear" w:fill="FFFFFF"/>
        </w:rPr>
        <w:t>完善城乡配送网络体系和区域中转分拨体系，</w:t>
      </w:r>
      <w:r>
        <w:rPr>
          <w:rFonts w:hint="default" w:ascii="Times New Roman" w:hAnsi="Times New Roman" w:eastAsia="仿宋_GB2312" w:cs="Times New Roman"/>
          <w:color w:val="auto"/>
          <w:spacing w:val="0"/>
          <w:kern w:val="2"/>
          <w:sz w:val="32"/>
          <w:szCs w:val="32"/>
          <w:highlight w:val="none"/>
          <w:u w:val="none" w:color="auto"/>
          <w:lang w:val="en-US" w:eastAsia="zh-CN" w:bidi="ar-SA"/>
        </w:rPr>
        <w:t>加强物流与交通基础设施衔接，</w:t>
      </w:r>
      <w:r>
        <w:rPr>
          <w:rFonts w:hint="default" w:ascii="Times New Roman" w:hAnsi="Times New Roman" w:eastAsia="仿宋_GB2312" w:cs="Times New Roman"/>
          <w:b w:val="0"/>
          <w:bCs w:val="0"/>
          <w:color w:val="auto"/>
          <w:spacing w:val="0"/>
          <w:sz w:val="32"/>
          <w:szCs w:val="32"/>
          <w:highlight w:val="none"/>
          <w:u w:val="none" w:color="auto"/>
          <w:lang w:val="en-US" w:eastAsia="zh-CN"/>
        </w:rPr>
        <w:t>强化云计算、大数据、物联网、区块链等信息技术应用，统筹推动传统物流业态转型升级，积极发展智慧物流、保税物流、多式联运等物流新业态。创新发展绿色物流、逆向物流等物流新模式，加大</w:t>
      </w:r>
      <w:r>
        <w:rPr>
          <w:rFonts w:hint="default" w:ascii="Times New Roman" w:hAnsi="Times New Roman" w:eastAsia="仿宋_GB2312" w:cs="Times New Roman"/>
          <w:color w:val="auto"/>
          <w:spacing w:val="0"/>
          <w:sz w:val="32"/>
          <w:szCs w:val="32"/>
          <w:highlight w:val="none"/>
          <w:u w:val="none" w:color="auto"/>
        </w:rPr>
        <w:t>节能降耗技术</w:t>
      </w:r>
      <w:r>
        <w:rPr>
          <w:rFonts w:hint="default" w:ascii="Times New Roman" w:hAnsi="Times New Roman" w:eastAsia="仿宋_GB2312" w:cs="Times New Roman"/>
          <w:color w:val="auto"/>
          <w:spacing w:val="0"/>
          <w:sz w:val="32"/>
          <w:szCs w:val="32"/>
          <w:highlight w:val="none"/>
          <w:u w:val="none" w:color="auto"/>
          <w:lang w:eastAsia="zh-CN"/>
        </w:rPr>
        <w:t>、</w:t>
      </w:r>
      <w:r>
        <w:rPr>
          <w:rFonts w:hint="default" w:ascii="Times New Roman" w:hAnsi="Times New Roman" w:eastAsia="仿宋_GB2312" w:cs="Times New Roman"/>
          <w:color w:val="auto"/>
          <w:spacing w:val="0"/>
          <w:sz w:val="32"/>
          <w:szCs w:val="32"/>
          <w:highlight w:val="none"/>
          <w:u w:val="none" w:color="auto"/>
        </w:rPr>
        <w:t>绿色物流设施设备</w:t>
      </w:r>
      <w:r>
        <w:rPr>
          <w:rFonts w:hint="default" w:ascii="Times New Roman" w:hAnsi="Times New Roman" w:eastAsia="仿宋_GB2312" w:cs="Times New Roman"/>
          <w:color w:val="auto"/>
          <w:spacing w:val="0"/>
          <w:sz w:val="32"/>
          <w:szCs w:val="32"/>
          <w:highlight w:val="none"/>
          <w:u w:val="none" w:color="auto"/>
          <w:lang w:eastAsia="zh-CN"/>
        </w:rPr>
        <w:t>推广</w:t>
      </w:r>
      <w:r>
        <w:rPr>
          <w:rFonts w:hint="default" w:ascii="Times New Roman" w:hAnsi="Times New Roman" w:eastAsia="仿宋_GB2312" w:cs="Times New Roman"/>
          <w:color w:val="auto"/>
          <w:spacing w:val="0"/>
          <w:sz w:val="32"/>
          <w:szCs w:val="32"/>
          <w:highlight w:val="none"/>
          <w:u w:val="none" w:color="auto"/>
        </w:rPr>
        <w:t>应用</w:t>
      </w:r>
      <w:r>
        <w:rPr>
          <w:rFonts w:hint="default" w:ascii="Times New Roman" w:hAnsi="Times New Roman" w:eastAsia="仿宋_GB2312" w:cs="Times New Roman"/>
          <w:color w:val="auto"/>
          <w:spacing w:val="0"/>
          <w:sz w:val="32"/>
          <w:szCs w:val="32"/>
          <w:highlight w:val="none"/>
          <w:u w:val="none" w:color="auto"/>
          <w:lang w:eastAsia="zh-CN"/>
        </w:rPr>
        <w:t>力度，</w:t>
      </w:r>
      <w:r>
        <w:rPr>
          <w:rFonts w:hint="default" w:ascii="Times New Roman" w:hAnsi="Times New Roman" w:eastAsia="仿宋_GB2312" w:cs="Times New Roman"/>
          <w:i w:val="0"/>
          <w:caps w:val="0"/>
          <w:color w:val="auto"/>
          <w:spacing w:val="0"/>
          <w:sz w:val="32"/>
          <w:szCs w:val="32"/>
          <w:highlight w:val="none"/>
          <w:u w:val="none" w:color="auto"/>
          <w:shd w:val="clear" w:fill="auto"/>
        </w:rPr>
        <w:t>切实降低能耗、减少排放、缓解交通压力。</w:t>
      </w:r>
    </w:p>
    <w:p>
      <w:pPr>
        <w:pStyle w:val="13"/>
        <w:keepNext w:val="0"/>
        <w:keepLines w:val="0"/>
        <w:pageBreakBefore w:val="0"/>
        <w:widowControl w:val="0"/>
        <w:suppressLineNumbers w:val="0"/>
        <w:tabs>
          <w:tab w:val="right" w:leader="dot" w:pos="8306"/>
        </w:tabs>
        <w:kinsoku/>
        <w:wordWrap/>
        <w:overflowPunct/>
        <w:topLinePunct w:val="0"/>
        <w:autoSpaceDE/>
        <w:autoSpaceDN/>
        <w:bidi w:val="0"/>
        <w:adjustRightInd/>
        <w:snapToGrid/>
        <w:spacing w:line="600" w:lineRule="exact"/>
        <w:ind w:firstLine="642" w:firstLineChars="200"/>
        <w:jc w:val="both"/>
        <w:outlineLvl w:val="9"/>
        <w:rPr>
          <w:rFonts w:hint="default" w:ascii="Times New Roman" w:hAnsi="Times New Roman" w:eastAsia="仿宋_GB2312" w:cs="Times New Roman"/>
          <w:color w:val="auto"/>
          <w:spacing w:val="0"/>
          <w:sz w:val="32"/>
          <w:szCs w:val="32"/>
          <w:highlight w:val="none"/>
          <w:u w:val="none" w:color="auto"/>
        </w:rPr>
      </w:pPr>
      <w:r>
        <w:rPr>
          <w:rFonts w:hint="default" w:ascii="Times New Roman" w:hAnsi="Times New Roman" w:eastAsia="仿宋_GB2312" w:cs="Times New Roman"/>
          <w:b/>
          <w:bCs/>
          <w:color w:val="auto"/>
          <w:spacing w:val="0"/>
          <w:sz w:val="32"/>
          <w:szCs w:val="32"/>
          <w:highlight w:val="none"/>
          <w:u w:val="none" w:color="auto"/>
          <w:lang w:val="en-US" w:eastAsia="zh-CN"/>
        </w:rPr>
        <w:t>质量第一，效益优先。</w:t>
      </w:r>
      <w:r>
        <w:rPr>
          <w:rFonts w:hint="default" w:ascii="Times New Roman" w:hAnsi="Times New Roman" w:eastAsia="仿宋_GB2312" w:cs="Times New Roman"/>
          <w:b w:val="0"/>
          <w:bCs w:val="0"/>
          <w:color w:val="auto"/>
          <w:spacing w:val="0"/>
          <w:sz w:val="32"/>
          <w:szCs w:val="32"/>
          <w:highlight w:val="none"/>
          <w:u w:val="none" w:color="auto"/>
          <w:lang w:val="en-US" w:eastAsia="zh-CN"/>
        </w:rPr>
        <w:t>坚持标准化、信息化带动，创新物流运作管理模式，</w:t>
      </w:r>
      <w:r>
        <w:rPr>
          <w:rFonts w:hint="default" w:ascii="Times New Roman" w:hAnsi="Times New Roman" w:eastAsia="仿宋_GB2312" w:cs="Times New Roman"/>
          <w:color w:val="auto"/>
          <w:spacing w:val="0"/>
          <w:kern w:val="2"/>
          <w:sz w:val="32"/>
          <w:szCs w:val="32"/>
          <w:highlight w:val="none"/>
          <w:u w:val="none" w:color="auto"/>
          <w:lang w:val="en-US" w:eastAsia="zh-CN" w:bidi="ar-SA"/>
        </w:rPr>
        <w:t>提高不同运输方式间货物换装效率，</w:t>
      </w:r>
      <w:r>
        <w:rPr>
          <w:rFonts w:hint="default" w:ascii="Times New Roman" w:hAnsi="Times New Roman" w:eastAsia="仿宋_GB2312" w:cs="Times New Roman"/>
          <w:b w:val="0"/>
          <w:bCs w:val="0"/>
          <w:color w:val="auto"/>
          <w:spacing w:val="0"/>
          <w:sz w:val="32"/>
          <w:szCs w:val="32"/>
          <w:highlight w:val="none"/>
          <w:u w:val="none" w:color="auto"/>
          <w:lang w:val="en-US" w:eastAsia="zh-CN"/>
        </w:rPr>
        <w:t>实现物流作业各环节有效衔接，物流设施、设备等硬件以及物流信息、营销网络等软件快速配套，促进物流服务体系高效运转，提高物流运作组织化、网络化水平，切实降低全市物流运营成本。</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楷体_GB2312" w:cs="Times New Roman"/>
          <w:b/>
          <w:bCs/>
          <w:color w:val="auto"/>
          <w:sz w:val="32"/>
          <w:szCs w:val="32"/>
          <w:highlight w:val="none"/>
          <w:lang w:val="en-US" w:eastAsia="zh-CN"/>
        </w:rPr>
      </w:pPr>
      <w:r>
        <w:rPr>
          <w:rFonts w:hint="default" w:ascii="Times New Roman" w:hAnsi="Times New Roman" w:eastAsia="仿宋_GB2312" w:cs="Times New Roman"/>
          <w:b/>
          <w:bCs/>
          <w:color w:val="auto"/>
          <w:spacing w:val="0"/>
          <w:sz w:val="32"/>
          <w:szCs w:val="32"/>
          <w:highlight w:val="none"/>
          <w:u w:val="none" w:color="auto"/>
          <w:lang w:val="en-US" w:eastAsia="zh-CN"/>
        </w:rPr>
        <w:t>内外统筹，安全可靠。</w:t>
      </w:r>
      <w:r>
        <w:rPr>
          <w:rFonts w:hint="default" w:ascii="Times New Roman" w:hAnsi="Times New Roman" w:eastAsia="仿宋_GB2312" w:cs="Times New Roman"/>
          <w:b w:val="0"/>
          <w:bCs w:val="0"/>
          <w:color w:val="auto"/>
          <w:spacing w:val="0"/>
          <w:sz w:val="32"/>
          <w:szCs w:val="32"/>
          <w:highlight w:val="none"/>
          <w:u w:val="none" w:color="auto"/>
          <w:lang w:val="en-US" w:eastAsia="zh-CN"/>
        </w:rPr>
        <w:t>加强与民生保障相关的冷链物流、大宗商品物流、应急物流等物流系统建设，更大范围、更加及时地促进生产与消费对接，实现质量、效率与安全相统一。依托承东启西的区位优势，</w:t>
      </w:r>
      <w:r>
        <w:rPr>
          <w:rFonts w:hint="default" w:ascii="Times New Roman" w:hAnsi="Times New Roman" w:eastAsia="仿宋_GB2312" w:cs="Times New Roman"/>
          <w:b w:val="0"/>
          <w:bCs w:val="0"/>
          <w:color w:val="auto"/>
          <w:sz w:val="32"/>
          <w:szCs w:val="32"/>
          <w:highlight w:val="none"/>
          <w:shd w:val="clear" w:fill="FFFFFF"/>
          <w:lang w:val="en-US" w:eastAsia="zh-CN"/>
        </w:rPr>
        <w:t>主动对接京津冀协同发展，</w:t>
      </w:r>
      <w:r>
        <w:rPr>
          <w:rFonts w:hint="default" w:ascii="Times New Roman" w:hAnsi="Times New Roman" w:eastAsia="仿宋_GB2312" w:cs="Times New Roman"/>
          <w:b w:val="0"/>
          <w:bCs w:val="0"/>
          <w:color w:val="auto"/>
          <w:spacing w:val="0"/>
          <w:sz w:val="32"/>
          <w:szCs w:val="32"/>
          <w:highlight w:val="none"/>
          <w:u w:val="none" w:color="auto"/>
          <w:lang w:val="en-US" w:eastAsia="zh-CN"/>
        </w:rPr>
        <w:t>加强与周边地区的密切合作，</w:t>
      </w:r>
      <w:r>
        <w:rPr>
          <w:rFonts w:hint="default" w:ascii="Times New Roman" w:hAnsi="Times New Roman" w:eastAsia="仿宋_GB2312" w:cs="Times New Roman"/>
          <w:b w:val="0"/>
          <w:bCs w:val="0"/>
          <w:color w:val="auto"/>
          <w:sz w:val="32"/>
          <w:szCs w:val="32"/>
          <w:highlight w:val="none"/>
          <w:shd w:val="clear" w:fill="FFFFFF"/>
          <w:lang w:val="en-US" w:eastAsia="zh-CN"/>
        </w:rPr>
        <w:t>积极融入太原、石家庄等都市圈发展，</w:t>
      </w:r>
      <w:r>
        <w:rPr>
          <w:rFonts w:hint="default" w:ascii="Times New Roman" w:hAnsi="Times New Roman" w:eastAsia="仿宋_GB2312" w:cs="Times New Roman"/>
          <w:b w:val="0"/>
          <w:bCs w:val="0"/>
          <w:color w:val="auto"/>
          <w:spacing w:val="0"/>
          <w:sz w:val="32"/>
          <w:szCs w:val="32"/>
          <w:highlight w:val="none"/>
          <w:u w:val="none" w:color="auto"/>
          <w:lang w:val="en-US" w:eastAsia="zh-CN"/>
        </w:rPr>
        <w:t>畅通双向通道，提升核心平台功能，探索形成陆港型物流枢纽经济新范式。</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left="640" w:leftChars="305" w:firstLine="0" w:firstLineChars="0"/>
        <w:jc w:val="both"/>
        <w:textAlignment w:val="auto"/>
        <w:outlineLvl w:val="1"/>
        <w:rPr>
          <w:rFonts w:hint="default" w:ascii="Times New Roman" w:hAnsi="Times New Roman" w:eastAsia="楷体_GB2312" w:cs="Times New Roman"/>
          <w:b/>
          <w:bCs/>
          <w:color w:val="auto"/>
          <w:sz w:val="32"/>
          <w:szCs w:val="32"/>
          <w:highlight w:val="none"/>
          <w:lang w:val="en-US" w:eastAsia="zh-CN"/>
        </w:rPr>
      </w:pPr>
      <w:bookmarkStart w:id="268" w:name="_Toc12771"/>
      <w:bookmarkStart w:id="269" w:name="_Toc27416"/>
      <w:bookmarkStart w:id="270" w:name="_Toc19658"/>
      <w:bookmarkStart w:id="271" w:name="_Toc31108"/>
      <w:bookmarkStart w:id="272" w:name="_Toc9766"/>
      <w:bookmarkStart w:id="273" w:name="_Toc2838"/>
      <w:bookmarkStart w:id="274" w:name="_Toc23102"/>
      <w:bookmarkStart w:id="275" w:name="_Toc28507"/>
      <w:bookmarkStart w:id="276" w:name="_Toc10771"/>
      <w:bookmarkStart w:id="277" w:name="_Toc20752"/>
      <w:bookmarkStart w:id="278" w:name="_Toc32516"/>
      <w:bookmarkStart w:id="279" w:name="_Toc21029"/>
      <w:bookmarkStart w:id="280" w:name="_Toc26844"/>
      <w:bookmarkStart w:id="281" w:name="_Toc11563"/>
      <w:bookmarkStart w:id="282" w:name="_Toc24971"/>
      <w:bookmarkStart w:id="283" w:name="_Toc28430"/>
      <w:bookmarkStart w:id="284" w:name="_Toc17945"/>
      <w:bookmarkStart w:id="285" w:name="_Toc5595"/>
      <w:bookmarkStart w:id="286" w:name="_Toc15223"/>
      <w:bookmarkStart w:id="287" w:name="_Toc28985"/>
      <w:bookmarkStart w:id="288" w:name="_Toc22056"/>
      <w:bookmarkStart w:id="289" w:name="_Toc18091"/>
      <w:bookmarkStart w:id="290" w:name="_Toc418"/>
      <w:bookmarkStart w:id="291" w:name="_Toc3545"/>
      <w:bookmarkStart w:id="292" w:name="_Toc20430"/>
      <w:bookmarkStart w:id="293" w:name="_Toc13075"/>
      <w:bookmarkStart w:id="294" w:name="_Toc15367"/>
      <w:bookmarkStart w:id="295" w:name="_Toc13149"/>
      <w:bookmarkStart w:id="296" w:name="_Toc6514"/>
      <w:bookmarkStart w:id="297" w:name="_Toc29636"/>
      <w:bookmarkStart w:id="298" w:name="_Toc12953"/>
      <w:bookmarkStart w:id="299" w:name="_Toc26785"/>
      <w:bookmarkStart w:id="300" w:name="_Toc4944"/>
      <w:bookmarkStart w:id="301" w:name="_Toc5019"/>
      <w:bookmarkStart w:id="302" w:name="_Toc14482"/>
      <w:bookmarkStart w:id="303" w:name="_Toc18745"/>
      <w:bookmarkStart w:id="304" w:name="_Toc31389"/>
      <w:bookmarkStart w:id="305" w:name="_Toc29629"/>
      <w:bookmarkStart w:id="306" w:name="_Toc4985"/>
      <w:r>
        <w:rPr>
          <w:rFonts w:hint="default" w:ascii="Times New Roman" w:hAnsi="Times New Roman" w:eastAsia="楷体_GB2312" w:cs="Times New Roman"/>
          <w:b/>
          <w:bCs/>
          <w:color w:val="auto"/>
          <w:sz w:val="32"/>
          <w:szCs w:val="32"/>
          <w:highlight w:val="none"/>
          <w:lang w:val="en-US" w:eastAsia="zh-CN"/>
        </w:rPr>
        <w:t>（三）发展目标</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i w:val="0"/>
          <w:caps w:val="0"/>
          <w:color w:val="auto"/>
          <w:spacing w:val="0"/>
          <w:sz w:val="32"/>
          <w:szCs w:val="32"/>
          <w:highlight w:val="none"/>
          <w:shd w:val="clear" w:fill="FFFFFF"/>
          <w:lang w:val="en-US" w:eastAsia="zh-CN"/>
        </w:rPr>
        <w:t>到2025年，基本形成与现代产业体系相匹配的现代物流产业链与供应链体系</w:t>
      </w: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w:t>
      </w:r>
      <w:r>
        <w:rPr>
          <w:rFonts w:hint="default" w:ascii="Times New Roman" w:hAnsi="Times New Roman" w:eastAsia="仿宋_GB2312" w:cs="Times New Roman"/>
          <w:color w:val="auto"/>
          <w:sz w:val="32"/>
          <w:szCs w:val="32"/>
          <w:highlight w:val="none"/>
          <w:lang w:eastAsia="zh-CN"/>
        </w:rPr>
        <w:t>陆港型物流枢纽城市建设初见成效，</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现代物流服务全市经济社会发展的功能和地位显著增强。</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物流产业规模稳步增长。</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物流业增加值突破80亿元，年均增速保持在8%以上，物流业增加值占地区生产总值的比重提高三个百分点。货物运输量年均增长3%左右，邮政业务总量突破4亿元，快递业务量突破6000万件。物流产业地位进一步提高，占服务业的比重达到13%，与一、二、三产业实现深度融合，成为全市经济发展的优势产业。</w:t>
      </w:r>
    </w:p>
    <w:p>
      <w:pPr>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物流网络效率大幅提高。</w:t>
      </w:r>
      <w:r>
        <w:rPr>
          <w:rFonts w:hint="default" w:ascii="Times New Roman" w:hAnsi="Times New Roman" w:eastAsia="仿宋_GB2312" w:cs="Times New Roman"/>
          <w:i w:val="0"/>
          <w:iCs w:val="0"/>
          <w:caps w:val="0"/>
          <w:color w:val="auto"/>
          <w:spacing w:val="0"/>
          <w:sz w:val="32"/>
          <w:szCs w:val="32"/>
          <w:highlight w:val="none"/>
          <w:shd w:val="clear" w:fill="FFFFFF"/>
        </w:rPr>
        <w:t>基本形成科学合理的多层次物流网络，</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公路、铁路、航空物流基础设施建设不断完善，公路通车里程达到5800公里，二级以上高等级公路占比达到20%。</w:t>
      </w:r>
      <w:r>
        <w:rPr>
          <w:rFonts w:hint="default" w:ascii="Times New Roman" w:hAnsi="Times New Roman" w:eastAsia="仿宋_GB2312" w:cs="Times New Roman"/>
          <w:i w:val="0"/>
          <w:iCs w:val="0"/>
          <w:caps w:val="0"/>
          <w:color w:val="auto"/>
          <w:spacing w:val="0"/>
          <w:sz w:val="32"/>
          <w:szCs w:val="32"/>
          <w:highlight w:val="none"/>
          <w:shd w:val="clear" w:fill="FFFFFF"/>
        </w:rPr>
        <w:t>基本建成完善的县乡村三级物流配送体系</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物流园区、城乡配送中心等节点网络功能明确、布局合理，快递与包裹服务品牌集中度指数达到90。</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物流空间布局显著优化。</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i w:val="0"/>
          <w:iCs w:val="0"/>
          <w:caps w:val="0"/>
          <w:color w:val="auto"/>
          <w:spacing w:val="0"/>
          <w:sz w:val="32"/>
          <w:szCs w:val="32"/>
          <w:highlight w:val="none"/>
          <w:shd w:val="clear"/>
          <w:lang w:eastAsia="zh-CN" w:bidi="ar"/>
        </w:rPr>
        <w:t>四带三区多节点</w:t>
      </w:r>
      <w:r>
        <w:rPr>
          <w:rFonts w:hint="default" w:ascii="Times New Roman" w:hAnsi="Times New Roman" w:eastAsia="仿宋_GB2312" w:cs="Times New Roman"/>
          <w:color w:val="auto"/>
          <w:sz w:val="32"/>
          <w:szCs w:val="32"/>
          <w:highlight w:val="none"/>
          <w:lang w:eastAsia="zh-CN"/>
        </w:rPr>
        <w:t>”空间布局基本形成，</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阳泉国际陆港、</w:t>
      </w:r>
      <w:r>
        <w:rPr>
          <w:rFonts w:hint="default" w:ascii="Times New Roman" w:hAnsi="Times New Roman" w:eastAsia="仿宋_GB2312" w:cs="Times New Roman"/>
          <w:color w:val="auto"/>
          <w:sz w:val="32"/>
          <w:szCs w:val="32"/>
          <w:highlight w:val="none"/>
          <w:u w:val="none" w:color="auto"/>
          <w:lang w:eastAsia="zh-CN"/>
        </w:rPr>
        <w:t>华远陆港数字科技产业园</w:t>
      </w:r>
      <w:r>
        <w:rPr>
          <w:rFonts w:hint="eastAsia" w:ascii="Times New Roman" w:hAnsi="Times New Roman" w:eastAsia="仿宋_GB2312" w:cs="Times New Roman"/>
          <w:color w:val="auto"/>
          <w:sz w:val="32"/>
          <w:szCs w:val="32"/>
          <w:highlight w:val="none"/>
          <w:u w:val="none" w:color="auto"/>
          <w:lang w:eastAsia="zh-CN"/>
        </w:rPr>
        <w:t>、</w:t>
      </w:r>
      <w:r>
        <w:rPr>
          <w:rFonts w:hint="eastAsia" w:ascii="Times New Roman" w:hAnsi="Times New Roman" w:eastAsia="仿宋_GB2312" w:cs="Times New Roman"/>
          <w:color w:val="auto"/>
          <w:sz w:val="32"/>
          <w:szCs w:val="32"/>
          <w:highlight w:val="none"/>
          <w:u w:val="none" w:color="auto"/>
          <w:lang w:val="en-US" w:eastAsia="zh-CN"/>
        </w:rPr>
        <w:t>大宗商品供应链产业园</w:t>
      </w:r>
      <w:r>
        <w:rPr>
          <w:rFonts w:hint="default" w:ascii="Times New Roman" w:hAnsi="Times New Roman" w:eastAsia="仿宋_GB2312" w:cs="Times New Roman"/>
          <w:b w:val="0"/>
          <w:bCs w:val="0"/>
          <w:i w:val="0"/>
          <w:caps w:val="0"/>
          <w:color w:val="auto"/>
          <w:spacing w:val="0"/>
          <w:sz w:val="32"/>
          <w:szCs w:val="32"/>
          <w:highlight w:val="none"/>
          <w:u w:val="none" w:color="auto"/>
          <w:shd w:val="clear"/>
          <w:lang w:val="en-US" w:eastAsia="zh-CN"/>
        </w:rPr>
        <w:t>等重要园区建设成效显著。物流业制造业</w:t>
      </w:r>
      <w:r>
        <w:rPr>
          <w:rFonts w:hint="default" w:ascii="Times New Roman" w:hAnsi="Times New Roman" w:eastAsia="仿宋_GB2312" w:cs="Times New Roman"/>
          <w:i w:val="0"/>
          <w:iCs w:val="0"/>
          <w:caps w:val="0"/>
          <w:color w:val="auto"/>
          <w:spacing w:val="0"/>
          <w:sz w:val="32"/>
          <w:szCs w:val="32"/>
          <w:highlight w:val="none"/>
          <w:u w:val="none" w:color="auto"/>
          <w:shd w:val="clear"/>
        </w:rPr>
        <w:t>融</w:t>
      </w:r>
      <w:r>
        <w:rPr>
          <w:rFonts w:hint="default" w:ascii="Times New Roman" w:hAnsi="Times New Roman" w:eastAsia="仿宋_GB2312" w:cs="Times New Roman"/>
          <w:i w:val="0"/>
          <w:iCs w:val="0"/>
          <w:caps w:val="0"/>
          <w:color w:val="auto"/>
          <w:spacing w:val="0"/>
          <w:sz w:val="32"/>
          <w:szCs w:val="32"/>
          <w:highlight w:val="none"/>
          <w:shd w:val="clear" w:fill="FFFFFF"/>
        </w:rPr>
        <w:t>合发展水平显著提升，冷链物流、绿色物流发展水平位居</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全省</w:t>
      </w:r>
      <w:r>
        <w:rPr>
          <w:rFonts w:hint="default" w:ascii="Times New Roman" w:hAnsi="Times New Roman" w:eastAsia="仿宋_GB2312" w:cs="Times New Roman"/>
          <w:i w:val="0"/>
          <w:iCs w:val="0"/>
          <w:caps w:val="0"/>
          <w:color w:val="auto"/>
          <w:spacing w:val="0"/>
          <w:sz w:val="32"/>
          <w:szCs w:val="32"/>
          <w:highlight w:val="none"/>
          <w:shd w:val="clear" w:fill="FFFFFF"/>
        </w:rPr>
        <w:t>前列</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以物流园区、物流企业为重点的物流信息系统建设取得明显进展，公共物流信息平台实现有效整合。</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物流企业培育成效显著。</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第三方物流比重明显提高</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，新增物流企业评估国家标准A级以上企业2家，力争培育成功3A级及以上物流企业1-2家，引进1-2家知名物流企业落户，物流行业企业整体竞争力显著增强。</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outlineLvl w:val="9"/>
        <w:rPr>
          <w:rFonts w:hint="default" w:ascii="Times New Roman" w:hAnsi="Times New Roman" w:eastAsia="仿宋_GB2312" w:cs="Times New Roman"/>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智慧物流建设取得突破。</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国家级智能物联网应用基地试点建设成效显著，</w:t>
      </w:r>
      <w:r>
        <w:rPr>
          <w:rFonts w:hint="default" w:ascii="Times New Roman" w:hAnsi="Times New Roman" w:eastAsia="仿宋_GB2312" w:cs="Times New Roman"/>
          <w:color w:val="auto"/>
          <w:sz w:val="32"/>
          <w:szCs w:val="32"/>
          <w:highlight w:val="none"/>
          <w:shd w:val="clear" w:color="auto" w:fill="FFFFFF"/>
        </w:rPr>
        <w:t>5G</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普及率显著提高，</w:t>
      </w:r>
      <w:r>
        <w:rPr>
          <w:rFonts w:hint="default" w:ascii="Times New Roman" w:hAnsi="Times New Roman" w:eastAsia="仿宋_GB2312" w:cs="Times New Roman"/>
          <w:color w:val="auto"/>
          <w:sz w:val="32"/>
          <w:szCs w:val="32"/>
          <w:highlight w:val="none"/>
          <w:shd w:val="clear" w:color="auto" w:fill="FFFFFF"/>
        </w:rPr>
        <w:t>大数据、区块链等信息技术</w:t>
      </w:r>
      <w:r>
        <w:rPr>
          <w:rFonts w:hint="default" w:ascii="Times New Roman" w:hAnsi="Times New Roman" w:eastAsia="仿宋_GB2312" w:cs="Times New Roman"/>
          <w:color w:val="auto"/>
          <w:sz w:val="32"/>
          <w:szCs w:val="32"/>
          <w:highlight w:val="none"/>
          <w:shd w:val="clear" w:color="auto" w:fill="FFFFFF"/>
          <w:lang w:eastAsia="zh-CN"/>
        </w:rPr>
        <w:t>和</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物流机器人、智慧仓、无人机等先进装备广泛应用，集装单元化、电子单证等物流技术普遍应用，</w:t>
      </w:r>
      <w:r>
        <w:rPr>
          <w:rFonts w:hint="default" w:ascii="Times New Roman" w:hAnsi="Times New Roman" w:eastAsia="仿宋_GB2312" w:cs="Times New Roman"/>
          <w:i w:val="0"/>
          <w:iCs w:val="0"/>
          <w:caps w:val="0"/>
          <w:color w:val="auto"/>
          <w:spacing w:val="0"/>
          <w:sz w:val="32"/>
          <w:szCs w:val="32"/>
          <w:highlight w:val="none"/>
          <w:shd w:val="clear" w:fill="FFFFFF"/>
        </w:rPr>
        <w:t>物流智能化、标准化、国际化水平明显提高</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outlineLvl w:val="9"/>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物流综合成本显著下降。</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全社会物流总费用与地区生产总值比率进一步下降。</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区域物流</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信息化和供应链管理能力明显增强，一体化运作水平显著提高，整体</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发展水平和质量效益显著提升。</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outlineLvl w:val="9"/>
        <w:rPr>
          <w:rFonts w:hint="default" w:ascii="Times New Roman" w:hAnsi="Times New Roman" w:cs="Times New Roman"/>
          <w:b/>
          <w:bCs/>
          <w:color w:val="auto"/>
          <w:sz w:val="28"/>
          <w:szCs w:val="28"/>
          <w:highlight w:val="none"/>
          <w:lang w:val="en-US" w:eastAsia="zh-CN"/>
        </w:rPr>
      </w:pPr>
      <w:r>
        <w:rPr>
          <w:rFonts w:hint="default" w:ascii="Times New Roman" w:hAnsi="Times New Roman" w:eastAsia="仿宋_GB2312" w:cs="Times New Roman"/>
          <w:b/>
          <w:bCs/>
          <w:i w:val="0"/>
          <w:caps w:val="0"/>
          <w:color w:val="auto"/>
          <w:spacing w:val="0"/>
          <w:sz w:val="32"/>
          <w:szCs w:val="32"/>
          <w:highlight w:val="none"/>
          <w:shd w:val="clear" w:fill="FFFFFF"/>
          <w:lang w:val="en-US" w:eastAsia="zh-CN"/>
        </w:rPr>
        <w:t>物流服务环境不断改善。</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物流领域“放管服”改革进一步深化，基本形成公平竞争、规范有序的现代物流市场体系。</w:t>
      </w:r>
      <w:r>
        <w:rPr>
          <w:rFonts w:hint="default" w:ascii="Times New Roman" w:hAnsi="Times New Roman" w:eastAsia="仿宋_GB2312" w:cs="Times New Roman"/>
          <w:i w:val="0"/>
          <w:iCs w:val="0"/>
          <w:caps w:val="0"/>
          <w:color w:val="auto"/>
          <w:spacing w:val="0"/>
          <w:sz w:val="32"/>
          <w:szCs w:val="32"/>
          <w:highlight w:val="none"/>
          <w:shd w:val="clear" w:fill="FFFFFF"/>
        </w:rPr>
        <w:t>物流管理科学化水平显著提升，</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物流领域政府监管信息化、透明度达到国内一流水平。</w:t>
      </w:r>
      <w:r>
        <w:rPr>
          <w:rFonts w:hint="default" w:ascii="Times New Roman" w:hAnsi="Times New Roman" w:eastAsia="仿宋_GB2312" w:cs="Times New Roman"/>
          <w:color w:val="auto"/>
          <w:kern w:val="2"/>
          <w:sz w:val="32"/>
          <w:szCs w:val="32"/>
          <w:highlight w:val="none"/>
          <w:shd w:val="clear" w:fill="FFFFFF"/>
          <w:lang w:val="en-US" w:eastAsia="zh-CN" w:bidi="ar"/>
        </w:rPr>
        <w:t>物流企业人才规模不断扩大，</w:t>
      </w:r>
      <w:r>
        <w:rPr>
          <w:rFonts w:hint="default" w:ascii="Times New Roman" w:hAnsi="Times New Roman" w:eastAsia="仿宋_GB2312" w:cs="Times New Roman"/>
          <w:b w:val="0"/>
          <w:bCs w:val="0"/>
          <w:i w:val="0"/>
          <w:caps w:val="0"/>
          <w:color w:val="auto"/>
          <w:spacing w:val="0"/>
          <w:sz w:val="32"/>
          <w:szCs w:val="32"/>
          <w:highlight w:val="none"/>
          <w:shd w:val="clear" w:fill="FFFFFF"/>
          <w:lang w:val="en-US" w:eastAsia="zh-CN"/>
        </w:rPr>
        <w:t>各项扶持政策有效落地实施，</w:t>
      </w:r>
      <w:r>
        <w:rPr>
          <w:rFonts w:hint="default" w:ascii="Times New Roman" w:hAnsi="Times New Roman" w:eastAsia="仿宋_GB2312" w:cs="Times New Roman"/>
          <w:i w:val="0"/>
          <w:iCs w:val="0"/>
          <w:caps w:val="0"/>
          <w:color w:val="auto"/>
          <w:spacing w:val="0"/>
          <w:sz w:val="32"/>
          <w:szCs w:val="32"/>
          <w:highlight w:val="none"/>
          <w:shd w:val="clear" w:fill="FFFFFF"/>
        </w:rPr>
        <w:t>有利于物流高质量发展的营商环境基本形成</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到2035年，现代</w:t>
      </w:r>
      <w:r>
        <w:rPr>
          <w:rFonts w:hint="default" w:ascii="Times New Roman" w:hAnsi="Times New Roman" w:eastAsia="仿宋_GB2312" w:cs="Times New Roman"/>
          <w:color w:val="auto"/>
          <w:sz w:val="32"/>
          <w:szCs w:val="32"/>
          <w:highlight w:val="none"/>
          <w:u w:val="none" w:color="auto"/>
        </w:rPr>
        <w:t>物流与</w:t>
      </w:r>
      <w:r>
        <w:rPr>
          <w:rFonts w:hint="default" w:ascii="Times New Roman" w:hAnsi="Times New Roman" w:eastAsia="仿宋_GB2312" w:cs="Times New Roman"/>
          <w:color w:val="auto"/>
          <w:sz w:val="32"/>
          <w:szCs w:val="32"/>
          <w:highlight w:val="none"/>
          <w:u w:val="none" w:color="auto"/>
          <w:lang w:eastAsia="zh-CN"/>
        </w:rPr>
        <w:t>其他</w:t>
      </w:r>
      <w:r>
        <w:rPr>
          <w:rFonts w:hint="default" w:ascii="Times New Roman" w:hAnsi="Times New Roman" w:eastAsia="仿宋_GB2312" w:cs="Times New Roman"/>
          <w:color w:val="auto"/>
          <w:sz w:val="32"/>
          <w:szCs w:val="32"/>
          <w:highlight w:val="none"/>
          <w:u w:val="none" w:color="auto"/>
        </w:rPr>
        <w:t>产业融合发展形成新优势，区域物流资源整合调配能力明显增强，</w:t>
      </w: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基本形成与现代化经济体系相适应的物流体系；现代物流产业规模持续壮大，基础设施网络进一步完善，</w:t>
      </w:r>
      <w:r>
        <w:rPr>
          <w:rFonts w:hint="default" w:ascii="Times New Roman" w:hAnsi="Times New Roman" w:eastAsia="仿宋_GB2312" w:cs="Times New Roman"/>
          <w:i w:val="0"/>
          <w:caps w:val="0"/>
          <w:color w:val="auto"/>
          <w:spacing w:val="0"/>
          <w:sz w:val="32"/>
          <w:szCs w:val="32"/>
          <w:highlight w:val="none"/>
          <w:shd w:val="clear" w:fill="FFFFFF"/>
          <w:lang w:val="en-US" w:eastAsia="zh-CN"/>
        </w:rPr>
        <w:t>产业链、供应链、物流链实现三链合一；</w:t>
      </w: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产业空间布局进一步优化，智能化、自动化、专业化水平进一步提高；发展环境进一步改善，</w:t>
      </w:r>
      <w:r>
        <w:rPr>
          <w:rFonts w:hint="default" w:ascii="Times New Roman" w:hAnsi="Times New Roman" w:eastAsia="仿宋_GB2312" w:cs="Times New Roman"/>
          <w:color w:val="auto"/>
          <w:sz w:val="32"/>
          <w:szCs w:val="32"/>
          <w:highlight w:val="none"/>
          <w:shd w:val="clear" w:color="auto" w:fill="FFFFFF"/>
        </w:rPr>
        <w:t>物流业运行效率、管理精度</w:t>
      </w:r>
      <w:r>
        <w:rPr>
          <w:rFonts w:hint="default" w:ascii="Times New Roman" w:hAnsi="Times New Roman" w:eastAsia="仿宋_GB2312" w:cs="Times New Roman"/>
          <w:color w:val="auto"/>
          <w:sz w:val="32"/>
          <w:szCs w:val="32"/>
          <w:highlight w:val="none"/>
          <w:shd w:val="clear" w:color="auto" w:fill="FFFFFF"/>
          <w:lang w:eastAsia="zh-CN"/>
        </w:rPr>
        <w:t>进一步提升，</w:t>
      </w: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社会物流总费用进一步降低。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 xml:space="preserve">表2-1  </w:t>
      </w:r>
      <w:r>
        <w:rPr>
          <w:rFonts w:hint="default" w:ascii="Times New Roman" w:hAnsi="Times New Roman" w:cs="Times New Roman"/>
          <w:b/>
          <w:bCs/>
          <w:color w:val="auto"/>
          <w:sz w:val="28"/>
          <w:szCs w:val="28"/>
          <w:highlight w:val="none"/>
          <w:lang w:eastAsia="zh-CN"/>
        </w:rPr>
        <w:t>“十四五”阳泉市现代物流发展目标指标</w:t>
      </w:r>
    </w:p>
    <w:tbl>
      <w:tblPr>
        <w:tblStyle w:val="16"/>
        <w:tblW w:w="501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71"/>
        <w:gridCol w:w="4097"/>
        <w:gridCol w:w="899"/>
        <w:gridCol w:w="795"/>
        <w:gridCol w:w="967"/>
        <w:gridCol w:w="9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0" w:hRule="atLeast"/>
          <w:tblHeader/>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序号</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b/>
                <w:bCs/>
                <w:i w:val="0"/>
                <w:color w:val="auto"/>
                <w:sz w:val="24"/>
                <w:szCs w:val="24"/>
                <w:highlight w:val="none"/>
                <w:u w:val="none"/>
              </w:rPr>
            </w:pPr>
            <w:r>
              <w:rPr>
                <w:rStyle w:val="27"/>
                <w:rFonts w:hint="default" w:ascii="Times New Roman" w:hAnsi="Times New Roman" w:eastAsia="宋体" w:cs="Times New Roman"/>
                <w:b/>
                <w:bCs/>
                <w:color w:val="auto"/>
                <w:sz w:val="24"/>
                <w:szCs w:val="24"/>
                <w:highlight w:val="none"/>
                <w:lang w:val="en-US" w:eastAsia="zh-CN" w:bidi="ar"/>
              </w:rPr>
              <w:t>指</w:t>
            </w:r>
            <w:r>
              <w:rPr>
                <w:rFonts w:hint="default" w:ascii="Times New Roman" w:hAnsi="Times New Roman" w:eastAsia="宋体" w:cs="Times New Roman"/>
                <w:b/>
                <w:bCs/>
                <w:i w:val="0"/>
                <w:color w:val="auto"/>
                <w:kern w:val="0"/>
                <w:sz w:val="24"/>
                <w:szCs w:val="24"/>
                <w:highlight w:val="none"/>
                <w:u w:val="none"/>
                <w:lang w:val="en-US" w:eastAsia="zh-CN" w:bidi="ar"/>
              </w:rPr>
              <w:t xml:space="preserve">    </w:t>
            </w:r>
            <w:r>
              <w:rPr>
                <w:rStyle w:val="27"/>
                <w:rFonts w:hint="default" w:ascii="Times New Roman" w:hAnsi="Times New Roman" w:eastAsia="宋体" w:cs="Times New Roman"/>
                <w:b/>
                <w:bCs/>
                <w:color w:val="auto"/>
                <w:sz w:val="24"/>
                <w:szCs w:val="24"/>
                <w:highlight w:val="none"/>
                <w:lang w:val="en-US" w:eastAsia="zh-CN" w:bidi="ar"/>
              </w:rPr>
              <w:t>标</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2020</w:t>
            </w:r>
            <w:r>
              <w:rPr>
                <w:rStyle w:val="27"/>
                <w:rFonts w:hint="default" w:ascii="Times New Roman" w:hAnsi="Times New Roman" w:eastAsia="宋体" w:cs="Times New Roman"/>
                <w:b/>
                <w:bCs/>
                <w:color w:val="auto"/>
                <w:sz w:val="24"/>
                <w:szCs w:val="24"/>
                <w:highlight w:val="none"/>
                <w:lang w:val="en-US" w:eastAsia="zh-CN" w:bidi="ar"/>
              </w:rPr>
              <w:t>年实际</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2025</w:t>
            </w:r>
            <w:r>
              <w:rPr>
                <w:rStyle w:val="27"/>
                <w:rFonts w:hint="default" w:ascii="Times New Roman" w:hAnsi="Times New Roman" w:eastAsia="宋体" w:cs="Times New Roman"/>
                <w:b/>
                <w:bCs/>
                <w:color w:val="auto"/>
                <w:sz w:val="24"/>
                <w:szCs w:val="24"/>
                <w:highlight w:val="none"/>
                <w:lang w:val="en-US" w:eastAsia="zh-CN" w:bidi="ar"/>
              </w:rPr>
              <w:t>年目标</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b/>
                <w:bCs/>
                <w:i w:val="0"/>
                <w:color w:val="auto"/>
                <w:sz w:val="24"/>
                <w:szCs w:val="24"/>
                <w:highlight w:val="none"/>
                <w:u w:val="none"/>
                <w:lang w:val="en-US"/>
              </w:rPr>
            </w:pPr>
            <w:r>
              <w:rPr>
                <w:rFonts w:hint="default" w:ascii="Times New Roman" w:hAnsi="Times New Roman" w:eastAsia="宋体" w:cs="Times New Roman"/>
                <w:b/>
                <w:bCs/>
                <w:i w:val="0"/>
                <w:color w:val="auto"/>
                <w:kern w:val="0"/>
                <w:sz w:val="24"/>
                <w:szCs w:val="24"/>
                <w:highlight w:val="none"/>
                <w:u w:val="none"/>
                <w:lang w:val="en-US" w:eastAsia="zh-CN" w:bidi="ar"/>
              </w:rPr>
              <w:t>年均增长（%）/[累计]</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b/>
                <w:bCs/>
                <w:i w:val="0"/>
                <w:color w:val="auto"/>
                <w:sz w:val="24"/>
                <w:szCs w:val="24"/>
                <w:highlight w:val="none"/>
                <w:u w:val="none"/>
              </w:rPr>
            </w:pPr>
            <w:r>
              <w:rPr>
                <w:rStyle w:val="27"/>
                <w:rFonts w:hint="default" w:ascii="Times New Roman" w:hAnsi="Times New Roman" w:eastAsia="宋体" w:cs="Times New Roman"/>
                <w:b/>
                <w:bCs/>
                <w:color w:val="auto"/>
                <w:sz w:val="24"/>
                <w:szCs w:val="24"/>
                <w:highlight w:val="none"/>
                <w:lang w:val="en-US" w:eastAsia="zh-CN" w:bidi="ar"/>
              </w:rPr>
              <w:t>属</w:t>
            </w:r>
            <w:r>
              <w:rPr>
                <w:rFonts w:hint="default" w:ascii="Times New Roman" w:hAnsi="Times New Roman" w:eastAsia="宋体" w:cs="Times New Roman"/>
                <w:b/>
                <w:bCs/>
                <w:i w:val="0"/>
                <w:color w:val="auto"/>
                <w:kern w:val="0"/>
                <w:sz w:val="24"/>
                <w:szCs w:val="24"/>
                <w:highlight w:val="none"/>
                <w:u w:val="none"/>
                <w:lang w:val="en-US" w:eastAsia="zh-CN" w:bidi="ar"/>
              </w:rPr>
              <w:t xml:space="preserve">  </w:t>
            </w:r>
            <w:r>
              <w:rPr>
                <w:rStyle w:val="27"/>
                <w:rFonts w:hint="default" w:ascii="Times New Roman" w:hAnsi="Times New Roman" w:eastAsia="宋体" w:cs="Times New Roman"/>
                <w:b/>
                <w:bCs/>
                <w:color w:val="auto"/>
                <w:sz w:val="24"/>
                <w:szCs w:val="24"/>
                <w:highlight w:val="none"/>
                <w:lang w:val="en-US" w:eastAsia="zh-CN" w:bidi="ar"/>
              </w:rPr>
              <w:t>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3"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i w:val="0"/>
                <w:color w:val="auto"/>
                <w:sz w:val="24"/>
                <w:szCs w:val="24"/>
                <w:highlight w:val="none"/>
                <w:u w:val="none"/>
              </w:rPr>
            </w:pPr>
            <w:r>
              <w:rPr>
                <w:rFonts w:hint="default" w:ascii="Times New Roman" w:hAnsi="Times New Roman" w:eastAsia="宋体" w:cs="Times New Roman"/>
                <w:b w:val="0"/>
                <w:bCs w:val="0"/>
                <w:color w:val="auto"/>
                <w:kern w:val="2"/>
                <w:sz w:val="24"/>
                <w:szCs w:val="24"/>
                <w:highlight w:val="none"/>
                <w:u w:val="none"/>
              </w:rPr>
              <w:t>社会物流总额</w:t>
            </w:r>
            <w:r>
              <w:rPr>
                <w:rFonts w:hint="default" w:ascii="Times New Roman" w:hAnsi="Times New Roman" w:eastAsia="宋体" w:cs="Times New Roman"/>
                <w:b w:val="0"/>
                <w:bCs w:val="0"/>
                <w:color w:val="auto"/>
                <w:kern w:val="2"/>
                <w:sz w:val="24"/>
                <w:szCs w:val="24"/>
                <w:highlight w:val="none"/>
                <w:u w:val="none"/>
                <w:lang w:eastAsia="zh-CN"/>
              </w:rPr>
              <w:t>（亿元）</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527.77</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775.46</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8</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sz w:val="24"/>
                <w:szCs w:val="24"/>
                <w:highlight w:val="none"/>
                <w:u w:val="none"/>
                <w:lang w:eastAsia="zh-CN"/>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3"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2</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Style w:val="18"/>
                <w:rFonts w:hint="default" w:ascii="Times New Roman" w:hAnsi="Times New Roman" w:eastAsia="宋体" w:cs="Times New Roman"/>
                <w:b w:val="0"/>
                <w:bCs w:val="0"/>
                <w:color w:val="auto"/>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u w:val="none"/>
                <w:lang w:eastAsia="zh-CN"/>
              </w:rPr>
              <w:t>物流业增加值（亿元）</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50.94</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80</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9.45</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3"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3</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Style w:val="18"/>
                <w:rFonts w:hint="default" w:ascii="Times New Roman" w:hAnsi="Times New Roman" w:eastAsia="宋体" w:cs="Times New Roman"/>
                <w:b w:val="0"/>
                <w:bCs w:val="0"/>
                <w:color w:val="auto"/>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u w:val="none"/>
              </w:rPr>
              <w:t>物流业</w:t>
            </w:r>
            <w:r>
              <w:rPr>
                <w:rFonts w:hint="default" w:ascii="Times New Roman" w:hAnsi="Times New Roman" w:eastAsia="宋体" w:cs="Times New Roman"/>
                <w:b w:val="0"/>
                <w:bCs w:val="0"/>
                <w:color w:val="auto"/>
                <w:kern w:val="2"/>
                <w:sz w:val="24"/>
                <w:szCs w:val="24"/>
                <w:highlight w:val="none"/>
                <w:u w:val="none"/>
                <w:lang w:val="en-US" w:eastAsia="zh-CN"/>
              </w:rPr>
              <w:t>增加值占全市GDP比重（%）</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ind w:firstLine="240" w:firstLineChars="100"/>
              <w:jc w:val="both"/>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6.86</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9</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73"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Style w:val="18"/>
                <w:rFonts w:hint="default" w:ascii="Times New Roman" w:hAnsi="Times New Roman" w:eastAsia="宋体" w:cs="Times New Roman"/>
                <w:b w:val="0"/>
                <w:bCs w:val="0"/>
                <w:color w:val="auto"/>
                <w:sz w:val="24"/>
                <w:szCs w:val="24"/>
                <w:highlight w:val="none"/>
                <w:lang w:val="en-US" w:eastAsia="zh-CN" w:bidi="ar"/>
              </w:rPr>
            </w:pPr>
            <w:r>
              <w:rPr>
                <w:rStyle w:val="18"/>
                <w:rFonts w:hint="default" w:ascii="Times New Roman" w:hAnsi="Times New Roman" w:eastAsia="宋体" w:cs="Times New Roman"/>
                <w:b w:val="0"/>
                <w:bCs w:val="0"/>
                <w:color w:val="auto"/>
                <w:sz w:val="24"/>
                <w:szCs w:val="24"/>
                <w:highlight w:val="none"/>
                <w:lang w:val="en-US" w:eastAsia="zh-CN" w:bidi="ar"/>
              </w:rPr>
              <w:t>交通运输、仓储和邮政业增加值（亿元</w:t>
            </w:r>
            <w:r>
              <w:rPr>
                <w:rFonts w:hint="default" w:ascii="Times New Roman" w:hAnsi="Times New Roman" w:eastAsia="宋体" w:cs="Times New Roman"/>
                <w:b w:val="0"/>
                <w:bCs w:val="0"/>
                <w:color w:val="auto"/>
                <w:kern w:val="2"/>
                <w:sz w:val="24"/>
                <w:szCs w:val="24"/>
                <w:highlight w:val="none"/>
                <w:u w:val="none"/>
                <w:lang w:eastAsia="zh-CN"/>
              </w:rPr>
              <w:t>）</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39.06</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57.4</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8</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5</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cs="Times New Roman"/>
                <w:b w:val="0"/>
                <w:bCs w:val="0"/>
                <w:color w:val="auto"/>
                <w:kern w:val="0"/>
                <w:sz w:val="24"/>
                <w:szCs w:val="24"/>
                <w:highlight w:val="none"/>
                <w:lang w:eastAsia="zh-CN"/>
              </w:rPr>
              <w:t>铁路货运</w:t>
            </w:r>
            <w:r>
              <w:rPr>
                <w:rFonts w:hint="default" w:ascii="Times New Roman" w:hAnsi="Times New Roman" w:cs="Times New Roman"/>
                <w:b w:val="0"/>
                <w:bCs w:val="0"/>
                <w:color w:val="auto"/>
                <w:kern w:val="0"/>
                <w:sz w:val="24"/>
                <w:szCs w:val="24"/>
                <w:highlight w:val="none"/>
              </w:rPr>
              <w:t>量（</w:t>
            </w:r>
            <w:r>
              <w:rPr>
                <w:rFonts w:hint="default" w:ascii="Times New Roman" w:hAnsi="Times New Roman" w:cs="Times New Roman"/>
                <w:b w:val="0"/>
                <w:bCs w:val="0"/>
                <w:color w:val="auto"/>
                <w:kern w:val="0"/>
                <w:sz w:val="24"/>
                <w:szCs w:val="24"/>
                <w:highlight w:val="none"/>
                <w:lang w:eastAsia="zh-CN"/>
              </w:rPr>
              <w:t>万</w:t>
            </w:r>
            <w:r>
              <w:rPr>
                <w:rFonts w:hint="default" w:ascii="Times New Roman" w:hAnsi="Times New Roman" w:cs="Times New Roman"/>
                <w:b w:val="0"/>
                <w:bCs w:val="0"/>
                <w:color w:val="auto"/>
                <w:kern w:val="0"/>
                <w:sz w:val="24"/>
                <w:szCs w:val="24"/>
                <w:highlight w:val="none"/>
              </w:rPr>
              <w:t>吨）</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4238</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lang w:val="en-US" w:eastAsia="zh-CN"/>
              </w:rPr>
              <w:t>4800</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cs="Times New Roman"/>
                <w:b w:val="0"/>
                <w:bCs w:val="0"/>
                <w:color w:val="auto"/>
                <w:kern w:val="0"/>
                <w:sz w:val="24"/>
                <w:szCs w:val="24"/>
                <w:highlight w:val="none"/>
              </w:rPr>
              <w:t>邮政业务总量（亿元）</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ind w:firstLine="274" w:firstLineChars="0"/>
              <w:jc w:val="both"/>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3.13</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4</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7</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u w:val="none"/>
              </w:rPr>
              <w:t>快递业务量</w:t>
            </w:r>
            <w:r>
              <w:rPr>
                <w:rFonts w:hint="default" w:ascii="Times New Roman" w:hAnsi="Times New Roman" w:eastAsia="宋体" w:cs="Times New Roman"/>
                <w:b w:val="0"/>
                <w:bCs w:val="0"/>
                <w:color w:val="auto"/>
                <w:kern w:val="2"/>
                <w:sz w:val="24"/>
                <w:szCs w:val="24"/>
                <w:highlight w:val="none"/>
                <w:u w:val="none"/>
                <w:lang w:eastAsia="zh-CN"/>
              </w:rPr>
              <w:t>（</w:t>
            </w:r>
            <w:r>
              <w:rPr>
                <w:rFonts w:hint="default" w:ascii="Times New Roman" w:hAnsi="Times New Roman" w:eastAsia="宋体" w:cs="Times New Roman"/>
                <w:b w:val="0"/>
                <w:bCs w:val="0"/>
                <w:i w:val="0"/>
                <w:caps w:val="0"/>
                <w:color w:val="auto"/>
                <w:spacing w:val="0"/>
                <w:sz w:val="24"/>
                <w:szCs w:val="24"/>
                <w:highlight w:val="none"/>
                <w:shd w:val="clear" w:fill="FFFFFF"/>
              </w:rPr>
              <w:t>万件</w:t>
            </w:r>
            <w:r>
              <w:rPr>
                <w:rFonts w:hint="default" w:ascii="Times New Roman" w:hAnsi="Times New Roman" w:eastAsia="宋体" w:cs="Times New Roman"/>
                <w:b w:val="0"/>
                <w:bCs w:val="0"/>
                <w:color w:val="auto"/>
                <w:kern w:val="2"/>
                <w:sz w:val="24"/>
                <w:szCs w:val="24"/>
                <w:highlight w:val="none"/>
                <w:u w:val="none"/>
                <w:lang w:eastAsia="zh-CN"/>
              </w:rPr>
              <w:t>）</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4298</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6000</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8</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i w:val="0"/>
                <w:caps w:val="0"/>
                <w:color w:val="auto"/>
                <w:spacing w:val="0"/>
                <w:sz w:val="24"/>
                <w:szCs w:val="24"/>
                <w:highlight w:val="none"/>
                <w:shd w:val="clear" w:fill="FFFFFF"/>
              </w:rPr>
              <w:t>快递与包裹服务品牌集中度指数</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89.37</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rPr>
              <w:t>90</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[0.63]</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9</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i w:val="0"/>
                <w:caps w:val="0"/>
                <w:color w:val="auto"/>
                <w:spacing w:val="0"/>
                <w:sz w:val="24"/>
                <w:szCs w:val="24"/>
                <w:highlight w:val="none"/>
                <w:shd w:val="clear" w:fill="FFFFFF"/>
                <w:lang w:val="en-US" w:eastAsia="zh-CN"/>
              </w:rPr>
              <w:t>A级以上物流企业数量（家）</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3</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5</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[2]</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10</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u w:val="none"/>
                <w:lang w:eastAsia="zh-CN"/>
              </w:rPr>
              <w:t>智慧</w:t>
            </w:r>
            <w:r>
              <w:rPr>
                <w:rFonts w:hint="default" w:ascii="Times New Roman" w:hAnsi="Times New Roman" w:eastAsia="宋体" w:cs="Times New Roman"/>
                <w:b w:val="0"/>
                <w:bCs w:val="0"/>
                <w:color w:val="auto"/>
                <w:kern w:val="2"/>
                <w:sz w:val="24"/>
                <w:szCs w:val="24"/>
                <w:highlight w:val="none"/>
                <w:u w:val="none"/>
              </w:rPr>
              <w:t>物流园区</w:t>
            </w:r>
            <w:r>
              <w:rPr>
                <w:rFonts w:hint="default" w:ascii="Times New Roman" w:hAnsi="Times New Roman" w:eastAsia="宋体" w:cs="Times New Roman"/>
                <w:b w:val="0"/>
                <w:bCs w:val="0"/>
                <w:color w:val="auto"/>
                <w:kern w:val="2"/>
                <w:sz w:val="24"/>
                <w:szCs w:val="24"/>
                <w:highlight w:val="none"/>
                <w:u w:val="none"/>
                <w:lang w:eastAsia="zh-CN"/>
              </w:rPr>
              <w:t>（个）</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2</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5</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[3]</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sz w:val="24"/>
                <w:szCs w:val="24"/>
                <w:highlight w:val="none"/>
                <w:u w:val="none"/>
                <w:lang w:eastAsia="zh-CN"/>
              </w:rPr>
              <w:t>预期性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4" w:hRule="atLeast"/>
          <w:jc w:val="center"/>
        </w:trPr>
        <w:tc>
          <w:tcPr>
            <w:tcW w:w="402"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11</w:t>
            </w:r>
          </w:p>
        </w:tc>
        <w:tc>
          <w:tcPr>
            <w:tcW w:w="245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center"/>
              <w:rPr>
                <w:rFonts w:hint="default" w:ascii="Times New Roman" w:hAnsi="Times New Roman" w:eastAsia="宋体" w:cs="Times New Roman"/>
                <w:b w:val="0"/>
                <w:bCs w:val="0"/>
                <w:color w:val="auto"/>
                <w:kern w:val="2"/>
                <w:sz w:val="24"/>
                <w:szCs w:val="24"/>
                <w:highlight w:val="none"/>
                <w:u w:val="none"/>
                <w:lang w:val="en-US" w:eastAsia="zh-CN"/>
              </w:rPr>
            </w:pPr>
            <w:r>
              <w:rPr>
                <w:rFonts w:hint="default" w:ascii="Times New Roman" w:hAnsi="Times New Roman" w:eastAsia="宋体" w:cs="Times New Roman"/>
                <w:b w:val="0"/>
                <w:bCs w:val="0"/>
                <w:color w:val="auto"/>
                <w:kern w:val="2"/>
                <w:sz w:val="24"/>
                <w:szCs w:val="24"/>
                <w:highlight w:val="none"/>
                <w:u w:val="none"/>
                <w:lang w:val="en-US" w:eastAsia="zh-CN"/>
              </w:rPr>
              <w:t>农产品</w:t>
            </w:r>
            <w:r>
              <w:rPr>
                <w:rFonts w:hint="default" w:ascii="Times New Roman" w:hAnsi="Times New Roman" w:eastAsia="宋体" w:cs="Times New Roman"/>
                <w:b w:val="0"/>
                <w:bCs w:val="0"/>
                <w:color w:val="auto"/>
                <w:kern w:val="2"/>
                <w:sz w:val="24"/>
                <w:szCs w:val="24"/>
                <w:highlight w:val="none"/>
                <w:u w:val="none"/>
                <w:lang w:eastAsia="zh-CN"/>
              </w:rPr>
              <w:t>冷链仓储保鲜库（个）</w:t>
            </w:r>
          </w:p>
        </w:tc>
        <w:tc>
          <w:tcPr>
            <w:tcW w:w="5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73</w:t>
            </w:r>
          </w:p>
        </w:tc>
        <w:tc>
          <w:tcPr>
            <w:tcW w:w="476"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150</w:t>
            </w:r>
          </w:p>
        </w:tc>
        <w:tc>
          <w:tcPr>
            <w:tcW w:w="57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600" w:lineRule="exact"/>
              <w:jc w:val="center"/>
              <w:rPr>
                <w:rFonts w:hint="default" w:ascii="Times New Roman" w:hAnsi="Times New Roman" w:eastAsia="宋体" w:cs="Times New Roman"/>
                <w:i w:val="0"/>
                <w:color w:val="auto"/>
                <w:sz w:val="24"/>
                <w:szCs w:val="24"/>
                <w:highlight w:val="none"/>
                <w:u w:val="none"/>
                <w:lang w:val="en-US" w:eastAsia="zh-CN"/>
              </w:rPr>
            </w:pPr>
            <w:r>
              <w:rPr>
                <w:rFonts w:hint="default" w:ascii="Times New Roman" w:hAnsi="Times New Roman" w:eastAsia="宋体" w:cs="Times New Roman"/>
                <w:i w:val="0"/>
                <w:color w:val="auto"/>
                <w:sz w:val="24"/>
                <w:szCs w:val="24"/>
                <w:highlight w:val="none"/>
                <w:u w:val="none"/>
                <w:lang w:val="en-US" w:eastAsia="zh-CN"/>
              </w:rPr>
              <w:t>—</w:t>
            </w:r>
          </w:p>
        </w:tc>
        <w:tc>
          <w:tcPr>
            <w:tcW w:w="550" w:type="pct"/>
            <w:tcBorders>
              <w:tl2br w:val="nil"/>
              <w:tr2bl w:val="nil"/>
            </w:tcBorders>
            <w:noWrap w:val="0"/>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center"/>
              <w:rPr>
                <w:rFonts w:hint="default" w:ascii="Times New Roman" w:hAnsi="Times New Roman" w:eastAsia="宋体" w:cs="Times New Roman"/>
                <w:i w:val="0"/>
                <w:color w:val="auto"/>
                <w:kern w:val="2"/>
                <w:sz w:val="24"/>
                <w:szCs w:val="24"/>
                <w:highlight w:val="none"/>
                <w:u w:val="none"/>
                <w:lang w:val="en-US" w:eastAsia="zh-CN" w:bidi="ar-SA"/>
              </w:rPr>
            </w:pPr>
            <w:r>
              <w:rPr>
                <w:rFonts w:hint="default" w:ascii="Times New Roman" w:hAnsi="Times New Roman" w:eastAsia="宋体" w:cs="Times New Roman"/>
                <w:i w:val="0"/>
                <w:color w:val="auto"/>
                <w:sz w:val="24"/>
                <w:szCs w:val="24"/>
                <w:highlight w:val="none"/>
                <w:u w:val="none"/>
                <w:lang w:eastAsia="zh-CN"/>
              </w:rPr>
              <w:t>预期性</w:t>
            </w:r>
          </w:p>
        </w:tc>
      </w:t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tbl>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40" w:lineRule="exact"/>
        <w:ind w:left="640" w:leftChars="305" w:firstLine="0" w:firstLineChars="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
        </w:rPr>
      </w:pPr>
      <w:bookmarkStart w:id="307" w:name="_Toc25861"/>
      <w:bookmarkStart w:id="308" w:name="_Toc18110"/>
      <w:bookmarkStart w:id="309" w:name="_Toc27761"/>
      <w:bookmarkStart w:id="310" w:name="_Toc1444"/>
      <w:bookmarkStart w:id="311" w:name="_Toc2698"/>
      <w:bookmarkStart w:id="312" w:name="_Toc3170"/>
      <w:bookmarkStart w:id="313" w:name="_Toc5221"/>
      <w:bookmarkStart w:id="314" w:name="_Toc32246"/>
      <w:bookmarkStart w:id="315" w:name="_Toc5439"/>
      <w:bookmarkStart w:id="316" w:name="_Toc7921"/>
      <w:bookmarkStart w:id="317" w:name="_Toc16869"/>
      <w:bookmarkStart w:id="318" w:name="_Toc24648"/>
      <w:bookmarkStart w:id="319" w:name="_Toc27587"/>
      <w:bookmarkStart w:id="320" w:name="_Toc17727"/>
      <w:bookmarkStart w:id="321" w:name="_Toc9250"/>
      <w:bookmarkStart w:id="322" w:name="_Toc4660"/>
      <w:bookmarkStart w:id="323" w:name="_Toc24693"/>
      <w:bookmarkStart w:id="324" w:name="_Toc23659"/>
      <w:bookmarkStart w:id="325" w:name="_Toc17358"/>
      <w:bookmarkStart w:id="326" w:name="_Toc27671"/>
      <w:bookmarkStart w:id="327" w:name="_Toc17211"/>
      <w:bookmarkStart w:id="328" w:name="_Toc6526"/>
      <w:bookmarkStart w:id="329" w:name="_Toc6511"/>
      <w:bookmarkStart w:id="330" w:name="_Toc18574"/>
      <w:bookmarkStart w:id="331" w:name="_Toc21512"/>
      <w:r>
        <w:rPr>
          <w:rFonts w:hint="default" w:ascii="Times New Roman" w:hAnsi="Times New Roman" w:eastAsia="楷体_GB2312" w:cs="Times New Roman"/>
          <w:b/>
          <w:bCs/>
          <w:color w:val="auto"/>
          <w:kern w:val="2"/>
          <w:sz w:val="32"/>
          <w:szCs w:val="32"/>
          <w:highlight w:val="none"/>
          <w:lang w:val="en-US" w:eastAsia="zh-CN" w:bidi="ar"/>
        </w:rPr>
        <w:t>（四）战略定位</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keepNext w:val="0"/>
        <w:keepLines w:val="0"/>
        <w:pageBreakBefore w:val="0"/>
        <w:widowControl w:val="0"/>
        <w:numPr>
          <w:ilvl w:val="-1"/>
          <w:numId w:val="0"/>
        </w:numPr>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pPr>
      <w:r>
        <w:rPr>
          <w:rFonts w:hint="default" w:ascii="Times New Roman" w:hAnsi="Times New Roman" w:eastAsia="仿宋_GB2312" w:cs="Times New Roman"/>
          <w:color w:val="auto"/>
          <w:kern w:val="0"/>
          <w:sz w:val="32"/>
          <w:szCs w:val="32"/>
          <w:highlight w:val="none"/>
          <w:shd w:val="clear" w:fill="FFFFFF"/>
          <w:lang w:val="en-US" w:eastAsia="zh-CN" w:bidi="ar"/>
        </w:rPr>
        <w:t>立足我市地处石太走廊中点、联系京津冀和太忻经济区</w:t>
      </w:r>
      <w:r>
        <w:rPr>
          <w:rFonts w:hint="eastAsia" w:ascii="Times New Roman" w:hAnsi="Times New Roman" w:eastAsia="仿宋_GB2312" w:cs="Times New Roman"/>
          <w:color w:val="auto"/>
          <w:kern w:val="0"/>
          <w:sz w:val="32"/>
          <w:szCs w:val="32"/>
          <w:highlight w:val="none"/>
          <w:shd w:val="clear" w:fill="FFFFFF"/>
          <w:lang w:val="en-US" w:eastAsia="zh-CN" w:bidi="ar"/>
        </w:rPr>
        <w:t>、</w:t>
      </w:r>
      <w:r>
        <w:rPr>
          <w:rFonts w:hint="default" w:ascii="Times New Roman" w:hAnsi="Times New Roman" w:eastAsia="仿宋_GB2312" w:cs="Times New Roman"/>
          <w:color w:val="auto"/>
          <w:kern w:val="0"/>
          <w:sz w:val="32"/>
          <w:szCs w:val="32"/>
          <w:highlight w:val="none"/>
          <w:shd w:val="clear" w:fill="FFFFFF"/>
          <w:lang w:val="en-US" w:eastAsia="zh-CN" w:bidi="ar"/>
        </w:rPr>
        <w:t>毗邻晋北</w:t>
      </w:r>
      <w:r>
        <w:rPr>
          <w:rFonts w:hint="eastAsia" w:ascii="Times New Roman" w:hAnsi="Times New Roman" w:eastAsia="仿宋_GB2312" w:cs="Times New Roman"/>
          <w:color w:val="auto"/>
          <w:kern w:val="0"/>
          <w:sz w:val="32"/>
          <w:szCs w:val="32"/>
          <w:highlight w:val="none"/>
          <w:shd w:val="clear" w:fill="FFFFFF"/>
          <w:lang w:val="en-US" w:eastAsia="zh-CN" w:bidi="ar"/>
        </w:rPr>
        <w:t>和</w:t>
      </w:r>
      <w:r>
        <w:rPr>
          <w:rFonts w:hint="default" w:ascii="Times New Roman" w:hAnsi="Times New Roman" w:eastAsia="仿宋_GB2312" w:cs="Times New Roman"/>
          <w:color w:val="auto"/>
          <w:kern w:val="0"/>
          <w:sz w:val="32"/>
          <w:szCs w:val="32"/>
          <w:highlight w:val="none"/>
          <w:shd w:val="clear" w:fill="FFFFFF"/>
          <w:lang w:val="en-US" w:eastAsia="zh-CN" w:bidi="ar"/>
        </w:rPr>
        <w:t>晋东南城镇圈的区位优势，</w:t>
      </w:r>
      <w:r>
        <w:rPr>
          <w:rFonts w:ascii="Times New Roman" w:hAnsi="Times New Roman" w:eastAsia="仿宋_GB2312" w:cs="Times New Roman"/>
          <w:b w:val="0"/>
          <w:bCs w:val="0"/>
          <w:color w:val="auto"/>
          <w:kern w:val="0"/>
          <w:sz w:val="32"/>
          <w:szCs w:val="32"/>
          <w:highlight w:val="none"/>
          <w:u w:val="none"/>
          <w:shd w:val="clear" w:fill="FFFFFF"/>
          <w:lang w:bidi="ar"/>
        </w:rPr>
        <w:t>抓住</w:t>
      </w:r>
      <w:r>
        <w:rPr>
          <w:rFonts w:hint="eastAsia" w:ascii="Times New Roman" w:hAnsi="Times New Roman" w:eastAsia="仿宋_GB2312" w:cs="Times New Roman"/>
          <w:b w:val="0"/>
          <w:bCs w:val="0"/>
          <w:color w:val="auto"/>
          <w:kern w:val="0"/>
          <w:sz w:val="32"/>
          <w:szCs w:val="32"/>
          <w:highlight w:val="none"/>
          <w:u w:val="none"/>
          <w:shd w:val="clear" w:fill="FFFFFF"/>
          <w:lang w:eastAsia="zh-CN" w:bidi="ar"/>
        </w:rPr>
        <w:t>山西中部城市群建设和</w:t>
      </w:r>
      <w:r>
        <w:rPr>
          <w:rFonts w:ascii="Times New Roman" w:hAnsi="Times New Roman" w:eastAsia="仿宋_GB2312" w:cs="Times New Roman"/>
          <w:b w:val="0"/>
          <w:bCs w:val="0"/>
          <w:color w:val="auto"/>
          <w:kern w:val="0"/>
          <w:sz w:val="32"/>
          <w:szCs w:val="32"/>
          <w:highlight w:val="none"/>
          <w:u w:val="none"/>
          <w:shd w:val="clear" w:fill="FFFFFF"/>
          <w:lang w:bidi="ar"/>
        </w:rPr>
        <w:t>京藏走廊</w:t>
      </w:r>
      <w:r>
        <w:rPr>
          <w:rFonts w:hint="default" w:ascii="Times New Roman" w:hAnsi="Times New Roman" w:eastAsia="仿宋_GB2312" w:cs="Times New Roman"/>
          <w:b w:val="0"/>
          <w:bCs w:val="0"/>
          <w:color w:val="auto"/>
          <w:kern w:val="0"/>
          <w:sz w:val="32"/>
          <w:szCs w:val="32"/>
          <w:highlight w:val="none"/>
          <w:u w:val="none"/>
          <w:shd w:val="clear" w:fill="FFFFFF"/>
          <w:lang w:eastAsia="zh-CN" w:bidi="ar"/>
        </w:rPr>
        <w:t>过境阳泉</w:t>
      </w:r>
      <w:r>
        <w:rPr>
          <w:rFonts w:ascii="Times New Roman" w:hAnsi="Times New Roman" w:eastAsia="仿宋_GB2312" w:cs="Times New Roman"/>
          <w:b w:val="0"/>
          <w:bCs w:val="0"/>
          <w:color w:val="auto"/>
          <w:kern w:val="0"/>
          <w:sz w:val="32"/>
          <w:szCs w:val="32"/>
          <w:highlight w:val="none"/>
          <w:u w:val="none"/>
          <w:shd w:val="clear" w:fill="FFFFFF"/>
          <w:lang w:bidi="ar"/>
        </w:rPr>
        <w:t>重大机遇，优化提升运输结构和能级，</w:t>
      </w:r>
      <w:r>
        <w:rPr>
          <w:rFonts w:hint="default" w:ascii="Times New Roman" w:hAnsi="Times New Roman" w:eastAsia="仿宋_GB2312" w:cs="Times New Roman"/>
          <w:color w:val="auto"/>
          <w:sz w:val="32"/>
          <w:szCs w:val="32"/>
          <w:highlight w:val="none"/>
          <w:u w:val="none" w:color="auto"/>
          <w:lang w:eastAsia="zh-CN"/>
        </w:rPr>
        <w:t>积极</w:t>
      </w:r>
      <w:r>
        <w:rPr>
          <w:rFonts w:ascii="Times New Roman" w:hAnsi="Times New Roman" w:eastAsia="仿宋_GB2312" w:cs="Times New Roman"/>
          <w:i w:val="0"/>
          <w:iCs w:val="0"/>
          <w:caps w:val="0"/>
          <w:color w:val="auto"/>
          <w:spacing w:val="0"/>
          <w:sz w:val="32"/>
          <w:szCs w:val="32"/>
          <w:highlight w:val="none"/>
          <w:u w:val="none" w:color="auto"/>
          <w:shd w:val="clear"/>
        </w:rPr>
        <w:t>承接</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京津冀和</w:t>
      </w:r>
      <w:r>
        <w:rPr>
          <w:rFonts w:ascii="Times New Roman" w:hAnsi="Times New Roman" w:eastAsia="仿宋_GB2312" w:cs="Times New Roman"/>
          <w:i w:val="0"/>
          <w:iCs w:val="0"/>
          <w:caps w:val="0"/>
          <w:color w:val="auto"/>
          <w:spacing w:val="0"/>
          <w:sz w:val="32"/>
          <w:szCs w:val="32"/>
          <w:highlight w:val="none"/>
          <w:u w:val="none" w:color="auto"/>
          <w:shd w:val="clear"/>
        </w:rPr>
        <w:t>东部</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地区</w:t>
      </w:r>
      <w:r>
        <w:rPr>
          <w:rFonts w:ascii="Times New Roman" w:hAnsi="Times New Roman" w:eastAsia="仿宋_GB2312" w:cs="Times New Roman"/>
          <w:i w:val="0"/>
          <w:iCs w:val="0"/>
          <w:caps w:val="0"/>
          <w:color w:val="auto"/>
          <w:spacing w:val="0"/>
          <w:sz w:val="32"/>
          <w:szCs w:val="32"/>
          <w:highlight w:val="none"/>
          <w:u w:val="none" w:color="auto"/>
          <w:shd w:val="clear"/>
        </w:rPr>
        <w:t>产业西进、</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中</w:t>
      </w:r>
      <w:r>
        <w:rPr>
          <w:rFonts w:ascii="Times New Roman" w:hAnsi="Times New Roman" w:eastAsia="仿宋_GB2312" w:cs="Times New Roman"/>
          <w:i w:val="0"/>
          <w:iCs w:val="0"/>
          <w:caps w:val="0"/>
          <w:color w:val="auto"/>
          <w:spacing w:val="0"/>
          <w:sz w:val="32"/>
          <w:szCs w:val="32"/>
          <w:highlight w:val="none"/>
          <w:u w:val="none" w:color="auto"/>
          <w:shd w:val="clear"/>
        </w:rPr>
        <w:t>西部</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地区</w:t>
      </w:r>
      <w:r>
        <w:rPr>
          <w:rFonts w:ascii="Times New Roman" w:hAnsi="Times New Roman" w:eastAsia="仿宋_GB2312" w:cs="Times New Roman"/>
          <w:i w:val="0"/>
          <w:iCs w:val="0"/>
          <w:caps w:val="0"/>
          <w:color w:val="auto"/>
          <w:spacing w:val="0"/>
          <w:sz w:val="32"/>
          <w:szCs w:val="32"/>
          <w:highlight w:val="none"/>
          <w:u w:val="none" w:color="auto"/>
          <w:shd w:val="clear"/>
        </w:rPr>
        <w:t>资源东输，</w:t>
      </w:r>
      <w:r>
        <w:rPr>
          <w:rFonts w:hint="default" w:ascii="Times New Roman" w:hAnsi="Times New Roman" w:eastAsia="仿宋_GB2312" w:cs="Times New Roman"/>
          <w:color w:val="auto"/>
          <w:kern w:val="0"/>
          <w:sz w:val="32"/>
          <w:szCs w:val="32"/>
          <w:highlight w:val="none"/>
          <w:shd w:val="clear" w:fill="FFFFFF"/>
          <w:lang w:val="en-US" w:eastAsia="zh-CN" w:bidi="ar"/>
        </w:rPr>
        <w:t>打造</w:t>
      </w:r>
      <w:r>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t>京津冀</w:t>
      </w:r>
      <w:r>
        <w:rPr>
          <w:rFonts w:hint="default" w:ascii="Times New Roman" w:hAnsi="Times New Roman" w:eastAsia="仿宋_GB2312" w:cs="Times New Roman"/>
          <w:b w:val="0"/>
          <w:bCs w:val="0"/>
          <w:color w:val="auto"/>
          <w:kern w:val="0"/>
          <w:sz w:val="32"/>
          <w:szCs w:val="32"/>
          <w:highlight w:val="none"/>
          <w:u w:val="none"/>
          <w:shd w:val="clear" w:fill="FFFFFF"/>
          <w:lang w:eastAsia="zh-CN" w:bidi="ar"/>
        </w:rPr>
        <w:t>向</w:t>
      </w:r>
      <w:r>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t>中西部地区</w:t>
      </w:r>
      <w:r>
        <w:rPr>
          <w:rFonts w:hint="default" w:ascii="Times New Roman" w:hAnsi="Times New Roman" w:eastAsia="仿宋_GB2312" w:cs="Times New Roman"/>
          <w:b w:val="0"/>
          <w:bCs w:val="0"/>
          <w:i w:val="0"/>
          <w:iCs w:val="0"/>
          <w:caps w:val="0"/>
          <w:color w:val="auto"/>
          <w:spacing w:val="0"/>
          <w:kern w:val="0"/>
          <w:sz w:val="32"/>
          <w:szCs w:val="32"/>
          <w:highlight w:val="none"/>
          <w:u w:val="none"/>
          <w:shd w:val="clear" w:fill="FFFFFF"/>
          <w:lang w:bidi="ar"/>
        </w:rPr>
        <w:t>辐射</w:t>
      </w:r>
      <w:r>
        <w:rPr>
          <w:rFonts w:hint="default" w:ascii="Times New Roman" w:hAnsi="Times New Roman" w:eastAsia="仿宋_GB2312" w:cs="Times New Roman"/>
          <w:b w:val="0"/>
          <w:bCs w:val="0"/>
          <w:i w:val="0"/>
          <w:iCs w:val="0"/>
          <w:caps w:val="0"/>
          <w:color w:val="auto"/>
          <w:spacing w:val="0"/>
          <w:kern w:val="0"/>
          <w:sz w:val="32"/>
          <w:szCs w:val="32"/>
          <w:highlight w:val="none"/>
          <w:u w:val="none"/>
          <w:shd w:val="clear" w:fill="FFFFFF"/>
          <w:lang w:eastAsia="zh-CN" w:bidi="ar"/>
        </w:rPr>
        <w:t>的</w:t>
      </w:r>
      <w:r>
        <w:rPr>
          <w:rFonts w:hint="default" w:ascii="Times New Roman" w:hAnsi="Times New Roman" w:eastAsia="仿宋_GB2312" w:cs="Times New Roman"/>
          <w:b w:val="0"/>
          <w:bCs w:val="0"/>
          <w:i w:val="0"/>
          <w:iCs w:val="0"/>
          <w:caps w:val="0"/>
          <w:color w:val="auto"/>
          <w:spacing w:val="8"/>
          <w:kern w:val="0"/>
          <w:sz w:val="32"/>
          <w:szCs w:val="32"/>
          <w:highlight w:val="none"/>
          <w:shd w:val="clear" w:fill="FFFFFF"/>
          <w:lang w:bidi="ar"/>
        </w:rPr>
        <w:t>重要物流节点。</w:t>
      </w:r>
    </w:p>
    <w:p>
      <w:pPr>
        <w:pStyle w:val="13"/>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spacing w:line="640" w:lineRule="exact"/>
        <w:ind w:firstLine="642" w:firstLineChars="200"/>
        <w:textAlignment w:val="auto"/>
        <w:outlineLvl w:val="9"/>
        <w:rPr>
          <w:rFonts w:hint="default" w:ascii="Times New Roman" w:hAnsi="Times New Roman" w:eastAsia="仿宋_GB2312" w:cs="Times New Roman"/>
          <w:color w:val="auto"/>
          <w:sz w:val="32"/>
          <w:szCs w:val="32"/>
          <w:highlight w:val="none"/>
          <w:u w:val="none" w:color="auto"/>
          <w:lang w:eastAsia="zh-CN"/>
        </w:rPr>
      </w:pPr>
      <w:r>
        <w:rPr>
          <w:rFonts w:hint="default" w:ascii="Times New Roman" w:hAnsi="Times New Roman" w:eastAsia="仿宋_GB2312" w:cs="Times New Roman"/>
          <w:b/>
          <w:bCs/>
          <w:color w:val="auto"/>
          <w:sz w:val="32"/>
          <w:szCs w:val="32"/>
          <w:highlight w:val="none"/>
          <w:u w:val="none" w:color="auto"/>
        </w:rPr>
        <w:t>环京津冀区域物流</w:t>
      </w:r>
      <w:r>
        <w:rPr>
          <w:rStyle w:val="18"/>
          <w:rFonts w:hint="default" w:ascii="Times New Roman" w:hAnsi="Times New Roman" w:eastAsia="仿宋_GB2312" w:cs="Times New Roman"/>
          <w:b/>
          <w:bCs/>
          <w:color w:val="auto"/>
          <w:sz w:val="32"/>
          <w:szCs w:val="32"/>
          <w:highlight w:val="none"/>
          <w:u w:val="none" w:color="auto"/>
          <w:lang w:eastAsia="zh-CN"/>
        </w:rPr>
        <w:t>枢纽</w:t>
      </w:r>
      <w:r>
        <w:rPr>
          <w:rFonts w:hint="default" w:ascii="Times New Roman" w:hAnsi="Times New Roman" w:eastAsia="仿宋_GB2312" w:cs="Times New Roman"/>
          <w:b/>
          <w:bCs/>
          <w:color w:val="auto"/>
          <w:sz w:val="32"/>
          <w:szCs w:val="32"/>
          <w:highlight w:val="none"/>
          <w:u w:val="none" w:color="auto"/>
          <w:lang w:eastAsia="zh-CN"/>
        </w:rPr>
        <w:t>。</w:t>
      </w:r>
      <w:r>
        <w:rPr>
          <w:rFonts w:hint="default" w:ascii="Times New Roman" w:hAnsi="Times New Roman" w:eastAsia="仿宋_GB2312" w:cs="Times New Roman"/>
          <w:b w:val="0"/>
          <w:bCs w:val="0"/>
          <w:i w:val="0"/>
          <w:iCs w:val="0"/>
          <w:caps w:val="0"/>
          <w:color w:val="auto"/>
          <w:spacing w:val="0"/>
          <w:kern w:val="0"/>
          <w:sz w:val="32"/>
          <w:szCs w:val="32"/>
          <w:highlight w:val="none"/>
          <w:shd w:val="clear" w:fill="FFFFFF"/>
          <w:lang w:bidi="ar"/>
        </w:rPr>
        <w:t>聚焦联通“太</w:t>
      </w:r>
      <w:r>
        <w:rPr>
          <w:rFonts w:hint="default" w:ascii="Times New Roman" w:hAnsi="Times New Roman" w:eastAsia="仿宋_GB2312" w:cs="Times New Roman"/>
          <w:b w:val="0"/>
          <w:bCs w:val="0"/>
          <w:i w:val="0"/>
          <w:iCs w:val="0"/>
          <w:caps w:val="0"/>
          <w:color w:val="auto"/>
          <w:spacing w:val="0"/>
          <w:kern w:val="0"/>
          <w:sz w:val="32"/>
          <w:szCs w:val="32"/>
          <w:highlight w:val="none"/>
          <w:shd w:val="clear" w:fill="FFFFFF"/>
          <w:lang w:eastAsia="zh-CN" w:bidi="ar"/>
        </w:rPr>
        <w:t>—</w:t>
      </w:r>
      <w:r>
        <w:rPr>
          <w:rFonts w:hint="default" w:ascii="Times New Roman" w:hAnsi="Times New Roman" w:eastAsia="仿宋_GB2312" w:cs="Times New Roman"/>
          <w:b w:val="0"/>
          <w:bCs w:val="0"/>
          <w:i w:val="0"/>
          <w:iCs w:val="0"/>
          <w:caps w:val="0"/>
          <w:color w:val="auto"/>
          <w:spacing w:val="0"/>
          <w:kern w:val="0"/>
          <w:sz w:val="32"/>
          <w:szCs w:val="32"/>
          <w:highlight w:val="none"/>
          <w:shd w:val="clear" w:fill="FFFFFF"/>
          <w:lang w:bidi="ar"/>
        </w:rPr>
        <w:t>阳</w:t>
      </w:r>
      <w:r>
        <w:rPr>
          <w:rFonts w:hint="default" w:ascii="Times New Roman" w:hAnsi="Times New Roman" w:eastAsia="仿宋_GB2312" w:cs="Times New Roman"/>
          <w:b w:val="0"/>
          <w:bCs w:val="0"/>
          <w:i w:val="0"/>
          <w:iCs w:val="0"/>
          <w:caps w:val="0"/>
          <w:color w:val="auto"/>
          <w:spacing w:val="0"/>
          <w:kern w:val="0"/>
          <w:sz w:val="32"/>
          <w:szCs w:val="32"/>
          <w:highlight w:val="none"/>
          <w:shd w:val="clear" w:fill="FFFFFF"/>
          <w:lang w:eastAsia="zh-CN" w:bidi="ar"/>
        </w:rPr>
        <w:t>—</w:t>
      </w:r>
      <w:r>
        <w:rPr>
          <w:rFonts w:hint="default" w:ascii="Times New Roman" w:hAnsi="Times New Roman" w:eastAsia="仿宋_GB2312" w:cs="Times New Roman"/>
          <w:b w:val="0"/>
          <w:bCs w:val="0"/>
          <w:i w:val="0"/>
          <w:iCs w:val="0"/>
          <w:caps w:val="0"/>
          <w:color w:val="auto"/>
          <w:spacing w:val="0"/>
          <w:kern w:val="0"/>
          <w:sz w:val="32"/>
          <w:szCs w:val="32"/>
          <w:highlight w:val="none"/>
          <w:shd w:val="clear" w:fill="FFFFFF"/>
          <w:lang w:bidi="ar"/>
        </w:rPr>
        <w:t>石”经济轴带，</w:t>
      </w:r>
      <w:r>
        <w:rPr>
          <w:rFonts w:hint="default" w:ascii="Times New Roman" w:hAnsi="Times New Roman" w:eastAsia="仿宋_GB2312" w:cs="Times New Roman"/>
          <w:b w:val="0"/>
          <w:bCs w:val="0"/>
          <w:color w:val="auto"/>
          <w:kern w:val="0"/>
          <w:sz w:val="32"/>
          <w:szCs w:val="32"/>
          <w:highlight w:val="none"/>
          <w:u w:val="none" w:color="auto"/>
          <w:shd w:val="clear" w:fill="FFFFFF"/>
          <w:lang w:val="en-US" w:eastAsia="zh-CN" w:bidi="ar"/>
        </w:rPr>
        <w:t>积极参与“一带一路”、京津冀协同发</w:t>
      </w:r>
      <w:r>
        <w:rPr>
          <w:rFonts w:hint="default" w:ascii="Times New Roman" w:hAnsi="Times New Roman" w:eastAsia="仿宋_GB2312" w:cs="Times New Roman"/>
          <w:b w:val="0"/>
          <w:bCs w:val="0"/>
          <w:color w:val="auto"/>
          <w:sz w:val="32"/>
          <w:szCs w:val="32"/>
          <w:highlight w:val="none"/>
          <w:u w:val="none" w:color="auto"/>
          <w:lang w:val="en-US" w:eastAsia="zh-CN"/>
        </w:rPr>
        <w:t>展、雄安新区和山西中部城市群建设，</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加强与天津、黄骅等环渤海港口的合作，依托“阳泉—天津港”公铁联运班列和综合交通运输体系，加快构建多种运输方式高效衔接的现代物流体系，</w:t>
      </w:r>
      <w:r>
        <w:rPr>
          <w:rFonts w:hint="default" w:ascii="Times New Roman" w:hAnsi="Times New Roman" w:eastAsia="仿宋_GB2312" w:cs="Times New Roman"/>
          <w:color w:val="auto"/>
          <w:sz w:val="32"/>
          <w:szCs w:val="32"/>
          <w:highlight w:val="none"/>
          <w:u w:val="none" w:color="auto"/>
          <w:lang w:eastAsia="zh-CN"/>
        </w:rPr>
        <w:t>开展</w:t>
      </w:r>
      <w:r>
        <w:rPr>
          <w:rFonts w:hint="default" w:ascii="Times New Roman" w:hAnsi="Times New Roman" w:eastAsia="仿宋_GB2312" w:cs="Times New Roman"/>
          <w:i w:val="0"/>
          <w:caps w:val="0"/>
          <w:color w:val="auto"/>
          <w:spacing w:val="0"/>
          <w:sz w:val="32"/>
          <w:szCs w:val="32"/>
          <w:highlight w:val="none"/>
          <w:u w:val="none" w:color="auto"/>
          <w:shd w:val="clear"/>
        </w:rPr>
        <w:t>区域合作、行业互动、产业</w:t>
      </w:r>
      <w:r>
        <w:rPr>
          <w:rFonts w:hint="default" w:ascii="Times New Roman" w:hAnsi="Times New Roman" w:eastAsia="仿宋_GB2312" w:cs="Times New Roman"/>
          <w:i w:val="0"/>
          <w:caps w:val="0"/>
          <w:color w:val="auto"/>
          <w:spacing w:val="0"/>
          <w:sz w:val="32"/>
          <w:szCs w:val="32"/>
          <w:highlight w:val="none"/>
          <w:u w:val="none" w:color="auto"/>
          <w:shd w:val="clear"/>
          <w:lang w:eastAsia="zh-CN"/>
        </w:rPr>
        <w:t>互助，</w:t>
      </w:r>
      <w:r>
        <w:rPr>
          <w:rFonts w:hint="default" w:ascii="Times New Roman" w:hAnsi="Times New Roman" w:eastAsia="仿宋_GB2312" w:cs="Times New Roman"/>
          <w:color w:val="auto"/>
          <w:sz w:val="32"/>
          <w:szCs w:val="32"/>
          <w:highlight w:val="none"/>
          <w:u w:val="none" w:color="auto"/>
          <w:lang w:eastAsia="zh-CN"/>
        </w:rPr>
        <w:t>以区域</w:t>
      </w:r>
      <w:r>
        <w:rPr>
          <w:rFonts w:ascii="Times New Roman" w:hAnsi="Times New Roman" w:eastAsia="仿宋_GB2312" w:cs="Times New Roman"/>
          <w:color w:val="auto"/>
          <w:sz w:val="32"/>
          <w:szCs w:val="32"/>
          <w:highlight w:val="none"/>
          <w:u w:val="none" w:color="auto"/>
        </w:rPr>
        <w:t>经济</w:t>
      </w:r>
      <w:r>
        <w:rPr>
          <w:rFonts w:hint="default" w:ascii="Times New Roman" w:hAnsi="Times New Roman" w:eastAsia="仿宋_GB2312" w:cs="Times New Roman"/>
          <w:color w:val="auto"/>
          <w:sz w:val="32"/>
          <w:szCs w:val="32"/>
          <w:highlight w:val="none"/>
          <w:u w:val="none" w:color="auto"/>
          <w:lang w:eastAsia="zh-CN"/>
        </w:rPr>
        <w:t>协同发展</w:t>
      </w:r>
      <w:r>
        <w:rPr>
          <w:rFonts w:hint="default" w:ascii="Times New Roman" w:hAnsi="Times New Roman" w:eastAsia="仿宋_GB2312" w:cs="Times New Roman"/>
          <w:color w:val="auto"/>
          <w:sz w:val="32"/>
          <w:szCs w:val="32"/>
          <w:highlight w:val="none"/>
          <w:u w:val="none" w:color="auto"/>
        </w:rPr>
        <w:t>带动物流一体化发展</w:t>
      </w:r>
      <w:r>
        <w:rPr>
          <w:rFonts w:hint="default" w:ascii="Times New Roman" w:hAnsi="Times New Roman" w:eastAsia="仿宋_GB2312" w:cs="Times New Roman"/>
          <w:color w:val="auto"/>
          <w:sz w:val="32"/>
          <w:szCs w:val="32"/>
          <w:highlight w:val="none"/>
          <w:u w:val="none" w:color="auto"/>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640" w:lineRule="exact"/>
        <w:ind w:firstLine="642" w:firstLineChars="200"/>
        <w:textAlignment w:val="auto"/>
        <w:outlineLvl w:val="9"/>
        <w:rPr>
          <w:rFonts w:hint="default" w:ascii="Times New Roman" w:hAnsi="Times New Roman" w:eastAsia="仿宋_GB2312" w:cs="Times New Roman"/>
          <w:color w:val="auto"/>
          <w:sz w:val="32"/>
          <w:szCs w:val="32"/>
          <w:highlight w:val="none"/>
          <w:u w:val="none" w:color="auto"/>
          <w:lang w:eastAsia="zh-CN"/>
        </w:rPr>
      </w:pPr>
      <w:r>
        <w:rPr>
          <w:rFonts w:hint="default" w:ascii="Times New Roman" w:hAnsi="Times New Roman" w:eastAsia="仿宋_GB2312" w:cs="Times New Roman"/>
          <w:b/>
          <w:bCs/>
          <w:color w:val="auto"/>
          <w:sz w:val="32"/>
          <w:szCs w:val="32"/>
          <w:highlight w:val="none"/>
          <w:u w:val="none" w:color="auto"/>
        </w:rPr>
        <w:t>中西部</w:t>
      </w:r>
      <w:r>
        <w:rPr>
          <w:rFonts w:hint="default" w:ascii="Times New Roman" w:hAnsi="Times New Roman" w:eastAsia="仿宋_GB2312" w:cs="Times New Roman"/>
          <w:b/>
          <w:bCs/>
          <w:color w:val="auto"/>
          <w:sz w:val="32"/>
          <w:szCs w:val="32"/>
          <w:highlight w:val="none"/>
          <w:u w:val="none" w:color="auto"/>
          <w:lang w:eastAsia="zh-CN"/>
        </w:rPr>
        <w:t>地区</w:t>
      </w:r>
      <w:r>
        <w:rPr>
          <w:rFonts w:hint="default" w:ascii="Times New Roman" w:hAnsi="Times New Roman" w:eastAsia="仿宋_GB2312" w:cs="Times New Roman"/>
          <w:b/>
          <w:bCs/>
          <w:color w:val="auto"/>
          <w:sz w:val="32"/>
          <w:szCs w:val="32"/>
          <w:highlight w:val="none"/>
          <w:u w:val="none" w:color="auto"/>
        </w:rPr>
        <w:t>生产服务型物流</w:t>
      </w:r>
      <w:r>
        <w:rPr>
          <w:rFonts w:hint="default" w:ascii="Times New Roman" w:hAnsi="Times New Roman" w:eastAsia="仿宋_GB2312" w:cs="Times New Roman"/>
          <w:b/>
          <w:bCs/>
          <w:color w:val="auto"/>
          <w:sz w:val="32"/>
          <w:szCs w:val="32"/>
          <w:highlight w:val="none"/>
          <w:u w:val="none" w:color="auto"/>
          <w:lang w:eastAsia="zh-CN"/>
        </w:rPr>
        <w:t>集聚区。</w:t>
      </w:r>
      <w:r>
        <w:rPr>
          <w:rFonts w:ascii="Times New Roman" w:hAnsi="Times New Roman" w:eastAsia="仿宋_GB2312" w:cs="Times New Roman"/>
          <w:color w:val="auto"/>
          <w:sz w:val="32"/>
          <w:szCs w:val="32"/>
          <w:highlight w:val="none"/>
          <w:u w:val="none" w:color="auto"/>
        </w:rPr>
        <w:t>顺应东中西</w:t>
      </w:r>
      <w:r>
        <w:rPr>
          <w:rFonts w:hint="default" w:ascii="Times New Roman" w:hAnsi="Times New Roman" w:eastAsia="仿宋_GB2312" w:cs="Times New Roman"/>
          <w:color w:val="auto"/>
          <w:sz w:val="32"/>
          <w:szCs w:val="32"/>
          <w:highlight w:val="none"/>
          <w:u w:val="none" w:color="auto"/>
          <w:lang w:eastAsia="zh-CN"/>
        </w:rPr>
        <w:t>部地区</w:t>
      </w:r>
      <w:r>
        <w:rPr>
          <w:rFonts w:ascii="Times New Roman" w:hAnsi="Times New Roman" w:eastAsia="仿宋_GB2312" w:cs="Times New Roman"/>
          <w:color w:val="auto"/>
          <w:sz w:val="32"/>
          <w:szCs w:val="32"/>
          <w:highlight w:val="none"/>
          <w:u w:val="none" w:color="auto"/>
        </w:rPr>
        <w:t>产业梯度转移和融合发展趋势</w:t>
      </w:r>
      <w:r>
        <w:rPr>
          <w:rFonts w:hint="default" w:ascii="Times New Roman" w:hAnsi="Times New Roman" w:eastAsia="仿宋_GB2312" w:cs="Times New Roman"/>
          <w:color w:val="auto"/>
          <w:sz w:val="32"/>
          <w:szCs w:val="32"/>
          <w:highlight w:val="none"/>
          <w:u w:val="none" w:color="auto"/>
        </w:rPr>
        <w:t>，</w:t>
      </w:r>
      <w:r>
        <w:rPr>
          <w:rFonts w:hint="default" w:ascii="Times New Roman" w:hAnsi="Times New Roman" w:eastAsia="仿宋_GB2312" w:cs="Times New Roman"/>
          <w:color w:val="auto"/>
          <w:sz w:val="32"/>
          <w:szCs w:val="32"/>
          <w:highlight w:val="none"/>
          <w:u w:val="none" w:color="auto"/>
          <w:lang w:eastAsia="zh-CN"/>
        </w:rPr>
        <w:t>整合现有铁路专用线、专业化仓储、多式联运转运、区域分拨配送等物流设施，鼓励大型厂矿、产业集聚区、农业产业园等大力发展生产服务型物流，</w:t>
      </w:r>
      <w:r>
        <w:rPr>
          <w:rFonts w:hint="default" w:ascii="Times New Roman" w:hAnsi="Times New Roman" w:eastAsia="仿宋_GB2312" w:cs="Times New Roman"/>
          <w:color w:val="auto"/>
          <w:sz w:val="32"/>
          <w:szCs w:val="32"/>
          <w:highlight w:val="none"/>
          <w:u w:val="none" w:color="auto"/>
        </w:rPr>
        <w:t>高标准打造</w:t>
      </w:r>
      <w:r>
        <w:rPr>
          <w:rFonts w:hint="default" w:ascii="Times New Roman" w:hAnsi="Times New Roman" w:eastAsia="仿宋_GB2312" w:cs="Times New Roman"/>
          <w:color w:val="auto"/>
          <w:sz w:val="32"/>
          <w:szCs w:val="32"/>
          <w:highlight w:val="none"/>
          <w:u w:val="none" w:color="auto"/>
          <w:lang w:eastAsia="zh-CN"/>
        </w:rPr>
        <w:t>一批</w:t>
      </w:r>
      <w:r>
        <w:rPr>
          <w:rFonts w:hint="default" w:ascii="Times New Roman" w:hAnsi="Times New Roman" w:eastAsia="仿宋_GB2312" w:cs="Times New Roman"/>
          <w:color w:val="auto"/>
          <w:sz w:val="32"/>
          <w:szCs w:val="32"/>
          <w:highlight w:val="none"/>
          <w:u w:val="none" w:color="auto"/>
        </w:rPr>
        <w:t>物流产业集聚区，</w:t>
      </w:r>
      <w:r>
        <w:rPr>
          <w:rFonts w:hint="default" w:ascii="Times New Roman" w:hAnsi="Times New Roman" w:eastAsia="仿宋_GB2312" w:cs="Times New Roman"/>
          <w:color w:val="auto"/>
          <w:sz w:val="32"/>
          <w:szCs w:val="32"/>
          <w:highlight w:val="none"/>
          <w:u w:val="none" w:color="auto"/>
          <w:lang w:eastAsia="zh-CN"/>
        </w:rPr>
        <w:t>为中西部地区工业、农业生产提供中间产品、产成品储运、</w:t>
      </w:r>
      <w:r>
        <w:rPr>
          <w:rFonts w:ascii="Times New Roman" w:hAnsi="Times New Roman" w:eastAsia="仿宋_GB2312" w:cs="Times New Roman"/>
          <w:i w:val="0"/>
          <w:iCs w:val="0"/>
          <w:caps w:val="0"/>
          <w:color w:val="auto"/>
          <w:spacing w:val="0"/>
          <w:sz w:val="32"/>
          <w:szCs w:val="32"/>
          <w:highlight w:val="none"/>
          <w:u w:val="none" w:color="auto"/>
          <w:shd w:val="clear"/>
        </w:rPr>
        <w:t>仓储配送</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w:t>
      </w:r>
      <w:r>
        <w:rPr>
          <w:rFonts w:hint="default" w:ascii="Times New Roman" w:hAnsi="Times New Roman" w:eastAsia="仿宋_GB2312" w:cs="Times New Roman"/>
          <w:color w:val="auto"/>
          <w:sz w:val="32"/>
          <w:szCs w:val="32"/>
          <w:highlight w:val="none"/>
          <w:u w:val="none" w:color="auto"/>
          <w:lang w:eastAsia="zh-CN"/>
        </w:rPr>
        <w:t>分销等一体化的现代物流服务。</w:t>
      </w:r>
    </w:p>
    <w:p>
      <w:pPr>
        <w:keepNext w:val="0"/>
        <w:keepLines w:val="0"/>
        <w:pageBreakBefore w:val="0"/>
        <w:widowControl w:val="0"/>
        <w:numPr>
          <w:ilvl w:val="-1"/>
          <w:numId w:val="0"/>
        </w:numPr>
        <w:kinsoku/>
        <w:wordWrap/>
        <w:overflowPunct/>
        <w:topLinePunct w:val="0"/>
        <w:autoSpaceDE/>
        <w:autoSpaceDN/>
        <w:bidi w:val="0"/>
        <w:adjustRightInd/>
        <w:snapToGrid/>
        <w:spacing w:line="640" w:lineRule="exact"/>
        <w:ind w:firstLine="642" w:firstLineChars="200"/>
        <w:textAlignment w:val="auto"/>
        <w:outlineLvl w:val="9"/>
        <w:rPr>
          <w:rFonts w:hint="default" w:ascii="Times New Roman" w:hAnsi="Times New Roman" w:eastAsia="仿宋_GB2312" w:cs="Times New Roman"/>
          <w:color w:val="auto"/>
          <w:sz w:val="32"/>
          <w:szCs w:val="32"/>
          <w:highlight w:val="none"/>
          <w:u w:val="none" w:color="auto"/>
          <w:lang w:eastAsia="zh-CN"/>
        </w:rPr>
      </w:pPr>
      <w:r>
        <w:rPr>
          <w:rFonts w:hint="default" w:ascii="Times New Roman" w:hAnsi="Times New Roman" w:eastAsia="仿宋_GB2312" w:cs="Times New Roman"/>
          <w:b/>
          <w:bCs/>
          <w:color w:val="auto"/>
          <w:sz w:val="32"/>
          <w:szCs w:val="32"/>
          <w:highlight w:val="none"/>
          <w:u w:val="none" w:color="auto"/>
        </w:rPr>
        <w:t>现代物流创新发展</w:t>
      </w:r>
      <w:r>
        <w:rPr>
          <w:rFonts w:hint="default" w:ascii="Times New Roman" w:hAnsi="Times New Roman" w:eastAsia="仿宋_GB2312" w:cs="Times New Roman"/>
          <w:b/>
          <w:bCs/>
          <w:color w:val="auto"/>
          <w:sz w:val="32"/>
          <w:szCs w:val="32"/>
          <w:highlight w:val="none"/>
          <w:u w:val="none" w:color="auto"/>
          <w:lang w:eastAsia="zh-CN"/>
        </w:rPr>
        <w:t>示范城市。</w:t>
      </w:r>
      <w:r>
        <w:rPr>
          <w:rFonts w:hint="default" w:ascii="Times New Roman" w:hAnsi="Times New Roman" w:eastAsia="仿宋_GB2312" w:cs="Times New Roman"/>
          <w:bCs w:val="0"/>
          <w:color w:val="auto"/>
          <w:sz w:val="32"/>
          <w:szCs w:val="32"/>
          <w:highlight w:val="none"/>
          <w:u w:val="none" w:color="auto"/>
          <w:lang w:eastAsia="zh-CN"/>
        </w:rPr>
        <w:t>紧抓</w:t>
      </w:r>
      <w:r>
        <w:rPr>
          <w:rFonts w:hint="default" w:ascii="Times New Roman" w:hAnsi="Times New Roman" w:eastAsia="仿宋_GB2312" w:cs="Times New Roman"/>
          <w:b w:val="0"/>
          <w:bCs w:val="0"/>
          <w:color w:val="auto"/>
          <w:sz w:val="32"/>
          <w:szCs w:val="32"/>
          <w:highlight w:val="none"/>
          <w:lang w:val="en-US" w:eastAsia="zh-CN"/>
        </w:rPr>
        <w:t>“交通强国”建设试点和</w:t>
      </w:r>
      <w:r>
        <w:rPr>
          <w:rFonts w:hint="default" w:ascii="Times New Roman" w:hAnsi="Times New Roman" w:eastAsia="仿宋_GB2312" w:cs="Times New Roman"/>
          <w:color w:val="auto"/>
          <w:sz w:val="32"/>
          <w:szCs w:val="32"/>
          <w:highlight w:val="none"/>
          <w:u w:val="none" w:color="auto"/>
        </w:rPr>
        <w:t>国家级智能物联网应用基地试点</w:t>
      </w:r>
      <w:r>
        <w:rPr>
          <w:rFonts w:hint="default" w:ascii="Times New Roman" w:hAnsi="Times New Roman" w:eastAsia="仿宋_GB2312" w:cs="Times New Roman"/>
          <w:color w:val="auto"/>
          <w:sz w:val="32"/>
          <w:szCs w:val="32"/>
          <w:highlight w:val="none"/>
          <w:u w:val="none" w:color="auto"/>
          <w:lang w:eastAsia="zh-CN"/>
        </w:rPr>
        <w:t>机遇</w:t>
      </w:r>
      <w:r>
        <w:rPr>
          <w:rFonts w:hint="default" w:ascii="Times New Roman" w:hAnsi="Times New Roman" w:eastAsia="仿宋_GB2312" w:cs="Times New Roman"/>
          <w:color w:val="auto"/>
          <w:sz w:val="32"/>
          <w:szCs w:val="32"/>
          <w:highlight w:val="none"/>
          <w:u w:val="none" w:color="auto"/>
        </w:rPr>
        <w:t>，充分</w:t>
      </w:r>
      <w:r>
        <w:rPr>
          <w:rFonts w:hint="eastAsia" w:ascii="Times New Roman" w:hAnsi="Times New Roman" w:eastAsia="仿宋_GB2312" w:cs="Times New Roman"/>
          <w:color w:val="auto"/>
          <w:sz w:val="32"/>
          <w:szCs w:val="32"/>
          <w:highlight w:val="none"/>
          <w:u w:val="none" w:color="auto"/>
          <w:lang w:eastAsia="zh-CN"/>
        </w:rPr>
        <w:t>与</w:t>
      </w:r>
      <w:r>
        <w:rPr>
          <w:rFonts w:hint="default" w:ascii="Times New Roman" w:hAnsi="Times New Roman" w:eastAsia="仿宋_GB2312" w:cs="Times New Roman"/>
          <w:color w:val="auto"/>
          <w:sz w:val="32"/>
          <w:szCs w:val="32"/>
          <w:highlight w:val="none"/>
          <w:u w:val="none" w:color="auto"/>
        </w:rPr>
        <w:t>华远陆港集团</w:t>
      </w:r>
      <w:r>
        <w:rPr>
          <w:rFonts w:hint="eastAsia" w:ascii="Times New Roman" w:hAnsi="Times New Roman" w:eastAsia="仿宋_GB2312" w:cs="Times New Roman"/>
          <w:color w:val="auto"/>
          <w:sz w:val="32"/>
          <w:szCs w:val="32"/>
          <w:highlight w:val="none"/>
          <w:u w:val="none" w:color="auto"/>
          <w:lang w:eastAsia="zh-CN"/>
        </w:rPr>
        <w:t>合作，</w:t>
      </w:r>
      <w:r>
        <w:rPr>
          <w:rFonts w:hint="default" w:ascii="Times New Roman" w:hAnsi="Times New Roman" w:eastAsia="仿宋_GB2312" w:cs="Times New Roman"/>
          <w:color w:val="auto"/>
          <w:sz w:val="32"/>
          <w:szCs w:val="32"/>
          <w:highlight w:val="none"/>
          <w:u w:val="none" w:color="auto"/>
        </w:rPr>
        <w:t>搭建物流信息共享平台，</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推动现代物流与现代农业、先进制造业、新材料、电子商务等产业信息跨界融合，构建连接产供销、贯通一二三产的</w:t>
      </w:r>
      <w:r>
        <w:rPr>
          <w:rFonts w:hint="default" w:ascii="Times New Roman" w:hAnsi="Times New Roman" w:eastAsia="仿宋_GB2312" w:cs="Times New Roman"/>
          <w:color w:val="auto"/>
          <w:sz w:val="32"/>
          <w:szCs w:val="32"/>
          <w:highlight w:val="none"/>
          <w:u w:val="none" w:color="auto"/>
        </w:rPr>
        <w:t>智慧供应链管理服务体系，实现</w:t>
      </w:r>
      <w:r>
        <w:rPr>
          <w:rFonts w:ascii="Times New Roman" w:hAnsi="Times New Roman" w:eastAsia="仿宋_GB2312" w:cs="Times New Roman"/>
          <w:color w:val="auto"/>
          <w:sz w:val="32"/>
          <w:szCs w:val="32"/>
          <w:highlight w:val="none"/>
          <w:u w:val="none" w:color="auto"/>
        </w:rPr>
        <w:t>物流全过程透明可视化、产品可追溯管理</w:t>
      </w:r>
      <w:r>
        <w:rPr>
          <w:rFonts w:hint="default" w:ascii="Times New Roman" w:hAnsi="Times New Roman" w:eastAsia="仿宋_GB2312" w:cs="Times New Roman"/>
          <w:color w:val="auto"/>
          <w:sz w:val="32"/>
          <w:szCs w:val="32"/>
          <w:highlight w:val="none"/>
          <w:u w:val="none" w:color="auto"/>
        </w:rPr>
        <w:t>，</w:t>
      </w:r>
      <w:r>
        <w:rPr>
          <w:rFonts w:hint="default" w:ascii="Times New Roman" w:hAnsi="Times New Roman" w:eastAsia="仿宋_GB2312" w:cs="Times New Roman"/>
          <w:b w:val="0"/>
          <w:color w:val="auto"/>
          <w:sz w:val="32"/>
          <w:szCs w:val="32"/>
          <w:highlight w:val="none"/>
          <w:u w:val="none" w:color="auto"/>
        </w:rPr>
        <w:t>打造</w:t>
      </w:r>
      <w:r>
        <w:rPr>
          <w:rFonts w:hint="default" w:ascii="Times New Roman" w:hAnsi="Times New Roman" w:eastAsia="仿宋_GB2312" w:cs="Times New Roman"/>
          <w:b w:val="0"/>
          <w:color w:val="auto"/>
          <w:sz w:val="32"/>
          <w:szCs w:val="32"/>
          <w:highlight w:val="none"/>
          <w:u w:val="none" w:color="auto"/>
          <w:lang w:eastAsia="zh-CN"/>
        </w:rPr>
        <w:t>智慧</w:t>
      </w:r>
      <w:r>
        <w:rPr>
          <w:rFonts w:ascii="Times New Roman" w:hAnsi="Times New Roman" w:eastAsia="仿宋_GB2312" w:cs="Times New Roman"/>
          <w:b w:val="0"/>
          <w:color w:val="auto"/>
          <w:sz w:val="32"/>
          <w:szCs w:val="32"/>
          <w:highlight w:val="none"/>
          <w:u w:val="none" w:color="auto"/>
        </w:rPr>
        <w:t>物流</w:t>
      </w:r>
      <w:r>
        <w:rPr>
          <w:rFonts w:hint="default" w:ascii="Times New Roman" w:hAnsi="Times New Roman" w:eastAsia="仿宋_GB2312" w:cs="Times New Roman"/>
          <w:b w:val="0"/>
          <w:color w:val="auto"/>
          <w:sz w:val="32"/>
          <w:szCs w:val="32"/>
          <w:highlight w:val="none"/>
          <w:u w:val="none" w:color="auto"/>
          <w:lang w:eastAsia="zh-CN"/>
        </w:rPr>
        <w:t>特色</w:t>
      </w:r>
      <w:r>
        <w:rPr>
          <w:rFonts w:hint="default" w:ascii="Times New Roman" w:hAnsi="Times New Roman" w:eastAsia="仿宋_GB2312" w:cs="Times New Roman"/>
          <w:b w:val="0"/>
          <w:color w:val="auto"/>
          <w:sz w:val="32"/>
          <w:szCs w:val="32"/>
          <w:highlight w:val="none"/>
          <w:u w:val="none" w:color="auto"/>
        </w:rPr>
        <w:t>名片</w:t>
      </w:r>
      <w:r>
        <w:rPr>
          <w:rFonts w:hint="default" w:ascii="Times New Roman" w:hAnsi="Times New Roman" w:eastAsia="仿宋_GB2312" w:cs="Times New Roman"/>
          <w:color w:val="auto"/>
          <w:sz w:val="32"/>
          <w:szCs w:val="32"/>
          <w:highlight w:val="none"/>
          <w:u w:val="none" w:color="auto"/>
        </w:rPr>
        <w:t>，</w:t>
      </w:r>
      <w:r>
        <w:rPr>
          <w:rFonts w:hint="default" w:ascii="Times New Roman" w:hAnsi="Times New Roman" w:eastAsia="仿宋_GB2312" w:cs="Times New Roman"/>
          <w:color w:val="auto"/>
          <w:sz w:val="32"/>
          <w:szCs w:val="32"/>
          <w:highlight w:val="none"/>
          <w:u w:val="none" w:color="auto"/>
          <w:lang w:eastAsia="zh-CN"/>
        </w:rPr>
        <w:t>加快形成示范引领效应</w:t>
      </w:r>
      <w:r>
        <w:rPr>
          <w:rFonts w:hint="default" w:ascii="Times New Roman" w:hAnsi="Times New Roman" w:eastAsia="仿宋_GB2312" w:cs="Times New Roman"/>
          <w:color w:val="auto"/>
          <w:sz w:val="32"/>
          <w:szCs w:val="32"/>
          <w:highlight w:val="none"/>
          <w:u w:val="none" w:color="auto"/>
        </w:rPr>
        <w:t>。</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40" w:lineRule="exact"/>
        <w:ind w:left="640" w:leftChars="305" w:firstLine="0" w:firstLineChars="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
        </w:rPr>
      </w:pPr>
      <w:bookmarkStart w:id="332" w:name="_Toc17381"/>
      <w:bookmarkStart w:id="333" w:name="_Toc4338"/>
      <w:bookmarkStart w:id="334" w:name="_Toc16401"/>
      <w:bookmarkStart w:id="335" w:name="_Toc28111"/>
      <w:bookmarkStart w:id="336" w:name="_Toc23189"/>
      <w:bookmarkStart w:id="337" w:name="_Toc4639"/>
      <w:bookmarkStart w:id="338" w:name="_Toc28812"/>
      <w:bookmarkStart w:id="339" w:name="_Toc26795"/>
      <w:bookmarkStart w:id="340" w:name="_Toc6662"/>
      <w:bookmarkStart w:id="341" w:name="_Toc11723"/>
      <w:bookmarkStart w:id="342" w:name="_Toc14217"/>
      <w:bookmarkStart w:id="343" w:name="_Toc30474"/>
      <w:bookmarkStart w:id="344" w:name="_Toc24124"/>
      <w:bookmarkStart w:id="345" w:name="_Toc22382"/>
      <w:bookmarkStart w:id="346" w:name="_Toc17442"/>
      <w:bookmarkStart w:id="347" w:name="_Toc1329"/>
      <w:bookmarkStart w:id="348" w:name="_Toc3693"/>
      <w:bookmarkStart w:id="349" w:name="_Toc5379"/>
      <w:r>
        <w:rPr>
          <w:rFonts w:hint="default" w:ascii="Times New Roman" w:hAnsi="Times New Roman" w:eastAsia="楷体_GB2312" w:cs="Times New Roman"/>
          <w:b/>
          <w:bCs/>
          <w:color w:val="auto"/>
          <w:kern w:val="2"/>
          <w:sz w:val="32"/>
          <w:szCs w:val="32"/>
          <w:highlight w:val="none"/>
          <w:lang w:val="en-US" w:eastAsia="zh-CN" w:bidi="ar"/>
        </w:rPr>
        <w:t>（五）空间布局</w:t>
      </w:r>
      <w:bookmarkEnd w:id="325"/>
      <w:bookmarkEnd w:id="326"/>
      <w:bookmarkEnd w:id="327"/>
      <w:bookmarkEnd w:id="32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textAlignment w:val="auto"/>
        <w:outlineLvl w:val="9"/>
        <w:rPr>
          <w:rFonts w:hint="default" w:ascii="Times New Roman" w:hAnsi="Times New Roman" w:eastAsia="仿宋_GB2312" w:cs="Times New Roman"/>
          <w:i w:val="0"/>
          <w:iCs w:val="0"/>
          <w:caps w:val="0"/>
          <w:color w:val="auto"/>
          <w:spacing w:val="0"/>
          <w:sz w:val="32"/>
          <w:szCs w:val="32"/>
          <w:highlight w:val="none"/>
          <w:shd w:val="clear" w:fill="auto"/>
          <w:lang w:bidi="ar"/>
        </w:rPr>
      </w:pPr>
      <w:r>
        <w:rPr>
          <w:rFonts w:hint="default" w:ascii="Times New Roman" w:hAnsi="Times New Roman" w:eastAsia="仿宋_GB2312" w:cs="Times New Roman"/>
          <w:b w:val="0"/>
          <w:bCs w:val="0"/>
          <w:color w:val="auto"/>
          <w:kern w:val="2"/>
          <w:sz w:val="32"/>
          <w:szCs w:val="32"/>
          <w:highlight w:val="none"/>
          <w:u w:val="none" w:color="auto"/>
          <w:lang w:val="en-US" w:eastAsia="zh-CN" w:bidi="ar-SA"/>
        </w:rPr>
        <w:t>依托京昆、青岛至拉萨、山西东纵线等“两横一纵”区域综合运输通道，结合</w:t>
      </w:r>
      <w:r>
        <w:rPr>
          <w:rFonts w:hint="default" w:ascii="Times New Roman" w:hAnsi="Times New Roman" w:eastAsia="仿宋_GB2312" w:cs="Times New Roman"/>
          <w:i w:val="0"/>
          <w:iCs w:val="0"/>
          <w:caps w:val="0"/>
          <w:color w:val="auto"/>
          <w:spacing w:val="0"/>
          <w:sz w:val="32"/>
          <w:szCs w:val="32"/>
          <w:highlight w:val="none"/>
          <w:u w:val="none" w:color="auto"/>
          <w:shd w:val="clear"/>
        </w:rPr>
        <w:t>国</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省</w:t>
      </w:r>
      <w:r>
        <w:rPr>
          <w:rFonts w:hint="default" w:ascii="Times New Roman" w:hAnsi="Times New Roman" w:eastAsia="仿宋_GB2312" w:cs="Times New Roman"/>
          <w:i w:val="0"/>
          <w:iCs w:val="0"/>
          <w:caps w:val="0"/>
          <w:color w:val="auto"/>
          <w:spacing w:val="0"/>
          <w:sz w:val="32"/>
          <w:szCs w:val="32"/>
          <w:highlight w:val="none"/>
          <w:u w:val="none" w:color="auto"/>
          <w:shd w:val="clear"/>
        </w:rPr>
        <w:t>干线公路</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和铁路布局，</w:t>
      </w:r>
      <w:r>
        <w:rPr>
          <w:rFonts w:hint="default" w:ascii="Times New Roman" w:hAnsi="Times New Roman" w:eastAsia="仿宋_GB2312" w:cs="Times New Roman"/>
          <w:i w:val="0"/>
          <w:iCs w:val="0"/>
          <w:caps w:val="0"/>
          <w:color w:val="auto"/>
          <w:spacing w:val="0"/>
          <w:sz w:val="32"/>
          <w:szCs w:val="32"/>
          <w:highlight w:val="none"/>
          <w:u w:val="none" w:color="auto"/>
        </w:rPr>
        <w:t>搭建区域物流节点，</w:t>
      </w:r>
      <w:r>
        <w:rPr>
          <w:rFonts w:hint="default" w:ascii="Times New Roman" w:hAnsi="Times New Roman" w:eastAsia="仿宋_GB2312" w:cs="Times New Roman"/>
          <w:i w:val="0"/>
          <w:iCs w:val="0"/>
          <w:caps w:val="0"/>
          <w:color w:val="auto"/>
          <w:spacing w:val="0"/>
          <w:sz w:val="32"/>
          <w:szCs w:val="32"/>
          <w:highlight w:val="none"/>
          <w:u w:val="none" w:color="auto"/>
          <w:lang w:eastAsia="zh-CN"/>
        </w:rPr>
        <w:t>重点</w:t>
      </w:r>
      <w:r>
        <w:rPr>
          <w:rFonts w:hint="default" w:ascii="Times New Roman" w:hAnsi="Times New Roman" w:eastAsia="仿宋_GB2312" w:cs="Times New Roman"/>
          <w:b w:val="0"/>
          <w:bCs w:val="0"/>
          <w:color w:val="auto"/>
          <w:sz w:val="32"/>
          <w:szCs w:val="32"/>
          <w:highlight w:val="none"/>
          <w:u w:val="none" w:color="auto"/>
          <w:lang w:val="en-US" w:eastAsia="zh-CN"/>
        </w:rPr>
        <w:t>在中心城区、</w:t>
      </w:r>
      <w:r>
        <w:rPr>
          <w:rFonts w:hint="eastAsia" w:ascii="Times New Roman" w:hAnsi="Times New Roman" w:eastAsia="仿宋_GB2312" w:cs="Times New Roman"/>
          <w:b w:val="0"/>
          <w:bCs w:val="0"/>
          <w:color w:val="auto"/>
          <w:sz w:val="32"/>
          <w:szCs w:val="32"/>
          <w:highlight w:val="none"/>
          <w:u w:val="none" w:color="auto"/>
          <w:lang w:val="en-US" w:eastAsia="zh-CN"/>
        </w:rPr>
        <w:t>高新区、</w:t>
      </w:r>
      <w:r>
        <w:rPr>
          <w:rFonts w:hint="default" w:ascii="Times New Roman" w:hAnsi="Times New Roman" w:eastAsia="仿宋_GB2312" w:cs="Times New Roman"/>
          <w:b w:val="0"/>
          <w:bCs w:val="0"/>
          <w:color w:val="auto"/>
          <w:sz w:val="32"/>
          <w:szCs w:val="32"/>
          <w:highlight w:val="none"/>
          <w:u w:val="none" w:color="auto"/>
          <w:lang w:val="en-US" w:eastAsia="zh-CN"/>
        </w:rPr>
        <w:t>开发区</w:t>
      </w:r>
      <w:r>
        <w:rPr>
          <w:rFonts w:hint="eastAsia" w:ascii="Times New Roman" w:hAnsi="Times New Roman" w:eastAsia="仿宋_GB2312" w:cs="Times New Roman"/>
          <w:b w:val="0"/>
          <w:bCs w:val="0"/>
          <w:color w:val="auto"/>
          <w:sz w:val="32"/>
          <w:szCs w:val="32"/>
          <w:highlight w:val="none"/>
          <w:u w:val="none" w:color="auto"/>
          <w:lang w:val="en-US" w:eastAsia="zh-CN"/>
        </w:rPr>
        <w:t>和</w:t>
      </w:r>
      <w:r>
        <w:rPr>
          <w:rFonts w:hint="default" w:ascii="Times New Roman" w:hAnsi="Times New Roman" w:eastAsia="仿宋_GB2312" w:cs="Times New Roman"/>
          <w:b w:val="0"/>
          <w:bCs w:val="0"/>
          <w:color w:val="auto"/>
          <w:sz w:val="32"/>
          <w:szCs w:val="32"/>
          <w:highlight w:val="none"/>
          <w:u w:val="none" w:color="auto"/>
          <w:lang w:val="en-US" w:eastAsia="zh-CN"/>
        </w:rPr>
        <w:t>各类园区规划建设物流中心、仓储中心，在主要交通要道、货物流较集中的乡镇建设物流站场，</w:t>
      </w:r>
      <w:r>
        <w:rPr>
          <w:rFonts w:hint="default" w:ascii="Times New Roman" w:hAnsi="Times New Roman" w:eastAsia="仿宋_GB2312" w:cs="Times New Roman"/>
          <w:i w:val="0"/>
          <w:iCs w:val="0"/>
          <w:caps w:val="0"/>
          <w:color w:val="auto"/>
          <w:spacing w:val="0"/>
          <w:sz w:val="32"/>
          <w:szCs w:val="32"/>
          <w:highlight w:val="none"/>
          <w:shd w:val="clear" w:fill="auto"/>
          <w:lang w:bidi="ar"/>
        </w:rPr>
        <w:t>构建“</w:t>
      </w:r>
      <w:r>
        <w:rPr>
          <w:rFonts w:hint="default" w:ascii="Times New Roman" w:hAnsi="Times New Roman" w:eastAsia="仿宋_GB2312" w:cs="Times New Roman"/>
          <w:i w:val="0"/>
          <w:iCs w:val="0"/>
          <w:caps w:val="0"/>
          <w:color w:val="auto"/>
          <w:spacing w:val="0"/>
          <w:sz w:val="32"/>
          <w:szCs w:val="32"/>
          <w:highlight w:val="none"/>
          <w:shd w:val="clear"/>
          <w:lang w:eastAsia="zh-CN" w:bidi="ar"/>
        </w:rPr>
        <w:t>四带三区多节点</w:t>
      </w:r>
      <w:r>
        <w:rPr>
          <w:rFonts w:hint="default" w:ascii="Times New Roman" w:hAnsi="Times New Roman" w:eastAsia="仿宋_GB2312" w:cs="Times New Roman"/>
          <w:i w:val="0"/>
          <w:iCs w:val="0"/>
          <w:caps w:val="0"/>
          <w:color w:val="auto"/>
          <w:spacing w:val="0"/>
          <w:sz w:val="32"/>
          <w:szCs w:val="32"/>
          <w:highlight w:val="none"/>
          <w:shd w:val="clear" w:fill="auto"/>
          <w:lang w:bidi="ar"/>
        </w:rPr>
        <w:t>”的现代物流空间网络。</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40" w:lineRule="exact"/>
        <w:ind w:firstLine="642" w:firstLineChars="200"/>
        <w:jc w:val="both"/>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lang w:eastAsia="zh-CN"/>
        </w:rPr>
        <w:t>四带。</w:t>
      </w:r>
      <w:r>
        <w:rPr>
          <w:rFonts w:hint="default" w:ascii="Times New Roman" w:hAnsi="Times New Roman" w:eastAsia="仿宋_GB2312" w:cs="Times New Roman"/>
          <w:b w:val="0"/>
          <w:bCs w:val="0"/>
          <w:color w:val="auto"/>
          <w:sz w:val="32"/>
          <w:szCs w:val="32"/>
          <w:highlight w:val="none"/>
          <w:shd w:val="clear" w:fill="FFFFFF"/>
          <w:lang w:val="en-US" w:eastAsia="zh-CN"/>
        </w:rPr>
        <w:t>按照</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物流园区、物流中心、站场等基础</w:t>
      </w:r>
      <w:r>
        <w:rPr>
          <w:rFonts w:hint="default" w:ascii="Times New Roman" w:hAnsi="Times New Roman" w:eastAsia="仿宋_GB2312" w:cs="Times New Roman"/>
          <w:b w:val="0"/>
          <w:bCs w:val="0"/>
          <w:color w:val="auto"/>
          <w:sz w:val="32"/>
          <w:szCs w:val="32"/>
          <w:highlight w:val="none"/>
          <w:shd w:val="clear" w:fill="FFFFFF"/>
          <w:lang w:val="en-US" w:eastAsia="zh-CN"/>
        </w:rPr>
        <w:t>设施辐射半径，强化各物流节点间的相互联系和合作，</w:t>
      </w:r>
      <w:r>
        <w:rPr>
          <w:rFonts w:hint="default" w:ascii="Times New Roman" w:hAnsi="Times New Roman" w:eastAsia="仿宋_GB2312" w:cs="Times New Roman"/>
          <w:i w:val="0"/>
          <w:iCs w:val="0"/>
          <w:caps w:val="0"/>
          <w:color w:val="auto"/>
          <w:spacing w:val="0"/>
          <w:sz w:val="32"/>
          <w:szCs w:val="32"/>
          <w:highlight w:val="none"/>
          <w:shd w:val="clear" w:fill="auto"/>
          <w:lang w:bidi="ar"/>
        </w:rPr>
        <w:t>优化</w:t>
      </w:r>
      <w:r>
        <w:rPr>
          <w:rFonts w:hint="default" w:ascii="Times New Roman" w:hAnsi="Times New Roman" w:eastAsia="仿宋_GB2312" w:cs="Times New Roman"/>
          <w:i w:val="0"/>
          <w:iCs w:val="0"/>
          <w:caps w:val="0"/>
          <w:color w:val="auto"/>
          <w:spacing w:val="0"/>
          <w:sz w:val="32"/>
          <w:szCs w:val="32"/>
          <w:highlight w:val="none"/>
          <w:shd w:val="clear" w:fill="auto"/>
          <w:lang w:eastAsia="zh-CN" w:bidi="ar"/>
        </w:rPr>
        <w:t>全市物流发展</w:t>
      </w:r>
      <w:r>
        <w:rPr>
          <w:rFonts w:hint="default" w:ascii="Times New Roman" w:hAnsi="Times New Roman" w:eastAsia="仿宋_GB2312" w:cs="Times New Roman"/>
          <w:i w:val="0"/>
          <w:iCs w:val="0"/>
          <w:caps w:val="0"/>
          <w:color w:val="auto"/>
          <w:spacing w:val="0"/>
          <w:sz w:val="32"/>
          <w:szCs w:val="32"/>
          <w:highlight w:val="none"/>
          <w:shd w:val="clear" w:fill="auto"/>
          <w:lang w:bidi="ar"/>
        </w:rPr>
        <w:t>区域功能分工</w:t>
      </w:r>
      <w:r>
        <w:rPr>
          <w:rFonts w:hint="default" w:ascii="Times New Roman" w:hAnsi="Times New Roman" w:eastAsia="仿宋_GB2312" w:cs="Times New Roman"/>
          <w:i w:val="0"/>
          <w:iCs w:val="0"/>
          <w:caps w:val="0"/>
          <w:color w:val="auto"/>
          <w:spacing w:val="0"/>
          <w:sz w:val="32"/>
          <w:szCs w:val="32"/>
          <w:highlight w:val="none"/>
          <w:shd w:val="clear" w:fill="auto"/>
          <w:lang w:eastAsia="zh-CN" w:bidi="ar"/>
        </w:rPr>
        <w:t>，</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加快</w:t>
      </w:r>
      <w:r>
        <w:rPr>
          <w:rFonts w:hint="default" w:ascii="Times New Roman" w:hAnsi="Times New Roman" w:eastAsia="仿宋_GB2312" w:cs="Times New Roman"/>
          <w:i w:val="0"/>
          <w:iCs w:val="0"/>
          <w:caps w:val="0"/>
          <w:color w:val="auto"/>
          <w:spacing w:val="0"/>
          <w:sz w:val="32"/>
          <w:szCs w:val="32"/>
          <w:highlight w:val="none"/>
          <w:u w:val="none" w:color="auto"/>
          <w:shd w:val="clear" w:fill="auto"/>
          <w:lang w:eastAsia="zh-CN"/>
        </w:rPr>
        <w:t>形成</w:t>
      </w:r>
      <w:r>
        <w:rPr>
          <w:rFonts w:hint="default" w:ascii="Times New Roman" w:hAnsi="Times New Roman" w:eastAsia="仿宋_GB2312" w:cs="Times New Roman"/>
          <w:i w:val="0"/>
          <w:iCs w:val="0"/>
          <w:caps w:val="0"/>
          <w:color w:val="auto"/>
          <w:spacing w:val="0"/>
          <w:sz w:val="32"/>
          <w:szCs w:val="32"/>
          <w:highlight w:val="none"/>
          <w:u w:val="none" w:color="auto"/>
          <w:shd w:val="clear"/>
          <w:lang w:bidi="ar-SA"/>
        </w:rPr>
        <w:t>“双十字”</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bidi="ar-SA"/>
        </w:rPr>
        <w:t>物流廊带</w:t>
      </w:r>
      <w:r>
        <w:rPr>
          <w:rFonts w:hint="default" w:ascii="Times New Roman" w:hAnsi="Times New Roman" w:eastAsia="仿宋_GB2312" w:cs="Times New Roman"/>
          <w:i w:val="0"/>
          <w:iCs w:val="0"/>
          <w:caps w:val="0"/>
          <w:color w:val="auto"/>
          <w:spacing w:val="0"/>
          <w:sz w:val="32"/>
          <w:szCs w:val="32"/>
          <w:highlight w:val="none"/>
          <w:u w:val="none" w:color="auto"/>
          <w:shd w:val="clear"/>
          <w:lang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40" w:lineRule="exact"/>
        <w:ind w:firstLine="640" w:firstLineChars="200"/>
        <w:jc w:val="both"/>
        <w:textAlignment w:val="auto"/>
        <w:outlineLvl w:val="9"/>
        <w:rPr>
          <w:rFonts w:hint="default" w:ascii="Times New Roman" w:hAnsi="Times New Roman" w:eastAsia="仿宋_GB2312" w:cs="Times New Roman"/>
          <w:color w:val="auto"/>
          <w:kern w:val="2"/>
          <w:sz w:val="32"/>
          <w:szCs w:val="32"/>
          <w:highlight w:val="none"/>
          <w:shd w:val="clear"/>
          <w:lang w:val="en-US" w:eastAsia="zh-CN" w:bidi="ar"/>
        </w:rPr>
      </w:pPr>
      <w:r>
        <w:rPr>
          <w:rFonts w:hint="default" w:ascii="Times New Roman" w:hAnsi="Times New Roman" w:eastAsia="仿宋_GB2312" w:cs="Times New Roman"/>
          <w:b w:val="0"/>
          <w:bCs w:val="0"/>
          <w:color w:val="auto"/>
          <w:sz w:val="32"/>
          <w:szCs w:val="32"/>
          <w:highlight w:val="none"/>
          <w:lang w:val="en-US" w:eastAsia="zh-CN"/>
        </w:rPr>
        <w:t>239物流廊带：依托239国道和阳五高速，</w:t>
      </w:r>
      <w:r>
        <w:rPr>
          <w:rFonts w:hint="default" w:ascii="Times New Roman" w:hAnsi="Times New Roman" w:eastAsia="仿宋_GB2312" w:cs="Times New Roman"/>
          <w:b w:val="0"/>
          <w:bCs w:val="0"/>
          <w:color w:val="auto"/>
          <w:kern w:val="0"/>
          <w:sz w:val="32"/>
          <w:szCs w:val="32"/>
          <w:highlight w:val="none"/>
          <w:shd w:val="clear" w:fill="FFFFFF"/>
          <w:lang w:val="en-US" w:eastAsia="zh-CN" w:bidi="ar"/>
        </w:rPr>
        <w:t>以沿线</w:t>
      </w:r>
      <w:r>
        <w:rPr>
          <w:rFonts w:hint="default" w:ascii="Times New Roman" w:hAnsi="Times New Roman" w:eastAsia="仿宋_GB2312" w:cs="Times New Roman"/>
          <w:b w:val="0"/>
          <w:bCs w:val="0"/>
          <w:color w:val="auto"/>
          <w:sz w:val="32"/>
          <w:szCs w:val="32"/>
          <w:highlight w:val="none"/>
          <w:lang w:val="en-US" w:eastAsia="zh-CN"/>
        </w:rPr>
        <w:t>秀水双创智造园、</w:t>
      </w:r>
      <w:r>
        <w:rPr>
          <w:rFonts w:hint="default" w:ascii="Times New Roman" w:hAnsi="Times New Roman" w:eastAsia="仿宋_GB2312" w:cs="Times New Roman"/>
          <w:b w:val="0"/>
          <w:bCs w:val="0"/>
          <w:color w:val="auto"/>
          <w:sz w:val="32"/>
          <w:szCs w:val="32"/>
          <w:highlight w:val="none"/>
          <w:lang w:eastAsia="zh-CN"/>
        </w:rPr>
        <w:t>荫营工业园、苇泊高新技术装备制造园、白泉工业园、东区工业园等</w:t>
      </w:r>
      <w:r>
        <w:rPr>
          <w:rFonts w:hint="default" w:ascii="Times New Roman" w:hAnsi="Times New Roman" w:eastAsia="仿宋_GB2312" w:cs="Times New Roman"/>
          <w:b w:val="0"/>
          <w:bCs w:val="0"/>
          <w:color w:val="auto"/>
          <w:kern w:val="0"/>
          <w:sz w:val="32"/>
          <w:szCs w:val="32"/>
          <w:highlight w:val="none"/>
          <w:shd w:val="clear" w:fill="FFFFFF"/>
          <w:lang w:val="en-US" w:eastAsia="zh-CN" w:bidi="ar"/>
        </w:rPr>
        <w:t>重点</w:t>
      </w:r>
      <w:r>
        <w:rPr>
          <w:rFonts w:hint="default" w:ascii="Times New Roman" w:hAnsi="Times New Roman" w:eastAsia="仿宋_GB2312" w:cs="Times New Roman"/>
          <w:b w:val="0"/>
          <w:bCs w:val="0"/>
          <w:color w:val="auto"/>
          <w:kern w:val="2"/>
          <w:sz w:val="32"/>
          <w:szCs w:val="32"/>
          <w:highlight w:val="none"/>
          <w:shd w:val="clear" w:fill="auto"/>
          <w:lang w:val="en-US" w:eastAsia="zh-CN" w:bidi="ar"/>
        </w:rPr>
        <w:t>园区为平台，</w:t>
      </w:r>
      <w:r>
        <w:rPr>
          <w:rFonts w:hint="default" w:ascii="Times New Roman" w:hAnsi="Times New Roman" w:eastAsia="仿宋_GB2312" w:cs="Times New Roman"/>
          <w:b w:val="0"/>
          <w:bCs w:val="0"/>
          <w:color w:val="auto"/>
          <w:sz w:val="32"/>
          <w:szCs w:val="32"/>
          <w:highlight w:val="none"/>
          <w:lang w:bidi="ar"/>
        </w:rPr>
        <w:t>以冀东、通宝鑫能、永顺等物流企业</w:t>
      </w:r>
      <w:r>
        <w:rPr>
          <w:rFonts w:hint="default" w:ascii="Times New Roman" w:hAnsi="Times New Roman" w:eastAsia="仿宋_GB2312" w:cs="Times New Roman"/>
          <w:b w:val="0"/>
          <w:bCs w:val="0"/>
          <w:color w:val="auto"/>
          <w:sz w:val="32"/>
          <w:szCs w:val="32"/>
          <w:highlight w:val="none"/>
          <w:lang w:eastAsia="zh-CN" w:bidi="ar"/>
        </w:rPr>
        <w:t>和</w:t>
      </w:r>
      <w:r>
        <w:rPr>
          <w:rFonts w:hint="default" w:ascii="Times New Roman" w:hAnsi="Times New Roman" w:eastAsia="仿宋_GB2312" w:cs="Times New Roman"/>
          <w:b w:val="0"/>
          <w:bCs w:val="0"/>
          <w:color w:val="auto"/>
          <w:sz w:val="32"/>
          <w:szCs w:val="32"/>
          <w:highlight w:val="none"/>
          <w:lang w:eastAsia="zh-CN"/>
        </w:rPr>
        <w:t>大宗商品物流</w:t>
      </w:r>
      <w:r>
        <w:rPr>
          <w:rFonts w:hint="default" w:ascii="Times New Roman" w:hAnsi="Times New Roman" w:eastAsia="仿宋_GB2312" w:cs="Times New Roman"/>
          <w:b w:val="0"/>
          <w:bCs w:val="0"/>
          <w:color w:val="auto"/>
          <w:sz w:val="32"/>
          <w:szCs w:val="32"/>
          <w:highlight w:val="none"/>
          <w:lang w:bidi="ar"/>
        </w:rPr>
        <w:t>为基础，</w:t>
      </w:r>
      <w:r>
        <w:rPr>
          <w:rFonts w:hint="default" w:ascii="Times New Roman" w:hAnsi="Times New Roman" w:eastAsia="仿宋_GB2312" w:cs="Times New Roman"/>
          <w:b w:val="0"/>
          <w:bCs w:val="0"/>
          <w:color w:val="auto"/>
          <w:sz w:val="32"/>
          <w:szCs w:val="32"/>
          <w:highlight w:val="none"/>
          <w:lang w:val="en-US" w:eastAsia="zh-CN" w:bidi="ar"/>
        </w:rPr>
        <w:t>布局建设功能性物流园区</w:t>
      </w:r>
      <w:r>
        <w:rPr>
          <w:rFonts w:hint="default" w:ascii="Times New Roman" w:hAnsi="Times New Roman" w:eastAsia="仿宋_GB2312" w:cs="Times New Roman"/>
          <w:color w:val="auto"/>
          <w:sz w:val="32"/>
          <w:szCs w:val="32"/>
          <w:highlight w:val="none"/>
          <w:u w:val="none"/>
          <w:lang w:eastAsia="zh-CN" w:bidi="ar"/>
        </w:rPr>
        <w:t>，配备大型仓储物流中转基地，延伸加工制造、仓储物流等产业增值链</w:t>
      </w:r>
      <w:r>
        <w:rPr>
          <w:rFonts w:hint="default" w:ascii="Times New Roman" w:hAnsi="Times New Roman" w:eastAsia="仿宋_GB2312" w:cs="Times New Roman"/>
          <w:color w:val="auto"/>
          <w:kern w:val="2"/>
          <w:sz w:val="32"/>
          <w:szCs w:val="32"/>
          <w:highlight w:val="none"/>
          <w:shd w:val="clear"/>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highlight w:val="none"/>
          <w:u w:val="none"/>
          <w:lang w:val="en-US" w:eastAsia="zh-CN" w:bidi="ar"/>
        </w:rPr>
      </w:pPr>
      <w:r>
        <w:rPr>
          <w:rFonts w:hint="default" w:ascii="Times New Roman" w:hAnsi="Times New Roman" w:eastAsia="仿宋_GB2312" w:cs="Times New Roman"/>
          <w:b w:val="0"/>
          <w:bCs w:val="0"/>
          <w:color w:val="auto"/>
          <w:kern w:val="2"/>
          <w:sz w:val="32"/>
          <w:szCs w:val="32"/>
          <w:highlight w:val="none"/>
          <w:shd w:val="clear"/>
          <w:lang w:val="en-US" w:eastAsia="zh-CN" w:bidi="ar"/>
        </w:rPr>
        <w:t>207</w:t>
      </w:r>
      <w:r>
        <w:rPr>
          <w:rFonts w:hint="default" w:ascii="Times New Roman" w:hAnsi="Times New Roman" w:eastAsia="仿宋_GB2312" w:cs="Times New Roman"/>
          <w:b w:val="0"/>
          <w:bCs w:val="0"/>
          <w:color w:val="auto"/>
          <w:sz w:val="32"/>
          <w:szCs w:val="32"/>
          <w:highlight w:val="none"/>
          <w:lang w:val="en-US" w:eastAsia="zh-CN"/>
        </w:rPr>
        <w:t>物流廊带：依托207国道和阳五高速</w:t>
      </w:r>
      <w:r>
        <w:rPr>
          <w:rFonts w:hint="default" w:ascii="Times New Roman" w:hAnsi="Times New Roman" w:eastAsia="仿宋_GB2312" w:cs="Times New Roman"/>
          <w:b w:val="0"/>
          <w:bCs w:val="0"/>
          <w:color w:val="auto"/>
          <w:sz w:val="32"/>
          <w:szCs w:val="32"/>
          <w:highlight w:val="none"/>
          <w:lang w:eastAsia="zh-CN"/>
        </w:rPr>
        <w:t>，结合沿线龙川工业园、张庄新型工业园</w:t>
      </w:r>
      <w:r>
        <w:rPr>
          <w:rFonts w:hint="default" w:ascii="Times New Roman" w:hAnsi="Times New Roman" w:eastAsia="仿宋_GB2312" w:cs="Times New Roman"/>
          <w:b w:val="0"/>
          <w:bCs w:val="0"/>
          <w:color w:val="auto"/>
          <w:sz w:val="32"/>
          <w:szCs w:val="32"/>
          <w:highlight w:val="none"/>
          <w:lang w:val="en-US" w:eastAsia="zh-CN"/>
        </w:rPr>
        <w:t>等园区建设，</w:t>
      </w:r>
      <w:r>
        <w:rPr>
          <w:rFonts w:hint="default" w:ascii="Times New Roman" w:hAnsi="Times New Roman" w:eastAsia="仿宋_GB2312" w:cs="Times New Roman"/>
          <w:b w:val="0"/>
          <w:bCs w:val="0"/>
          <w:color w:val="auto"/>
          <w:sz w:val="32"/>
          <w:szCs w:val="32"/>
          <w:highlight w:val="none"/>
          <w:lang w:val="en-US" w:eastAsia="zh-CN" w:bidi="ar"/>
        </w:rPr>
        <w:t>布局建设物流仓储中心和智慧物流园区</w:t>
      </w:r>
      <w:r>
        <w:rPr>
          <w:rFonts w:hint="default" w:ascii="Times New Roman" w:hAnsi="Times New Roman" w:eastAsia="仿宋_GB2312" w:cs="Times New Roman"/>
          <w:color w:val="auto"/>
          <w:sz w:val="32"/>
          <w:szCs w:val="32"/>
          <w:highlight w:val="none"/>
          <w:u w:val="none"/>
          <w:lang w:eastAsia="zh-CN" w:bidi="ar"/>
        </w:rPr>
        <w:t>，推动</w:t>
      </w:r>
      <w:r>
        <w:rPr>
          <w:rFonts w:hint="default" w:ascii="Times New Roman" w:hAnsi="Times New Roman" w:eastAsia="仿宋_GB2312" w:cs="Times New Roman"/>
          <w:color w:val="auto"/>
          <w:kern w:val="2"/>
          <w:sz w:val="32"/>
          <w:szCs w:val="32"/>
          <w:highlight w:val="none"/>
          <w:lang w:val="en-US" w:eastAsia="zh-CN" w:bidi="ar-SA"/>
        </w:rPr>
        <w:t>纤维新材料、铝基新材料、石油压裂支撑剂、碳基新材料</w:t>
      </w:r>
      <w:r>
        <w:rPr>
          <w:rFonts w:hint="default" w:ascii="Times New Roman" w:hAnsi="Times New Roman" w:eastAsia="仿宋_GB2312" w:cs="Times New Roman"/>
          <w:b w:val="0"/>
          <w:bCs w:val="0"/>
          <w:color w:val="auto"/>
          <w:sz w:val="32"/>
          <w:szCs w:val="32"/>
          <w:highlight w:val="none"/>
          <w:u w:val="none"/>
          <w:lang w:val="en-US" w:eastAsia="zh-CN" w:bidi="ar"/>
        </w:rPr>
        <w:t>等产业与物流产业耦合。</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highlight w:val="none"/>
          <w:lang w:eastAsia="zh-CN"/>
        </w:rPr>
      </w:pPr>
      <w:r>
        <w:rPr>
          <w:rFonts w:hint="default" w:ascii="Times New Roman" w:hAnsi="Times New Roman" w:eastAsia="仿宋_GB2312" w:cs="Times New Roman"/>
          <w:b w:val="0"/>
          <w:bCs w:val="0"/>
          <w:color w:val="auto"/>
          <w:sz w:val="32"/>
          <w:szCs w:val="32"/>
          <w:highlight w:val="none"/>
          <w:lang w:val="en-US" w:eastAsia="zh-CN"/>
        </w:rPr>
        <w:t>314</w:t>
      </w:r>
      <w:r>
        <w:rPr>
          <w:rFonts w:hint="default" w:ascii="Times New Roman" w:hAnsi="Times New Roman" w:eastAsia="仿宋_GB2312" w:cs="Times New Roman"/>
          <w:b w:val="0"/>
          <w:bCs w:val="0"/>
          <w:color w:val="auto"/>
          <w:sz w:val="32"/>
          <w:szCs w:val="32"/>
          <w:highlight w:val="none"/>
          <w:lang w:eastAsia="zh-CN"/>
        </w:rPr>
        <w:t>物流廊带：依托</w:t>
      </w:r>
      <w:r>
        <w:rPr>
          <w:rFonts w:hint="default" w:ascii="Times New Roman" w:hAnsi="Times New Roman" w:eastAsia="仿宋_GB2312" w:cs="Times New Roman"/>
          <w:b w:val="0"/>
          <w:bCs w:val="0"/>
          <w:color w:val="auto"/>
          <w:sz w:val="32"/>
          <w:szCs w:val="32"/>
          <w:highlight w:val="none"/>
          <w:lang w:val="en-US" w:eastAsia="zh-CN"/>
        </w:rPr>
        <w:t>314</w:t>
      </w:r>
      <w:r>
        <w:rPr>
          <w:rFonts w:hint="default" w:ascii="Times New Roman" w:hAnsi="Times New Roman" w:eastAsia="仿宋_GB2312" w:cs="Times New Roman"/>
          <w:b w:val="0"/>
          <w:bCs w:val="0"/>
          <w:color w:val="auto"/>
          <w:sz w:val="32"/>
          <w:szCs w:val="32"/>
          <w:highlight w:val="none"/>
          <w:lang w:eastAsia="zh-CN"/>
        </w:rPr>
        <w:t>省道和太阳高速沿线周边乡镇</w:t>
      </w:r>
      <w:r>
        <w:rPr>
          <w:rFonts w:hint="default" w:ascii="Times New Roman" w:hAnsi="Times New Roman" w:eastAsia="仿宋_GB2312" w:cs="Times New Roman"/>
          <w:b w:val="0"/>
          <w:bCs w:val="0"/>
          <w:color w:val="auto"/>
          <w:kern w:val="2"/>
          <w:sz w:val="32"/>
          <w:szCs w:val="32"/>
          <w:highlight w:val="none"/>
          <w:u w:val="none"/>
          <w:lang w:val="en-US" w:eastAsia="zh-CN" w:bidi="ar"/>
        </w:rPr>
        <w:t>精品杂粮、功能食品、</w:t>
      </w:r>
      <w:r>
        <w:rPr>
          <w:rFonts w:hint="default" w:ascii="Times New Roman" w:hAnsi="Times New Roman" w:eastAsia="仿宋_GB2312" w:cs="Times New Roman"/>
          <w:b w:val="0"/>
          <w:bCs w:val="0"/>
          <w:color w:val="auto"/>
          <w:sz w:val="32"/>
          <w:szCs w:val="32"/>
          <w:highlight w:val="none"/>
          <w:lang w:val="en-US" w:eastAsia="zh-CN"/>
        </w:rPr>
        <w:t>脱水蔬菜、果脯果酱等产品集聚优势，围绕</w:t>
      </w:r>
      <w:r>
        <w:rPr>
          <w:rFonts w:hint="default" w:ascii="Times New Roman" w:hAnsi="Times New Roman" w:eastAsia="仿宋_GB2312" w:cs="Times New Roman"/>
          <w:b w:val="0"/>
          <w:bCs w:val="0"/>
          <w:i w:val="0"/>
          <w:caps w:val="0"/>
          <w:color w:val="auto"/>
          <w:spacing w:val="0"/>
          <w:sz w:val="32"/>
          <w:szCs w:val="32"/>
          <w:highlight w:val="none"/>
          <w:u w:val="none" w:color="auto"/>
          <w:lang w:val="en-US" w:eastAsia="zh-CN" w:bidi="ar"/>
        </w:rPr>
        <w:t>郊区千亩坪农业产业园、</w:t>
      </w:r>
      <w:r>
        <w:rPr>
          <w:rFonts w:hint="default" w:ascii="Times New Roman" w:hAnsi="Times New Roman" w:eastAsia="仿宋_GB2312" w:cs="Times New Roman"/>
          <w:color w:val="auto"/>
          <w:sz w:val="32"/>
          <w:szCs w:val="32"/>
          <w:highlight w:val="none"/>
        </w:rPr>
        <w:t>西烟农产品加工示范园</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华北奕丰生态园</w:t>
      </w:r>
      <w:r>
        <w:rPr>
          <w:rFonts w:hint="default" w:ascii="Times New Roman" w:hAnsi="Times New Roman" w:eastAsia="仿宋_GB2312" w:cs="Times New Roman"/>
          <w:color w:val="auto"/>
          <w:sz w:val="32"/>
          <w:szCs w:val="32"/>
          <w:highlight w:val="none"/>
          <w:lang w:eastAsia="zh-CN"/>
        </w:rPr>
        <w:t>等</w:t>
      </w:r>
      <w:r>
        <w:rPr>
          <w:rFonts w:hint="default" w:ascii="Times New Roman" w:hAnsi="Times New Roman" w:eastAsia="仿宋_GB2312" w:cs="Times New Roman"/>
          <w:b w:val="0"/>
          <w:bCs w:val="0"/>
          <w:i w:val="0"/>
          <w:caps w:val="0"/>
          <w:color w:val="auto"/>
          <w:spacing w:val="0"/>
          <w:sz w:val="32"/>
          <w:szCs w:val="32"/>
          <w:highlight w:val="none"/>
          <w:u w:val="none" w:color="auto"/>
          <w:lang w:val="en-US" w:eastAsia="zh-CN" w:bidi="ar"/>
        </w:rPr>
        <w:t>现代农业</w:t>
      </w:r>
      <w:r>
        <w:rPr>
          <w:rFonts w:hint="default" w:ascii="Times New Roman" w:hAnsi="Times New Roman" w:eastAsia="仿宋_GB2312" w:cs="Times New Roman"/>
          <w:color w:val="auto"/>
          <w:sz w:val="32"/>
          <w:szCs w:val="32"/>
          <w:highlight w:val="none"/>
          <w:lang w:eastAsia="zh-CN"/>
        </w:rPr>
        <w:t>园区建设，</w:t>
      </w:r>
      <w:r>
        <w:rPr>
          <w:rFonts w:hint="default" w:ascii="Times New Roman" w:hAnsi="Times New Roman" w:eastAsia="仿宋_GB2312" w:cs="Times New Roman"/>
          <w:b w:val="0"/>
          <w:bCs w:val="0"/>
          <w:i w:val="0"/>
          <w:caps w:val="0"/>
          <w:color w:val="auto"/>
          <w:spacing w:val="0"/>
          <w:sz w:val="32"/>
          <w:szCs w:val="32"/>
          <w:highlight w:val="none"/>
          <w:u w:val="none" w:color="auto"/>
          <w:lang w:val="en-US" w:eastAsia="zh-CN" w:bidi="ar"/>
        </w:rPr>
        <w:t>加强以农产品流通为主的现代物流</w:t>
      </w:r>
      <w:r>
        <w:rPr>
          <w:rFonts w:hint="default" w:ascii="Times New Roman" w:hAnsi="Times New Roman" w:eastAsia="仿宋_GB2312" w:cs="Times New Roman"/>
          <w:b w:val="0"/>
          <w:bCs w:val="0"/>
          <w:i w:val="0"/>
          <w:caps w:val="0"/>
          <w:color w:val="auto"/>
          <w:spacing w:val="0"/>
          <w:sz w:val="32"/>
          <w:szCs w:val="32"/>
          <w:highlight w:val="none"/>
          <w:u w:val="none"/>
          <w:lang w:val="en-US" w:eastAsia="zh-CN" w:bidi="ar"/>
        </w:rPr>
        <w:t>园区、冷链仓储设施和电商物流</w:t>
      </w:r>
      <w:r>
        <w:rPr>
          <w:rFonts w:hint="default" w:ascii="Times New Roman" w:hAnsi="Times New Roman" w:eastAsia="仿宋_GB2312" w:cs="Times New Roman"/>
          <w:b w:val="0"/>
          <w:bCs w:val="0"/>
          <w:i w:val="0"/>
          <w:caps w:val="0"/>
          <w:color w:val="auto"/>
          <w:spacing w:val="0"/>
          <w:sz w:val="32"/>
          <w:szCs w:val="32"/>
          <w:highlight w:val="none"/>
          <w:u w:val="none" w:color="auto"/>
          <w:lang w:val="en-US" w:eastAsia="zh-CN" w:bidi="ar"/>
        </w:rPr>
        <w:t>体系建设，</w:t>
      </w:r>
      <w:r>
        <w:rPr>
          <w:rFonts w:hint="default" w:ascii="Times New Roman" w:hAnsi="Times New Roman" w:eastAsia="仿宋_GB2312" w:cs="Times New Roman"/>
          <w:i w:val="0"/>
          <w:iCs w:val="0"/>
          <w:caps w:val="0"/>
          <w:color w:val="auto"/>
          <w:spacing w:val="0"/>
          <w:sz w:val="32"/>
          <w:szCs w:val="32"/>
          <w:highlight w:val="none"/>
        </w:rPr>
        <w:t>加快冷链物流、快递物流发展</w:t>
      </w:r>
      <w:r>
        <w:rPr>
          <w:rFonts w:hint="default" w:ascii="Times New Roman" w:hAnsi="Times New Roman" w:eastAsia="仿宋_GB2312" w:cs="Times New Roman"/>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0" w:firstLineChars="200"/>
        <w:jc w:val="both"/>
        <w:textAlignment w:val="auto"/>
        <w:outlineLvl w:val="9"/>
        <w:rPr>
          <w:rFonts w:hint="default" w:ascii="Times New Roman" w:hAnsi="Times New Roman" w:eastAsia="仿宋_GB2312" w:cs="Times New Roman"/>
          <w:b w:val="0"/>
          <w:bCs w:val="0"/>
          <w:color w:val="auto"/>
          <w:sz w:val="32"/>
          <w:szCs w:val="32"/>
          <w:highlight w:val="none"/>
          <w:shd w:val="clear" w:fill="auto"/>
          <w:lang w:val="en-US" w:eastAsia="zh-CN"/>
        </w:rPr>
      </w:pPr>
      <w:r>
        <w:rPr>
          <w:rFonts w:hint="default" w:ascii="Times New Roman" w:hAnsi="Times New Roman" w:eastAsia="仿宋_GB2312" w:cs="Times New Roman"/>
          <w:b w:val="0"/>
          <w:bCs w:val="0"/>
          <w:color w:val="auto"/>
          <w:sz w:val="32"/>
          <w:szCs w:val="32"/>
          <w:highlight w:val="none"/>
          <w:lang w:val="en-US" w:eastAsia="zh-CN"/>
        </w:rPr>
        <w:t>307物流廊带：</w:t>
      </w:r>
      <w:r>
        <w:rPr>
          <w:rFonts w:hint="default" w:ascii="Times New Roman" w:hAnsi="Times New Roman" w:eastAsia="仿宋_GB2312" w:cs="Times New Roman"/>
          <w:b w:val="0"/>
          <w:bCs w:val="0"/>
          <w:color w:val="auto"/>
          <w:sz w:val="32"/>
          <w:szCs w:val="32"/>
          <w:highlight w:val="none"/>
          <w:lang w:eastAsia="zh-CN"/>
        </w:rPr>
        <w:t>依托</w:t>
      </w:r>
      <w:r>
        <w:rPr>
          <w:rFonts w:hint="default" w:ascii="Times New Roman" w:hAnsi="Times New Roman" w:eastAsia="仿宋_GB2312" w:cs="Times New Roman"/>
          <w:b w:val="0"/>
          <w:bCs w:val="0"/>
          <w:color w:val="auto"/>
          <w:sz w:val="32"/>
          <w:szCs w:val="32"/>
          <w:highlight w:val="none"/>
          <w:lang w:val="en-US" w:eastAsia="zh-CN"/>
        </w:rPr>
        <w:t>307国道、</w:t>
      </w:r>
      <w:r>
        <w:rPr>
          <w:rFonts w:hint="default" w:ascii="Times New Roman" w:hAnsi="Times New Roman" w:eastAsia="仿宋_GB2312" w:cs="Times New Roman"/>
          <w:b w:val="0"/>
          <w:bCs w:val="0"/>
          <w:color w:val="auto"/>
          <w:sz w:val="32"/>
          <w:szCs w:val="32"/>
          <w:highlight w:val="none"/>
          <w:lang w:eastAsia="zh-CN"/>
        </w:rPr>
        <w:t>石太铁路、太旧高速</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i w:val="0"/>
          <w:iCs w:val="0"/>
          <w:caps w:val="0"/>
          <w:color w:val="auto"/>
          <w:spacing w:val="0"/>
          <w:sz w:val="32"/>
          <w:szCs w:val="32"/>
          <w:highlight w:val="none"/>
        </w:rPr>
        <w:t>借助</w:t>
      </w:r>
      <w:r>
        <w:rPr>
          <w:rFonts w:hint="default" w:ascii="Times New Roman" w:hAnsi="Times New Roman" w:eastAsia="仿宋_GB2312" w:cs="Times New Roman"/>
          <w:i w:val="0"/>
          <w:iCs w:val="0"/>
          <w:caps w:val="0"/>
          <w:color w:val="auto"/>
          <w:spacing w:val="0"/>
          <w:sz w:val="32"/>
          <w:szCs w:val="32"/>
          <w:highlight w:val="none"/>
          <w:lang w:eastAsia="zh-CN"/>
        </w:rPr>
        <w:t>沿线区域与太原、晋中、石家庄三市</w:t>
      </w:r>
      <w:r>
        <w:rPr>
          <w:rFonts w:hint="default" w:ascii="Times New Roman" w:hAnsi="Times New Roman" w:eastAsia="仿宋_GB2312" w:cs="Times New Roman"/>
          <w:i w:val="0"/>
          <w:iCs w:val="0"/>
          <w:caps w:val="0"/>
          <w:color w:val="auto"/>
          <w:spacing w:val="0"/>
          <w:sz w:val="32"/>
          <w:szCs w:val="32"/>
          <w:highlight w:val="none"/>
        </w:rPr>
        <w:t>交界的区位优势，</w:t>
      </w:r>
      <w:r>
        <w:rPr>
          <w:rFonts w:hint="default" w:ascii="Times New Roman" w:hAnsi="Times New Roman" w:eastAsia="仿宋_GB2312" w:cs="Times New Roman"/>
          <w:b w:val="0"/>
          <w:bCs w:val="0"/>
          <w:color w:val="auto"/>
          <w:kern w:val="2"/>
          <w:sz w:val="32"/>
          <w:szCs w:val="32"/>
          <w:highlight w:val="none"/>
          <w:u w:val="none"/>
          <w:lang w:val="en-US" w:eastAsia="zh-CN" w:bidi="ar"/>
        </w:rPr>
        <w:t>以商贸物流港</w:t>
      </w:r>
      <w:r>
        <w:rPr>
          <w:rFonts w:hint="default" w:ascii="Times New Roman" w:hAnsi="Times New Roman" w:eastAsia="仿宋_GB2312" w:cs="Times New Roman"/>
          <w:color w:val="auto"/>
          <w:sz w:val="32"/>
          <w:szCs w:val="32"/>
          <w:highlight w:val="none"/>
          <w:lang w:val="en-US" w:eastAsia="zh-CN"/>
        </w:rPr>
        <w:t>、综合物流园区</w:t>
      </w:r>
      <w:r>
        <w:rPr>
          <w:rFonts w:hint="default" w:ascii="Times New Roman" w:hAnsi="Times New Roman" w:eastAsia="仿宋_GB2312" w:cs="Times New Roman"/>
          <w:b w:val="0"/>
          <w:bCs w:val="0"/>
          <w:color w:val="auto"/>
          <w:kern w:val="2"/>
          <w:sz w:val="32"/>
          <w:szCs w:val="32"/>
          <w:highlight w:val="none"/>
          <w:u w:val="none"/>
          <w:lang w:val="en-US" w:eastAsia="zh-CN" w:bidi="ar"/>
        </w:rPr>
        <w:t>建设为重点，重点发展商贸物流产业，打造晋东地区面积最大、辐射最广、功能最齐全的商贸物流中心。</w:t>
      </w:r>
    </w:p>
    <w:p>
      <w:pPr>
        <w:pStyle w:val="15"/>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firstLine="556" w:firstLineChars="0"/>
        <w:jc w:val="both"/>
        <w:textAlignment w:val="auto"/>
        <w:outlineLvl w:val="9"/>
        <w:rPr>
          <w:rFonts w:hint="default" w:ascii="Times New Roman" w:hAnsi="Times New Roman" w:eastAsia="仿宋_GB2312" w:cs="Times New Roman"/>
          <w:b w:val="0"/>
          <w:bCs w:val="0"/>
          <w:color w:val="auto"/>
          <w:spacing w:val="-3"/>
          <w:sz w:val="32"/>
          <w:szCs w:val="32"/>
          <w:highlight w:val="none"/>
          <w:lang w:val="en-US" w:eastAsia="zh-CN" w:bidi="ar"/>
        </w:rPr>
      </w:pPr>
      <w:r>
        <w:rPr>
          <w:rFonts w:hint="default" w:ascii="Times New Roman" w:hAnsi="Times New Roman" w:eastAsia="仿宋_GB2312" w:cs="Times New Roman"/>
          <w:b/>
          <w:bCs/>
          <w:color w:val="auto"/>
          <w:sz w:val="32"/>
          <w:szCs w:val="32"/>
          <w:highlight w:val="none"/>
          <w:lang w:eastAsia="zh-CN"/>
        </w:rPr>
        <w:t>三区。</w:t>
      </w:r>
      <w:r>
        <w:rPr>
          <w:rFonts w:hint="default" w:ascii="Times New Roman" w:hAnsi="Times New Roman" w:eastAsia="仿宋_GB2312" w:cs="Times New Roman"/>
          <w:b/>
          <w:bCs/>
          <w:i w:val="0"/>
          <w:iCs w:val="0"/>
          <w:caps w:val="0"/>
          <w:color w:val="auto"/>
          <w:spacing w:val="-3"/>
          <w:sz w:val="32"/>
          <w:szCs w:val="32"/>
          <w:highlight w:val="none"/>
          <w:u w:val="none"/>
        </w:rPr>
        <w:t>智慧物流</w:t>
      </w:r>
      <w:r>
        <w:rPr>
          <w:rFonts w:hint="default" w:ascii="Times New Roman" w:hAnsi="Times New Roman" w:eastAsia="仿宋_GB2312" w:cs="Times New Roman"/>
          <w:b/>
          <w:bCs/>
          <w:i w:val="0"/>
          <w:iCs w:val="0"/>
          <w:caps w:val="0"/>
          <w:color w:val="auto"/>
          <w:spacing w:val="-3"/>
          <w:sz w:val="32"/>
          <w:szCs w:val="32"/>
          <w:highlight w:val="none"/>
          <w:u w:val="none"/>
          <w:lang w:eastAsia="zh-CN"/>
        </w:rPr>
        <w:t>发展</w:t>
      </w:r>
      <w:r>
        <w:rPr>
          <w:rFonts w:hint="default" w:ascii="Times New Roman" w:hAnsi="Times New Roman" w:eastAsia="仿宋_GB2312" w:cs="Times New Roman"/>
          <w:b/>
          <w:bCs/>
          <w:i w:val="0"/>
          <w:iCs w:val="0"/>
          <w:caps w:val="0"/>
          <w:color w:val="auto"/>
          <w:spacing w:val="-3"/>
          <w:sz w:val="32"/>
          <w:szCs w:val="32"/>
          <w:highlight w:val="none"/>
          <w:u w:val="none"/>
        </w:rPr>
        <w:t>先行区</w:t>
      </w:r>
      <w:r>
        <w:rPr>
          <w:rFonts w:hint="default" w:ascii="Times New Roman" w:hAnsi="Times New Roman" w:eastAsia="仿宋_GB2312" w:cs="Times New Roman"/>
          <w:b/>
          <w:bCs/>
          <w:i w:val="0"/>
          <w:iCs w:val="0"/>
          <w:caps w:val="0"/>
          <w:color w:val="auto"/>
          <w:spacing w:val="-3"/>
          <w:sz w:val="32"/>
          <w:szCs w:val="32"/>
          <w:highlight w:val="none"/>
          <w:u w:val="none"/>
          <w:lang w:eastAsia="zh-CN"/>
        </w:rPr>
        <w:t>：</w:t>
      </w:r>
      <w:r>
        <w:rPr>
          <w:rFonts w:hint="default" w:ascii="Times New Roman" w:hAnsi="Times New Roman" w:eastAsia="仿宋_GB2312" w:cs="Times New Roman"/>
          <w:b w:val="0"/>
          <w:bCs w:val="0"/>
          <w:color w:val="auto"/>
          <w:spacing w:val="-3"/>
          <w:sz w:val="32"/>
          <w:szCs w:val="32"/>
          <w:highlight w:val="none"/>
          <w:lang w:eastAsia="zh-CN" w:bidi="ar"/>
        </w:rPr>
        <w:t>以</w:t>
      </w:r>
      <w:r>
        <w:rPr>
          <w:rFonts w:hint="default" w:ascii="Times New Roman" w:hAnsi="Times New Roman" w:eastAsia="仿宋_GB2312" w:cs="Times New Roman"/>
          <w:b w:val="0"/>
          <w:bCs w:val="0"/>
          <w:color w:val="auto"/>
          <w:sz w:val="32"/>
          <w:szCs w:val="32"/>
          <w:highlight w:val="none"/>
          <w:lang w:eastAsia="zh-CN" w:bidi="ar"/>
        </w:rPr>
        <w:t>阳泉</w:t>
      </w:r>
      <w:r>
        <w:rPr>
          <w:rFonts w:hint="eastAsia" w:ascii="Times New Roman" w:hAnsi="Times New Roman" w:eastAsia="仿宋_GB2312" w:cs="Times New Roman"/>
          <w:b w:val="0"/>
          <w:bCs w:val="0"/>
          <w:color w:val="auto"/>
          <w:sz w:val="32"/>
          <w:szCs w:val="32"/>
          <w:highlight w:val="none"/>
          <w:lang w:eastAsia="zh-CN" w:bidi="ar"/>
        </w:rPr>
        <w:t>高新技术开发</w:t>
      </w:r>
      <w:r>
        <w:rPr>
          <w:rFonts w:hint="default" w:ascii="Times New Roman" w:hAnsi="Times New Roman" w:eastAsia="仿宋_GB2312" w:cs="Times New Roman"/>
          <w:b w:val="0"/>
          <w:bCs w:val="0"/>
          <w:color w:val="auto"/>
          <w:sz w:val="32"/>
          <w:szCs w:val="32"/>
          <w:highlight w:val="none"/>
          <w:lang w:bidi="ar"/>
        </w:rPr>
        <w:t>区</w:t>
      </w:r>
      <w:r>
        <w:rPr>
          <w:rFonts w:hint="default" w:ascii="Times New Roman" w:hAnsi="Times New Roman" w:eastAsia="仿宋_GB2312" w:cs="Times New Roman"/>
          <w:b w:val="0"/>
          <w:bCs w:val="0"/>
          <w:color w:val="auto"/>
          <w:sz w:val="32"/>
          <w:szCs w:val="32"/>
          <w:highlight w:val="none"/>
          <w:lang w:eastAsia="zh-CN" w:bidi="ar"/>
        </w:rPr>
        <w:t>为核心，</w:t>
      </w:r>
      <w:r>
        <w:rPr>
          <w:rFonts w:hint="default" w:ascii="Times New Roman" w:hAnsi="Times New Roman" w:eastAsia="仿宋_GB2312" w:cs="Times New Roman"/>
          <w:i w:val="0"/>
          <w:iCs w:val="0"/>
          <w:caps w:val="0"/>
          <w:color w:val="auto"/>
          <w:spacing w:val="0"/>
          <w:sz w:val="32"/>
          <w:szCs w:val="32"/>
          <w:highlight w:val="none"/>
          <w:u w:val="none" w:color="auto"/>
          <w:lang w:eastAsia="zh-CN"/>
        </w:rPr>
        <w:t>加强与</w:t>
      </w:r>
      <w:r>
        <w:rPr>
          <w:rFonts w:hint="default" w:ascii="Times New Roman" w:hAnsi="Times New Roman" w:eastAsia="仿宋_GB2312" w:cs="Times New Roman"/>
          <w:i w:val="0"/>
          <w:iCs w:val="0"/>
          <w:caps w:val="0"/>
          <w:color w:val="auto"/>
          <w:spacing w:val="0"/>
          <w:sz w:val="32"/>
          <w:szCs w:val="32"/>
          <w:highlight w:val="none"/>
          <w:u w:val="none" w:color="auto"/>
        </w:rPr>
        <w:t>百度在自动驾驶、人工智能、大数据等领域</w:t>
      </w:r>
      <w:r>
        <w:rPr>
          <w:rFonts w:hint="default" w:ascii="Times New Roman" w:hAnsi="Times New Roman" w:eastAsia="仿宋_GB2312" w:cs="Times New Roman"/>
          <w:i w:val="0"/>
          <w:iCs w:val="0"/>
          <w:caps w:val="0"/>
          <w:color w:val="auto"/>
          <w:spacing w:val="0"/>
          <w:sz w:val="32"/>
          <w:szCs w:val="32"/>
          <w:highlight w:val="none"/>
          <w:u w:val="none" w:color="auto"/>
          <w:lang w:eastAsia="zh-CN"/>
        </w:rPr>
        <w:t>的</w:t>
      </w:r>
      <w:r>
        <w:rPr>
          <w:rFonts w:hint="default" w:ascii="Times New Roman" w:hAnsi="Times New Roman" w:eastAsia="仿宋_GB2312" w:cs="Times New Roman"/>
          <w:i w:val="0"/>
          <w:iCs w:val="0"/>
          <w:caps w:val="0"/>
          <w:color w:val="auto"/>
          <w:spacing w:val="0"/>
          <w:sz w:val="32"/>
          <w:szCs w:val="32"/>
          <w:highlight w:val="none"/>
          <w:u w:val="none" w:color="auto"/>
        </w:rPr>
        <w:t>合作，</w:t>
      </w:r>
      <w:r>
        <w:rPr>
          <w:rFonts w:hint="default" w:ascii="Times New Roman" w:hAnsi="Times New Roman" w:eastAsia="仿宋_GB2312" w:cs="Times New Roman"/>
          <w:i w:val="0"/>
          <w:iCs w:val="0"/>
          <w:caps w:val="0"/>
          <w:color w:val="auto"/>
          <w:spacing w:val="0"/>
          <w:sz w:val="32"/>
          <w:szCs w:val="32"/>
          <w:highlight w:val="none"/>
          <w:u w:val="none" w:color="auto"/>
          <w:lang w:eastAsia="zh-CN"/>
        </w:rPr>
        <w:t>配套建设智慧物流园区、</w:t>
      </w:r>
      <w:r>
        <w:rPr>
          <w:rFonts w:hint="default" w:ascii="Times New Roman" w:hAnsi="Times New Roman" w:eastAsia="仿宋_GB2312" w:cs="Times New Roman"/>
          <w:i w:val="0"/>
          <w:iCs w:val="0"/>
          <w:caps w:val="0"/>
          <w:color w:val="auto"/>
          <w:spacing w:val="0"/>
          <w:sz w:val="32"/>
          <w:szCs w:val="32"/>
          <w:highlight w:val="none"/>
          <w:u w:val="none" w:color="auto"/>
        </w:rPr>
        <w:t>物流实训基地</w:t>
      </w:r>
      <w:r>
        <w:rPr>
          <w:rFonts w:hint="default" w:ascii="Times New Roman" w:hAnsi="Times New Roman" w:eastAsia="仿宋_GB2312" w:cs="Times New Roman"/>
          <w:i w:val="0"/>
          <w:iCs w:val="0"/>
          <w:caps w:val="0"/>
          <w:color w:val="auto"/>
          <w:spacing w:val="0"/>
          <w:sz w:val="32"/>
          <w:szCs w:val="32"/>
          <w:highlight w:val="none"/>
          <w:u w:val="none" w:color="auto"/>
          <w:lang w:eastAsia="zh-CN"/>
        </w:rPr>
        <w:t>，</w:t>
      </w:r>
      <w:r>
        <w:rPr>
          <w:rFonts w:hint="default" w:ascii="Times New Roman" w:hAnsi="Times New Roman" w:eastAsia="仿宋_GB2312" w:cs="Times New Roman"/>
          <w:i w:val="0"/>
          <w:iCs w:val="0"/>
          <w:caps w:val="0"/>
          <w:color w:val="auto"/>
          <w:spacing w:val="0"/>
          <w:sz w:val="32"/>
          <w:szCs w:val="32"/>
          <w:highlight w:val="none"/>
          <w:u w:val="none" w:color="auto"/>
        </w:rPr>
        <w:t>应用推广物联网、云计算等现代信息技术</w:t>
      </w:r>
      <w:r>
        <w:rPr>
          <w:rFonts w:hint="default" w:ascii="Times New Roman" w:hAnsi="Times New Roman" w:eastAsia="仿宋_GB2312" w:cs="Times New Roman"/>
          <w:i w:val="0"/>
          <w:iCs w:val="0"/>
          <w:caps w:val="0"/>
          <w:color w:val="auto"/>
          <w:spacing w:val="0"/>
          <w:sz w:val="32"/>
          <w:szCs w:val="32"/>
          <w:highlight w:val="none"/>
          <w:u w:val="none" w:color="auto"/>
          <w:lang w:eastAsia="zh-CN"/>
        </w:rPr>
        <w:t>，</w:t>
      </w:r>
      <w:r>
        <w:rPr>
          <w:rFonts w:hint="default" w:ascii="Times New Roman" w:hAnsi="Times New Roman" w:eastAsia="仿宋_GB2312" w:cs="Times New Roman"/>
          <w:i w:val="0"/>
          <w:iCs w:val="0"/>
          <w:caps w:val="0"/>
          <w:color w:val="auto"/>
          <w:spacing w:val="0"/>
          <w:sz w:val="32"/>
          <w:szCs w:val="32"/>
          <w:highlight w:val="none"/>
          <w:u w:val="none" w:color="auto"/>
        </w:rPr>
        <w:t>创新发展产品追溯、车辆在线调度、智能查验等技术设备，</w:t>
      </w:r>
      <w:r>
        <w:rPr>
          <w:rFonts w:hint="default" w:ascii="Times New Roman" w:hAnsi="Times New Roman" w:eastAsia="仿宋_GB2312" w:cs="Times New Roman"/>
          <w:i w:val="0"/>
          <w:iCs w:val="0"/>
          <w:caps w:val="0"/>
          <w:color w:val="auto"/>
          <w:spacing w:val="0"/>
          <w:sz w:val="32"/>
          <w:szCs w:val="32"/>
          <w:highlight w:val="none"/>
          <w:u w:val="none" w:color="auto"/>
          <w:lang w:eastAsia="zh-CN"/>
        </w:rPr>
        <w:t>打造</w:t>
      </w:r>
      <w:r>
        <w:rPr>
          <w:rFonts w:hint="default" w:ascii="Times New Roman" w:hAnsi="Times New Roman" w:eastAsia="仿宋_GB2312" w:cs="Times New Roman"/>
          <w:i w:val="0"/>
          <w:iCs w:val="0"/>
          <w:caps w:val="0"/>
          <w:color w:val="auto"/>
          <w:spacing w:val="0"/>
          <w:sz w:val="32"/>
          <w:szCs w:val="32"/>
          <w:highlight w:val="none"/>
          <w:u w:val="none" w:color="auto"/>
        </w:rPr>
        <w:t>以大数据应用为</w:t>
      </w:r>
      <w:r>
        <w:rPr>
          <w:rFonts w:hint="default" w:ascii="Times New Roman" w:hAnsi="Times New Roman" w:eastAsia="仿宋_GB2312" w:cs="Times New Roman"/>
          <w:i w:val="0"/>
          <w:iCs w:val="0"/>
          <w:caps w:val="0"/>
          <w:color w:val="auto"/>
          <w:spacing w:val="0"/>
          <w:sz w:val="32"/>
          <w:szCs w:val="32"/>
          <w:highlight w:val="none"/>
          <w:u w:val="none" w:color="auto"/>
          <w:lang w:eastAsia="zh-CN"/>
        </w:rPr>
        <w:t>基础</w:t>
      </w:r>
      <w:r>
        <w:rPr>
          <w:rFonts w:hint="default" w:ascii="Times New Roman" w:hAnsi="Times New Roman" w:eastAsia="仿宋_GB2312" w:cs="Times New Roman"/>
          <w:i w:val="0"/>
          <w:iCs w:val="0"/>
          <w:caps w:val="0"/>
          <w:color w:val="auto"/>
          <w:spacing w:val="0"/>
          <w:sz w:val="32"/>
          <w:szCs w:val="32"/>
          <w:highlight w:val="none"/>
          <w:u w:val="none" w:color="auto"/>
        </w:rPr>
        <w:t>的智慧物流</w:t>
      </w:r>
      <w:r>
        <w:rPr>
          <w:rFonts w:hint="default" w:ascii="Times New Roman" w:hAnsi="Times New Roman" w:eastAsia="仿宋_GB2312" w:cs="Times New Roman"/>
          <w:i w:val="0"/>
          <w:iCs w:val="0"/>
          <w:caps w:val="0"/>
          <w:color w:val="auto"/>
          <w:spacing w:val="0"/>
          <w:sz w:val="32"/>
          <w:szCs w:val="32"/>
          <w:highlight w:val="none"/>
          <w:u w:val="none" w:color="auto"/>
          <w:lang w:eastAsia="zh-CN"/>
        </w:rPr>
        <w:t>发展先行区</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w:t>
      </w:r>
      <w:r>
        <w:rPr>
          <w:rFonts w:hint="default" w:ascii="Times New Roman" w:hAnsi="Times New Roman" w:eastAsia="仿宋_GB2312" w:cs="Times New Roman"/>
          <w:b/>
          <w:bCs/>
          <w:color w:val="auto"/>
          <w:sz w:val="32"/>
          <w:szCs w:val="32"/>
          <w:highlight w:val="none"/>
          <w:lang w:eastAsia="zh-CN" w:bidi="ar"/>
        </w:rPr>
        <w:t>两业融合发展示范区：</w:t>
      </w:r>
      <w:r>
        <w:rPr>
          <w:rFonts w:hint="default" w:ascii="Times New Roman" w:hAnsi="Times New Roman" w:eastAsia="仿宋_GB2312" w:cs="Times New Roman"/>
          <w:b w:val="0"/>
          <w:bCs w:val="0"/>
          <w:color w:val="auto"/>
          <w:sz w:val="32"/>
          <w:szCs w:val="32"/>
          <w:highlight w:val="none"/>
          <w:lang w:eastAsia="zh-CN" w:bidi="ar"/>
        </w:rPr>
        <w:t>以平定</w:t>
      </w:r>
      <w:r>
        <w:rPr>
          <w:rFonts w:hint="default" w:ascii="Times New Roman" w:hAnsi="Times New Roman" w:eastAsia="仿宋_GB2312" w:cs="Times New Roman"/>
          <w:b w:val="0"/>
          <w:bCs w:val="0"/>
          <w:color w:val="auto"/>
          <w:sz w:val="32"/>
          <w:szCs w:val="32"/>
          <w:highlight w:val="none"/>
          <w:lang w:bidi="ar"/>
        </w:rPr>
        <w:t>经济技术开发区</w:t>
      </w:r>
      <w:r>
        <w:rPr>
          <w:rFonts w:hint="default" w:ascii="Times New Roman" w:hAnsi="Times New Roman" w:eastAsia="仿宋_GB2312" w:cs="Times New Roman"/>
          <w:b w:val="0"/>
          <w:bCs w:val="0"/>
          <w:color w:val="auto"/>
          <w:sz w:val="32"/>
          <w:szCs w:val="32"/>
          <w:highlight w:val="none"/>
          <w:lang w:eastAsia="zh-CN" w:bidi="ar"/>
        </w:rPr>
        <w:t>、盂县经济技术开发区为核心，</w:t>
      </w:r>
      <w:r>
        <w:rPr>
          <w:rFonts w:hint="default" w:ascii="Times New Roman" w:hAnsi="Times New Roman" w:eastAsia="仿宋_GB2312" w:cs="Times New Roman"/>
          <w:b w:val="0"/>
          <w:bCs/>
          <w:color w:val="auto"/>
          <w:sz w:val="32"/>
          <w:szCs w:val="32"/>
          <w:highlight w:val="none"/>
        </w:rPr>
        <w:t>围绕</w:t>
      </w:r>
      <w:r>
        <w:rPr>
          <w:rFonts w:hint="default" w:ascii="Times New Roman" w:hAnsi="Times New Roman" w:eastAsia="仿宋_GB2312" w:cs="Times New Roman"/>
          <w:color w:val="auto"/>
          <w:sz w:val="32"/>
          <w:szCs w:val="32"/>
          <w:highlight w:val="none"/>
          <w:lang w:bidi="ar"/>
        </w:rPr>
        <w:t>智能机械制造</w:t>
      </w:r>
      <w:r>
        <w:rPr>
          <w:rFonts w:hint="default" w:ascii="Times New Roman" w:hAnsi="Times New Roman" w:eastAsia="仿宋_GB2312" w:cs="Times New Roman"/>
          <w:color w:val="auto"/>
          <w:sz w:val="32"/>
          <w:szCs w:val="32"/>
          <w:highlight w:val="none"/>
          <w:lang w:eastAsia="zh-CN" w:bidi="ar"/>
        </w:rPr>
        <w:t>、</w:t>
      </w:r>
      <w:r>
        <w:rPr>
          <w:rFonts w:hint="default" w:ascii="Times New Roman" w:hAnsi="Times New Roman" w:eastAsia="仿宋_GB2312" w:cs="Times New Roman"/>
          <w:color w:val="auto"/>
          <w:sz w:val="32"/>
          <w:szCs w:val="32"/>
          <w:highlight w:val="none"/>
          <w:lang w:bidi="ar"/>
        </w:rPr>
        <w:t>装备制造</w:t>
      </w:r>
      <w:r>
        <w:rPr>
          <w:rFonts w:hint="default" w:ascii="Times New Roman" w:hAnsi="Times New Roman" w:eastAsia="仿宋_GB2312" w:cs="Times New Roman"/>
          <w:color w:val="auto"/>
          <w:sz w:val="32"/>
          <w:szCs w:val="32"/>
          <w:highlight w:val="none"/>
          <w:lang w:eastAsia="zh-CN" w:bidi="ar"/>
        </w:rPr>
        <w:t>、</w:t>
      </w:r>
      <w:r>
        <w:rPr>
          <w:rFonts w:hint="default" w:ascii="Times New Roman" w:hAnsi="Times New Roman" w:eastAsia="仿宋_GB2312" w:cs="Times New Roman"/>
          <w:color w:val="auto"/>
          <w:sz w:val="32"/>
          <w:szCs w:val="32"/>
          <w:highlight w:val="none"/>
          <w:lang w:bidi="ar"/>
        </w:rPr>
        <w:t>陶瓷</w:t>
      </w:r>
      <w:r>
        <w:rPr>
          <w:rFonts w:hint="default" w:ascii="Times New Roman" w:hAnsi="Times New Roman" w:eastAsia="仿宋_GB2312" w:cs="Times New Roman"/>
          <w:color w:val="auto"/>
          <w:sz w:val="32"/>
          <w:szCs w:val="32"/>
          <w:highlight w:val="none"/>
          <w:lang w:eastAsia="zh-CN" w:bidi="ar"/>
        </w:rPr>
        <w:t>、</w:t>
      </w:r>
      <w:r>
        <w:rPr>
          <w:rFonts w:hint="default" w:ascii="Times New Roman" w:hAnsi="Times New Roman" w:eastAsia="仿宋_GB2312" w:cs="Times New Roman"/>
          <w:color w:val="auto"/>
          <w:sz w:val="32"/>
          <w:szCs w:val="32"/>
          <w:highlight w:val="none"/>
          <w:lang w:bidi="ar"/>
        </w:rPr>
        <w:t>功能纤维、气凝胶</w:t>
      </w:r>
      <w:r>
        <w:rPr>
          <w:rFonts w:hint="default" w:ascii="Times New Roman" w:hAnsi="Times New Roman" w:eastAsia="仿宋_GB2312" w:cs="Times New Roman"/>
          <w:color w:val="auto"/>
          <w:sz w:val="32"/>
          <w:szCs w:val="32"/>
          <w:highlight w:val="none"/>
          <w:lang w:eastAsia="zh-CN" w:bidi="ar"/>
        </w:rPr>
        <w:t>等新材料</w:t>
      </w:r>
      <w:r>
        <w:rPr>
          <w:rFonts w:hint="default" w:ascii="Times New Roman" w:hAnsi="Times New Roman" w:eastAsia="仿宋_GB2312" w:cs="Times New Roman"/>
          <w:b w:val="0"/>
          <w:bCs/>
          <w:color w:val="auto"/>
          <w:sz w:val="32"/>
          <w:szCs w:val="32"/>
          <w:highlight w:val="none"/>
        </w:rPr>
        <w:t>制造企业</w:t>
      </w:r>
      <w:r>
        <w:rPr>
          <w:rFonts w:hint="default" w:ascii="Times New Roman" w:hAnsi="Times New Roman" w:eastAsia="仿宋_GB2312" w:cs="Times New Roman"/>
          <w:b w:val="0"/>
          <w:bCs/>
          <w:color w:val="auto"/>
          <w:sz w:val="32"/>
          <w:szCs w:val="32"/>
          <w:highlight w:val="none"/>
          <w:lang w:eastAsia="zh-CN"/>
        </w:rPr>
        <w:t>物流发展</w:t>
      </w:r>
      <w:r>
        <w:rPr>
          <w:rFonts w:hint="default" w:ascii="Times New Roman" w:hAnsi="Times New Roman" w:eastAsia="仿宋_GB2312" w:cs="Times New Roman"/>
          <w:b w:val="0"/>
          <w:bCs/>
          <w:color w:val="auto"/>
          <w:sz w:val="32"/>
          <w:szCs w:val="32"/>
          <w:highlight w:val="none"/>
        </w:rPr>
        <w:t>需求，</w:t>
      </w:r>
      <w:r>
        <w:rPr>
          <w:rFonts w:hint="default" w:ascii="Times New Roman" w:hAnsi="Times New Roman" w:eastAsia="仿宋_GB2312" w:cs="Times New Roman"/>
          <w:b w:val="0"/>
          <w:bCs w:val="0"/>
          <w:color w:val="auto"/>
          <w:spacing w:val="-3"/>
          <w:kern w:val="0"/>
          <w:sz w:val="32"/>
          <w:szCs w:val="32"/>
          <w:highlight w:val="none"/>
          <w:lang w:val="en-US" w:eastAsia="zh-CN" w:bidi="ar"/>
        </w:rPr>
        <w:t>完善</w:t>
      </w:r>
      <w:r>
        <w:rPr>
          <w:rFonts w:hint="default" w:ascii="Times New Roman" w:hAnsi="Times New Roman" w:eastAsia="仿宋_GB2312" w:cs="Times New Roman"/>
          <w:b w:val="0"/>
          <w:bCs/>
          <w:color w:val="auto"/>
          <w:sz w:val="32"/>
          <w:szCs w:val="32"/>
          <w:highlight w:val="none"/>
          <w:lang w:eastAsia="zh-CN"/>
        </w:rPr>
        <w:t>区内</w:t>
      </w:r>
      <w:r>
        <w:rPr>
          <w:rFonts w:hint="default" w:ascii="Times New Roman" w:hAnsi="Times New Roman" w:eastAsia="仿宋_GB2312" w:cs="Times New Roman"/>
          <w:b w:val="0"/>
          <w:bCs w:val="0"/>
          <w:color w:val="auto"/>
          <w:spacing w:val="-3"/>
          <w:kern w:val="0"/>
          <w:sz w:val="32"/>
          <w:szCs w:val="32"/>
          <w:highlight w:val="none"/>
          <w:lang w:val="en-US" w:eastAsia="zh-CN" w:bidi="ar"/>
        </w:rPr>
        <w:t>物流园区规划，</w:t>
      </w:r>
      <w:r>
        <w:rPr>
          <w:rFonts w:hint="default" w:ascii="Times New Roman" w:hAnsi="Times New Roman" w:eastAsia="仿宋_GB2312" w:cs="Times New Roman"/>
          <w:i w:val="0"/>
          <w:caps w:val="0"/>
          <w:color w:val="auto"/>
          <w:spacing w:val="0"/>
          <w:sz w:val="32"/>
          <w:szCs w:val="32"/>
          <w:highlight w:val="none"/>
          <w:u w:val="none" w:color="auto"/>
          <w:lang w:val="en-US" w:eastAsia="zh-CN" w:bidi="ar"/>
        </w:rPr>
        <w:t>配套</w:t>
      </w:r>
      <w:r>
        <w:rPr>
          <w:rFonts w:hint="default" w:ascii="Times New Roman" w:hAnsi="Times New Roman" w:eastAsia="仿宋_GB2312" w:cs="Times New Roman"/>
          <w:color w:val="auto"/>
          <w:kern w:val="2"/>
          <w:sz w:val="32"/>
          <w:szCs w:val="32"/>
          <w:highlight w:val="none"/>
          <w:u w:val="none" w:color="auto"/>
          <w:lang w:val="en-US" w:eastAsia="zh-CN" w:bidi="ar"/>
        </w:rPr>
        <w:t>建设智能化仓储设施，</w:t>
      </w:r>
      <w:r>
        <w:rPr>
          <w:rFonts w:hint="default" w:ascii="Times New Roman" w:hAnsi="Times New Roman" w:eastAsia="仿宋_GB2312" w:cs="Times New Roman"/>
          <w:color w:val="auto"/>
          <w:spacing w:val="0"/>
          <w:sz w:val="32"/>
          <w:szCs w:val="32"/>
          <w:highlight w:val="none"/>
          <w:lang w:val="en-US" w:eastAsia="zh-CN"/>
        </w:rPr>
        <w:t>引导</w:t>
      </w:r>
      <w:r>
        <w:rPr>
          <w:rFonts w:hint="default" w:ascii="Times New Roman" w:hAnsi="Times New Roman" w:eastAsia="仿宋_GB2312" w:cs="Times New Roman"/>
          <w:b w:val="0"/>
          <w:bCs w:val="0"/>
          <w:color w:val="auto"/>
          <w:spacing w:val="-3"/>
          <w:kern w:val="0"/>
          <w:sz w:val="32"/>
          <w:szCs w:val="32"/>
          <w:highlight w:val="none"/>
          <w:lang w:val="en-US" w:eastAsia="zh-CN" w:bidi="ar"/>
        </w:rPr>
        <w:t>物流企业与制造企业应用供应链协同发展模式，</w:t>
      </w:r>
      <w:r>
        <w:rPr>
          <w:rFonts w:hint="default" w:ascii="Times New Roman" w:hAnsi="Times New Roman" w:eastAsia="仿宋_GB2312" w:cs="Times New Roman"/>
          <w:color w:val="auto"/>
          <w:sz w:val="32"/>
          <w:szCs w:val="32"/>
          <w:highlight w:val="none"/>
          <w:lang w:eastAsia="zh-CN" w:bidi="ar"/>
        </w:rPr>
        <w:t>推动制造业和物流业融合发展</w:t>
      </w:r>
      <w:r>
        <w:rPr>
          <w:rFonts w:hint="default" w:ascii="Times New Roman" w:hAnsi="Times New Roman" w:eastAsia="仿宋_GB2312" w:cs="Times New Roman"/>
          <w:color w:val="auto"/>
          <w:spacing w:val="-3"/>
          <w:sz w:val="32"/>
          <w:szCs w:val="32"/>
          <w:highlight w:val="none"/>
          <w:lang w:eastAsia="zh-CN" w:bidi="ar"/>
        </w:rPr>
        <w:t>；</w:t>
      </w:r>
      <w:r>
        <w:rPr>
          <w:rFonts w:hint="default" w:ascii="Times New Roman" w:hAnsi="Times New Roman" w:eastAsia="仿宋_GB2312" w:cs="Times New Roman"/>
          <w:b/>
          <w:bCs/>
          <w:i w:val="0"/>
          <w:iCs w:val="0"/>
          <w:caps w:val="0"/>
          <w:color w:val="auto"/>
          <w:spacing w:val="-3"/>
          <w:sz w:val="32"/>
          <w:szCs w:val="32"/>
          <w:highlight w:val="none"/>
          <w:u w:val="none"/>
        </w:rPr>
        <w:t>绿色物流发展</w:t>
      </w:r>
      <w:r>
        <w:rPr>
          <w:rFonts w:hint="default" w:ascii="Times New Roman" w:hAnsi="Times New Roman" w:eastAsia="仿宋_GB2312" w:cs="Times New Roman"/>
          <w:b/>
          <w:bCs/>
          <w:i w:val="0"/>
          <w:iCs w:val="0"/>
          <w:caps w:val="0"/>
          <w:color w:val="auto"/>
          <w:spacing w:val="-3"/>
          <w:sz w:val="32"/>
          <w:szCs w:val="32"/>
          <w:highlight w:val="none"/>
          <w:u w:val="none"/>
          <w:lang w:eastAsia="zh-CN"/>
        </w:rPr>
        <w:t>试验</w:t>
      </w:r>
      <w:r>
        <w:rPr>
          <w:rFonts w:hint="default" w:ascii="Times New Roman" w:hAnsi="Times New Roman" w:eastAsia="仿宋_GB2312" w:cs="Times New Roman"/>
          <w:b/>
          <w:bCs/>
          <w:i w:val="0"/>
          <w:iCs w:val="0"/>
          <w:caps w:val="0"/>
          <w:color w:val="auto"/>
          <w:spacing w:val="-3"/>
          <w:sz w:val="32"/>
          <w:szCs w:val="32"/>
          <w:highlight w:val="none"/>
          <w:u w:val="none"/>
        </w:rPr>
        <w:t>区</w:t>
      </w:r>
      <w:r>
        <w:rPr>
          <w:rFonts w:hint="default" w:ascii="Times New Roman" w:hAnsi="Times New Roman" w:eastAsia="仿宋_GB2312" w:cs="Times New Roman"/>
          <w:b/>
          <w:bCs/>
          <w:color w:val="auto"/>
          <w:spacing w:val="-3"/>
          <w:sz w:val="32"/>
          <w:szCs w:val="32"/>
          <w:highlight w:val="none"/>
          <w:lang w:eastAsia="zh-CN" w:bidi="ar"/>
        </w:rPr>
        <w:t>：</w:t>
      </w:r>
      <w:r>
        <w:rPr>
          <w:rFonts w:hint="default" w:ascii="Times New Roman" w:hAnsi="Times New Roman" w:eastAsia="仿宋_GB2312" w:cs="Times New Roman"/>
          <w:b w:val="0"/>
          <w:bCs w:val="0"/>
          <w:color w:val="auto"/>
          <w:sz w:val="32"/>
          <w:szCs w:val="32"/>
          <w:highlight w:val="none"/>
          <w:lang w:eastAsia="zh-CN"/>
        </w:rPr>
        <w:t>以城区、矿区、郊区近郊为主要区域，</w:t>
      </w:r>
      <w:r>
        <w:rPr>
          <w:rFonts w:hint="default" w:ascii="Times New Roman" w:hAnsi="Times New Roman" w:eastAsia="仿宋_GB2312" w:cs="Times New Roman"/>
          <w:snapToGrid w:val="0"/>
          <w:color w:val="auto"/>
          <w:spacing w:val="0"/>
          <w:sz w:val="32"/>
          <w:szCs w:val="32"/>
          <w:highlight w:val="none"/>
          <w:lang w:val="en-US" w:eastAsia="zh-CN"/>
        </w:rPr>
        <w:t>以天成物流、合瑞源等铁路货运物流企业为主体，深化“公转铁”运输结构调整，</w:t>
      </w:r>
      <w:r>
        <w:rPr>
          <w:rFonts w:hint="default" w:ascii="Times New Roman" w:hAnsi="Times New Roman" w:eastAsia="仿宋_GB2312" w:cs="Times New Roman"/>
          <w:b w:val="0"/>
          <w:bCs w:val="0"/>
          <w:color w:val="auto"/>
          <w:spacing w:val="-3"/>
          <w:sz w:val="32"/>
          <w:szCs w:val="32"/>
          <w:highlight w:val="none"/>
          <w:lang w:val="en-US" w:eastAsia="zh-CN" w:bidi="ar"/>
        </w:rPr>
        <w:t>优化公路货运站场布局，引导货运站场向中心城区外围地区发展，同步</w:t>
      </w:r>
      <w:r>
        <w:rPr>
          <w:rFonts w:hint="default" w:ascii="Times New Roman" w:hAnsi="Times New Roman" w:eastAsia="仿宋_GB2312" w:cs="Times New Roman"/>
          <w:i w:val="0"/>
          <w:iCs w:val="0"/>
          <w:caps w:val="0"/>
          <w:color w:val="auto"/>
          <w:spacing w:val="-3"/>
          <w:sz w:val="32"/>
          <w:szCs w:val="32"/>
          <w:highlight w:val="none"/>
          <w:shd w:val="clear" w:fill="FFFFFF"/>
        </w:rPr>
        <w:t>开展绿色货运配送示范工程，</w:t>
      </w:r>
      <w:r>
        <w:rPr>
          <w:rFonts w:hint="default" w:ascii="Times New Roman" w:hAnsi="Times New Roman" w:eastAsia="仿宋_GB2312" w:cs="Times New Roman"/>
          <w:b w:val="0"/>
          <w:bCs w:val="0"/>
          <w:color w:val="auto"/>
          <w:spacing w:val="-3"/>
          <w:sz w:val="32"/>
          <w:szCs w:val="32"/>
          <w:highlight w:val="none"/>
          <w:lang w:val="en-US" w:eastAsia="zh-CN" w:bidi="ar"/>
        </w:rPr>
        <w:t>大力推进绿色仓储、绿色包装、回收循环物流发展。</w:t>
      </w:r>
    </w:p>
    <w:p>
      <w:pPr>
        <w:pStyle w:val="15"/>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firstLine="556" w:firstLineChars="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多节点。</w:t>
      </w:r>
      <w:r>
        <w:rPr>
          <w:rFonts w:hint="default" w:ascii="Times New Roman" w:hAnsi="Times New Roman" w:eastAsia="仿宋_GB2312" w:cs="Times New Roman"/>
          <w:b w:val="0"/>
          <w:bCs w:val="0"/>
          <w:color w:val="auto"/>
          <w:sz w:val="32"/>
          <w:szCs w:val="32"/>
          <w:highlight w:val="none"/>
          <w:lang w:eastAsia="zh-CN"/>
        </w:rPr>
        <w:t>加快</w:t>
      </w:r>
      <w:r>
        <w:rPr>
          <w:rFonts w:hint="default" w:ascii="Times New Roman" w:hAnsi="Times New Roman" w:eastAsia="仿宋_GB2312" w:cs="Times New Roman"/>
          <w:color w:val="auto"/>
          <w:sz w:val="32"/>
          <w:szCs w:val="32"/>
          <w:highlight w:val="none"/>
          <w:u w:val="none" w:color="auto"/>
          <w:lang w:eastAsia="zh-CN"/>
        </w:rPr>
        <w:t>建设</w:t>
      </w:r>
      <w:r>
        <w:rPr>
          <w:rFonts w:hint="eastAsia" w:ascii="Times New Roman" w:hAnsi="Times New Roman" w:eastAsia="仿宋_GB2312" w:cs="Times New Roman"/>
          <w:color w:val="auto"/>
          <w:sz w:val="32"/>
          <w:szCs w:val="32"/>
          <w:highlight w:val="none"/>
          <w:u w:val="none" w:color="auto"/>
          <w:lang w:eastAsia="zh-CN"/>
        </w:rPr>
        <w:t>高新区智慧物流产业园、</w:t>
      </w:r>
      <w:r>
        <w:rPr>
          <w:rFonts w:hint="default" w:ascii="Times New Roman" w:hAnsi="Times New Roman" w:eastAsia="仿宋_GB2312" w:cs="Times New Roman"/>
          <w:color w:val="auto"/>
          <w:sz w:val="32"/>
          <w:szCs w:val="32"/>
          <w:highlight w:val="none"/>
          <w:u w:val="none" w:color="auto"/>
        </w:rPr>
        <w:t>阳泉农产品批发市场配套物流园、</w:t>
      </w:r>
      <w:r>
        <w:rPr>
          <w:rFonts w:hint="eastAsia" w:ascii="Times New Roman" w:hAnsi="Times New Roman" w:eastAsia="仿宋_GB2312" w:cs="Times New Roman"/>
          <w:color w:val="auto"/>
          <w:sz w:val="32"/>
          <w:szCs w:val="32"/>
          <w:highlight w:val="none"/>
          <w:u w:val="none" w:color="auto"/>
          <w:lang w:eastAsia="zh-CN"/>
        </w:rPr>
        <w:t>城南冷链</w:t>
      </w:r>
      <w:r>
        <w:rPr>
          <w:rFonts w:hint="default" w:ascii="Times New Roman" w:hAnsi="Times New Roman" w:eastAsia="仿宋_GB2312" w:cs="Times New Roman"/>
          <w:color w:val="auto"/>
          <w:sz w:val="32"/>
          <w:szCs w:val="32"/>
          <w:highlight w:val="none"/>
          <w:u w:val="none" w:color="auto"/>
        </w:rPr>
        <w:t>物流</w:t>
      </w:r>
      <w:r>
        <w:rPr>
          <w:rFonts w:hint="eastAsia" w:ascii="Times New Roman" w:hAnsi="Times New Roman" w:eastAsia="仿宋_GB2312" w:cs="Times New Roman"/>
          <w:color w:val="auto"/>
          <w:sz w:val="32"/>
          <w:szCs w:val="32"/>
          <w:highlight w:val="none"/>
          <w:u w:val="none" w:color="auto"/>
          <w:lang w:eastAsia="zh-CN"/>
        </w:rPr>
        <w:t>产业</w:t>
      </w:r>
      <w:r>
        <w:rPr>
          <w:rFonts w:hint="default" w:ascii="Times New Roman" w:hAnsi="Times New Roman" w:eastAsia="仿宋_GB2312" w:cs="Times New Roman"/>
          <w:color w:val="auto"/>
          <w:sz w:val="32"/>
          <w:szCs w:val="32"/>
          <w:highlight w:val="none"/>
          <w:u w:val="none" w:color="auto"/>
        </w:rPr>
        <w:t>园等</w:t>
      </w:r>
      <w:r>
        <w:rPr>
          <w:rFonts w:hint="default" w:ascii="Times New Roman" w:hAnsi="Times New Roman" w:eastAsia="仿宋_GB2312" w:cs="Times New Roman"/>
          <w:color w:val="auto"/>
          <w:sz w:val="32"/>
          <w:szCs w:val="32"/>
          <w:highlight w:val="none"/>
          <w:u w:val="none" w:color="auto"/>
          <w:lang w:eastAsia="zh-CN"/>
        </w:rPr>
        <w:t>园区，规划新建</w:t>
      </w:r>
      <w:r>
        <w:rPr>
          <w:rFonts w:hint="default" w:ascii="Times New Roman" w:hAnsi="Times New Roman" w:eastAsia="仿宋_GB2312" w:cs="Times New Roman"/>
          <w:color w:val="auto"/>
          <w:sz w:val="32"/>
          <w:szCs w:val="32"/>
          <w:highlight w:val="none"/>
          <w:lang w:val="en-US" w:eastAsia="zh-CN"/>
        </w:rPr>
        <w:t>娘子关、石门口、张庄、下社、南娄等公路货运站，</w:t>
      </w:r>
      <w:r>
        <w:rPr>
          <w:rFonts w:hint="default" w:ascii="Times New Roman" w:hAnsi="Times New Roman" w:eastAsia="仿宋_GB2312" w:cs="Times New Roman"/>
          <w:color w:val="auto"/>
          <w:sz w:val="32"/>
          <w:szCs w:val="32"/>
          <w:highlight w:val="none"/>
        </w:rPr>
        <w:t>完善</w:t>
      </w:r>
      <w:r>
        <w:rPr>
          <w:rFonts w:hint="default" w:ascii="Times New Roman" w:hAnsi="Times New Roman" w:eastAsia="仿宋_GB2312" w:cs="Times New Roman"/>
          <w:color w:val="auto"/>
          <w:sz w:val="32"/>
          <w:szCs w:val="32"/>
          <w:highlight w:val="none"/>
          <w:lang w:eastAsia="zh-CN"/>
        </w:rPr>
        <w:t>周边</w:t>
      </w:r>
      <w:r>
        <w:rPr>
          <w:rFonts w:hint="default" w:ascii="Times New Roman" w:hAnsi="Times New Roman" w:eastAsia="仿宋_GB2312" w:cs="Times New Roman"/>
          <w:b w:val="0"/>
          <w:bCs w:val="0"/>
          <w:color w:val="auto"/>
          <w:sz w:val="32"/>
          <w:szCs w:val="32"/>
          <w:highlight w:val="none"/>
          <w:lang w:val="en-US" w:eastAsia="zh-CN"/>
        </w:rPr>
        <w:t>生活物流配送点和乡村物流快递取送点布局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打造</w:t>
      </w:r>
      <w:r>
        <w:rPr>
          <w:rFonts w:hint="eastAsia" w:ascii="Times New Roman" w:hAnsi="Times New Roman" w:eastAsia="仿宋_GB2312" w:cs="Times New Roman"/>
          <w:color w:val="auto"/>
          <w:sz w:val="32"/>
          <w:szCs w:val="32"/>
          <w:highlight w:val="none"/>
          <w:lang w:eastAsia="zh-CN"/>
        </w:rPr>
        <w:t>各县区主要乡镇</w:t>
      </w:r>
      <w:r>
        <w:rPr>
          <w:rFonts w:hint="default" w:ascii="Times New Roman" w:hAnsi="Times New Roman" w:eastAsia="仿宋_GB2312" w:cs="Times New Roman"/>
          <w:color w:val="auto"/>
          <w:sz w:val="32"/>
          <w:szCs w:val="32"/>
          <w:highlight w:val="none"/>
          <w:lang w:val="en-US" w:eastAsia="zh-CN"/>
        </w:rPr>
        <w:t>物流节点，</w:t>
      </w:r>
      <w:r>
        <w:rPr>
          <w:rFonts w:hint="default" w:ascii="Times New Roman" w:hAnsi="Times New Roman" w:eastAsia="仿宋_GB2312" w:cs="Times New Roman"/>
          <w:color w:val="auto"/>
          <w:sz w:val="32"/>
          <w:szCs w:val="32"/>
          <w:highlight w:val="none"/>
        </w:rPr>
        <w:t>形成功能互补、联动发展的物流格局。</w:t>
      </w:r>
      <w:bookmarkEnd w:id="329"/>
      <w:bookmarkEnd w:id="330"/>
      <w:bookmarkEnd w:id="331"/>
      <w:bookmarkStart w:id="350" w:name="_Toc10523"/>
      <w:bookmarkStart w:id="351" w:name="_Toc15592"/>
      <w:bookmarkStart w:id="352" w:name="_Toc15506"/>
      <w:bookmarkStart w:id="353" w:name="_Toc13552"/>
      <w:bookmarkStart w:id="354" w:name="_Toc20321"/>
      <w:bookmarkStart w:id="355" w:name="_Toc17435"/>
      <w:bookmarkStart w:id="356" w:name="_Toc4368"/>
      <w:bookmarkStart w:id="357" w:name="_Toc28555"/>
      <w:bookmarkStart w:id="358" w:name="_Toc12775"/>
      <w:bookmarkStart w:id="359" w:name="_Toc6137"/>
    </w:p>
    <w:p>
      <w:pPr>
        <w:rPr>
          <w:rFonts w:hint="default"/>
          <w:lang w:val="en-US" w:eastAsia="zh-CN"/>
        </w:rPr>
      </w:pPr>
      <w:r>
        <w:rPr>
          <w:rFonts w:hint="default" w:ascii="Times New Roman" w:hAnsi="Times New Roman" w:cs="Times New Roman" w:eastAsiaTheme="minorEastAsia"/>
          <w:b/>
          <w:bCs/>
          <w:color w:val="auto"/>
          <w:kern w:val="2"/>
          <w:sz w:val="28"/>
          <w:szCs w:val="28"/>
          <w:highlight w:val="none"/>
          <w:lang w:eastAsia="zh-CN" w:bidi="ar-SA"/>
        </w:rPr>
        <w:drawing>
          <wp:inline distT="0" distB="0" distL="114300" distR="114300">
            <wp:extent cx="5413375" cy="6720205"/>
            <wp:effectExtent l="0" t="0" r="15875" b="4445"/>
            <wp:docPr id="3" name="图片 3" descr="微信图片_202202091647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20209164708"/>
                    <pic:cNvPicPr>
                      <a:picLocks noChangeAspect="true"/>
                    </pic:cNvPicPr>
                  </pic:nvPicPr>
                  <pic:blipFill>
                    <a:blip r:embed="rId11"/>
                    <a:stretch>
                      <a:fillRect/>
                    </a:stretch>
                  </pic:blipFill>
                  <pic:spPr>
                    <a:xfrm>
                      <a:off x="0" y="0"/>
                      <a:ext cx="5413375" cy="67202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黑体" w:cs="Times New Roman"/>
          <w:b w:val="0"/>
          <w:bCs w:val="0"/>
          <w:color w:val="auto"/>
          <w:sz w:val="32"/>
          <w:szCs w:val="32"/>
          <w:highlight w:val="none"/>
          <w:lang w:val="en-US" w:eastAsia="zh-CN"/>
        </w:rPr>
      </w:pPr>
      <w:bookmarkStart w:id="360" w:name="_Toc23850"/>
      <w:bookmarkStart w:id="361" w:name="_Toc26953"/>
      <w:bookmarkStart w:id="362" w:name="_Toc26328"/>
      <w:bookmarkStart w:id="363" w:name="_Toc28131"/>
      <w:bookmarkStart w:id="364" w:name="_Toc12123"/>
      <w:bookmarkStart w:id="365" w:name="_Toc5865"/>
      <w:bookmarkStart w:id="366" w:name="_Toc16650"/>
      <w:bookmarkStart w:id="367" w:name="_Toc31443"/>
      <w:bookmarkStart w:id="368" w:name="_Toc10958"/>
      <w:bookmarkStart w:id="369" w:name="_Toc24642"/>
      <w:bookmarkStart w:id="370" w:name="_Toc4716"/>
      <w:bookmarkStart w:id="371" w:name="_Toc3929"/>
      <w:bookmarkStart w:id="372" w:name="_Toc26250"/>
      <w:bookmarkStart w:id="373" w:name="_Toc23421"/>
      <w:bookmarkStart w:id="374" w:name="_Toc6033"/>
      <w:r>
        <w:rPr>
          <w:rFonts w:hint="default" w:ascii="Times New Roman" w:hAnsi="Times New Roman" w:cs="Times New Roman" w:eastAsiaTheme="minorEastAsia"/>
          <w:b/>
          <w:bCs/>
          <w:color w:val="auto"/>
          <w:kern w:val="2"/>
          <w:sz w:val="28"/>
          <w:szCs w:val="28"/>
          <w:highlight w:val="none"/>
          <w:lang w:eastAsia="zh-CN" w:bidi="ar-SA"/>
        </w:rPr>
        <w:t>图</w:t>
      </w:r>
      <w:r>
        <w:rPr>
          <w:rFonts w:hint="default" w:ascii="Times New Roman" w:hAnsi="Times New Roman" w:cs="Times New Roman" w:eastAsiaTheme="minorEastAsia"/>
          <w:b/>
          <w:bCs/>
          <w:color w:val="auto"/>
          <w:kern w:val="2"/>
          <w:sz w:val="28"/>
          <w:szCs w:val="28"/>
          <w:highlight w:val="none"/>
          <w:lang w:val="en-US" w:eastAsia="zh-CN" w:bidi="ar-SA"/>
        </w:rPr>
        <w:t xml:space="preserve">2-1  </w:t>
      </w:r>
      <w:r>
        <w:rPr>
          <w:rFonts w:hint="default" w:ascii="Times New Roman" w:hAnsi="Times New Roman" w:cs="Times New Roman"/>
          <w:b/>
          <w:bCs/>
          <w:color w:val="auto"/>
          <w:kern w:val="2"/>
          <w:sz w:val="28"/>
          <w:szCs w:val="28"/>
          <w:highlight w:val="none"/>
          <w:lang w:val="en-US" w:eastAsia="zh-CN" w:bidi="ar-SA"/>
        </w:rPr>
        <w:t>“十四五”</w:t>
      </w:r>
      <w:r>
        <w:rPr>
          <w:rFonts w:hint="default" w:ascii="Times New Roman" w:hAnsi="Times New Roman" w:cs="Times New Roman" w:eastAsiaTheme="minorEastAsia"/>
          <w:b/>
          <w:bCs/>
          <w:color w:val="auto"/>
          <w:kern w:val="2"/>
          <w:sz w:val="28"/>
          <w:szCs w:val="28"/>
          <w:highlight w:val="none"/>
          <w:lang w:val="en-US" w:eastAsia="zh-CN" w:bidi="ar-SA"/>
        </w:rPr>
        <w:t>阳泉市物流发展空间布局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黑体" w:cs="Times New Roman"/>
          <w:b w:val="0"/>
          <w:bCs w:val="0"/>
          <w:color w:val="auto"/>
          <w:sz w:val="32"/>
          <w:szCs w:val="32"/>
          <w:highlight w:val="none"/>
          <w:lang w:val="en-US" w:eastAsia="zh-CN"/>
        </w:rPr>
        <w:t>三、</w:t>
      </w:r>
      <w:bookmarkEnd w:id="350"/>
      <w:bookmarkEnd w:id="351"/>
      <w:bookmarkEnd w:id="352"/>
      <w:bookmarkEnd w:id="353"/>
      <w:bookmarkEnd w:id="354"/>
      <w:bookmarkStart w:id="375" w:name="_Toc6086"/>
      <w:bookmarkStart w:id="376" w:name="_Toc20675"/>
      <w:bookmarkStart w:id="377" w:name="_Toc14994"/>
      <w:bookmarkStart w:id="378" w:name="_Toc32071"/>
      <w:bookmarkStart w:id="379" w:name="_Toc15980"/>
      <w:r>
        <w:rPr>
          <w:rFonts w:hint="default" w:ascii="Times New Roman" w:hAnsi="Times New Roman" w:eastAsia="黑体" w:cs="Times New Roman"/>
          <w:b w:val="0"/>
          <w:bCs w:val="0"/>
          <w:color w:val="auto"/>
          <w:sz w:val="32"/>
          <w:szCs w:val="32"/>
          <w:highlight w:val="none"/>
          <w:lang w:val="en-US" w:eastAsia="zh-CN"/>
        </w:rPr>
        <w:t>统筹推进物流综合运输网络建设</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outlineLvl w:val="9"/>
        <w:rPr>
          <w:rFonts w:hint="default" w:ascii="Times New Roman" w:hAnsi="Times New Roman" w:eastAsia="仿宋_GB2312" w:cs="Times New Roman"/>
          <w:b w:val="0"/>
          <w:bCs w:val="0"/>
          <w:color w:val="auto"/>
          <w:spacing w:val="0"/>
          <w:sz w:val="32"/>
          <w:szCs w:val="32"/>
          <w:highlight w:val="none"/>
          <w:u w:val="none" w:color="auto"/>
          <w:lang w:val="en-US" w:eastAsia="zh-CN"/>
        </w:rPr>
      </w:pPr>
      <w:r>
        <w:rPr>
          <w:rFonts w:hint="default" w:ascii="Times New Roman" w:hAnsi="Times New Roman" w:eastAsia="仿宋_GB2312" w:cs="Times New Roman"/>
          <w:b w:val="0"/>
          <w:bCs w:val="0"/>
          <w:color w:val="auto"/>
          <w:spacing w:val="0"/>
          <w:sz w:val="32"/>
          <w:szCs w:val="32"/>
          <w:highlight w:val="none"/>
          <w:u w:val="none" w:color="auto"/>
          <w:lang w:val="en-US" w:eastAsia="zh-CN"/>
        </w:rPr>
        <w:t>升级改造存量基础设施，加快建立以高速公路、高速铁路和常规铁路为骨干，以国道、省道为支撑的综合运输通道格局，打造辐射区域更广、集聚效应更强、服务功能更优、运行效率更高的物流基础设施网络。</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2" w:firstLineChars="200"/>
        <w:jc w:val="left"/>
        <w:textAlignment w:val="auto"/>
        <w:outlineLvl w:val="1"/>
        <w:rPr>
          <w:rFonts w:hint="default" w:ascii="Times New Roman" w:hAnsi="Times New Roman" w:eastAsia="楷体_GB2312" w:cs="Times New Roman"/>
          <w:b/>
          <w:bCs/>
          <w:color w:val="auto"/>
          <w:kern w:val="2"/>
          <w:sz w:val="32"/>
          <w:szCs w:val="32"/>
          <w:highlight w:val="none"/>
          <w:u w:val="none" w:color="auto"/>
          <w:lang w:val="en-US" w:eastAsia="zh-CN" w:bidi="ar-SA"/>
        </w:rPr>
      </w:pPr>
      <w:bookmarkStart w:id="380" w:name="_Toc27748"/>
      <w:bookmarkStart w:id="381" w:name="_Toc9959"/>
      <w:bookmarkStart w:id="382" w:name="_Toc16338"/>
      <w:bookmarkStart w:id="383" w:name="_Toc28595"/>
      <w:bookmarkStart w:id="384" w:name="_Toc26946"/>
      <w:bookmarkStart w:id="385" w:name="_Toc19044"/>
      <w:bookmarkStart w:id="386" w:name="_Toc30787"/>
      <w:bookmarkStart w:id="387" w:name="_Toc2869"/>
      <w:bookmarkStart w:id="388" w:name="_Toc2192"/>
      <w:bookmarkStart w:id="389" w:name="_Toc27433"/>
      <w:bookmarkStart w:id="390" w:name="_Toc28001"/>
      <w:bookmarkStart w:id="391" w:name="_Toc20534"/>
      <w:bookmarkStart w:id="392" w:name="_Toc30761"/>
      <w:bookmarkStart w:id="393" w:name="_Toc5397"/>
      <w:bookmarkStart w:id="394" w:name="_Toc13384"/>
      <w:bookmarkStart w:id="395" w:name="_Toc28700"/>
      <w:bookmarkStart w:id="396" w:name="_Toc16053"/>
      <w:bookmarkStart w:id="397" w:name="_Toc32193"/>
      <w:bookmarkStart w:id="398" w:name="_Toc11040"/>
      <w:bookmarkStart w:id="399" w:name="_Toc27012"/>
      <w:bookmarkStart w:id="400" w:name="_Toc20436"/>
      <w:bookmarkStart w:id="401" w:name="_Toc23809"/>
      <w:bookmarkStart w:id="402" w:name="_Toc31852"/>
      <w:bookmarkStart w:id="403" w:name="_Toc2236"/>
      <w:bookmarkStart w:id="404" w:name="_Toc8153"/>
      <w:r>
        <w:rPr>
          <w:rFonts w:hint="default" w:ascii="Times New Roman" w:hAnsi="Times New Roman" w:eastAsia="楷体_GB2312" w:cs="Times New Roman"/>
          <w:b/>
          <w:bCs/>
          <w:color w:val="auto"/>
          <w:spacing w:val="0"/>
          <w:sz w:val="32"/>
          <w:szCs w:val="32"/>
          <w:highlight w:val="none"/>
          <w:u w:val="none" w:color="auto"/>
          <w:lang w:val="en-US" w:eastAsia="zh-CN"/>
        </w:rPr>
        <w:t>（一）</w:t>
      </w:r>
      <w:r>
        <w:rPr>
          <w:rFonts w:hint="default" w:ascii="Times New Roman" w:hAnsi="Times New Roman" w:eastAsia="楷体_GB2312" w:cs="Times New Roman"/>
          <w:b/>
          <w:bCs/>
          <w:color w:val="auto"/>
          <w:spacing w:val="0"/>
          <w:sz w:val="32"/>
          <w:szCs w:val="32"/>
          <w:highlight w:val="none"/>
          <w:u w:val="none" w:color="auto"/>
          <w:lang w:val="en-US" w:eastAsia="zh-CN"/>
        </w:rPr>
        <w:fldChar w:fldCharType="begin"/>
      </w:r>
      <w:r>
        <w:rPr>
          <w:rFonts w:hint="default" w:ascii="Times New Roman" w:hAnsi="Times New Roman" w:eastAsia="楷体_GB2312" w:cs="Times New Roman"/>
          <w:b/>
          <w:bCs/>
          <w:color w:val="auto"/>
          <w:spacing w:val="0"/>
          <w:sz w:val="32"/>
          <w:szCs w:val="32"/>
          <w:highlight w:val="none"/>
          <w:u w:val="none" w:color="auto"/>
          <w:lang w:val="en-US" w:eastAsia="zh-CN"/>
        </w:rPr>
        <w:instrText xml:space="preserve"> HYPERLINK \l "_Toc532807622" </w:instrText>
      </w:r>
      <w:r>
        <w:rPr>
          <w:rFonts w:hint="default" w:ascii="Times New Roman" w:hAnsi="Times New Roman" w:eastAsia="楷体_GB2312" w:cs="Times New Roman"/>
          <w:b/>
          <w:bCs/>
          <w:color w:val="auto"/>
          <w:spacing w:val="0"/>
          <w:sz w:val="32"/>
          <w:szCs w:val="32"/>
          <w:highlight w:val="none"/>
          <w:u w:val="none" w:color="auto"/>
          <w:lang w:val="en-US" w:eastAsia="zh-CN"/>
        </w:rPr>
        <w:fldChar w:fldCharType="separate"/>
      </w:r>
      <w:r>
        <w:rPr>
          <w:rFonts w:hint="default" w:ascii="Times New Roman" w:hAnsi="Times New Roman" w:eastAsia="楷体_GB2312" w:cs="Times New Roman"/>
          <w:b/>
          <w:bCs/>
          <w:color w:val="auto"/>
          <w:spacing w:val="0"/>
          <w:sz w:val="32"/>
          <w:szCs w:val="32"/>
          <w:highlight w:val="none"/>
          <w:u w:val="none" w:color="auto"/>
          <w:lang w:val="en-US" w:eastAsia="zh-CN"/>
        </w:rPr>
        <w:t>加强铁路物流大通道建设</w:t>
      </w:r>
      <w:r>
        <w:rPr>
          <w:rFonts w:hint="default" w:ascii="Times New Roman" w:hAnsi="Times New Roman" w:eastAsia="楷体_GB2312" w:cs="Times New Roman"/>
          <w:b/>
          <w:bCs/>
          <w:color w:val="auto"/>
          <w:spacing w:val="0"/>
          <w:sz w:val="32"/>
          <w:szCs w:val="32"/>
          <w:highlight w:val="none"/>
          <w:u w:val="none" w:color="auto"/>
          <w:lang w:val="en-US" w:eastAsia="zh-CN"/>
        </w:rPr>
        <w:fldChar w:fldCharType="end"/>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keepNext w:val="0"/>
        <w:keepLines w:val="0"/>
        <w:pageBreakBefore w:val="0"/>
        <w:widowControl w:val="0"/>
        <w:kinsoku/>
        <w:wordWrap/>
        <w:overflowPunct/>
        <w:topLinePunct w:val="0"/>
        <w:autoSpaceDE/>
        <w:autoSpaceDN/>
        <w:bidi w:val="0"/>
        <w:adjustRightInd/>
        <w:snapToGrid/>
        <w:spacing w:line="600" w:lineRule="exact"/>
        <w:ind w:firstLine="641"/>
        <w:rPr>
          <w:rFonts w:hint="default" w:ascii="Times New Roman" w:hAnsi="Times New Roman" w:eastAsia="仿宋_GB2312" w:cs="Times New Roman"/>
          <w:b w:val="0"/>
          <w:bCs w:val="0"/>
          <w:snapToGrid w:val="0"/>
          <w:color w:val="auto"/>
          <w:kern w:val="0"/>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紧紧抓住我市获批“交通强国”建设试点机遇，积极推进</w:t>
      </w:r>
      <w:r>
        <w:rPr>
          <w:rFonts w:hint="default" w:ascii="Times New Roman" w:hAnsi="Times New Roman" w:eastAsia="仿宋_GB2312" w:cs="Times New Roman"/>
          <w:b w:val="0"/>
          <w:bCs w:val="0"/>
          <w:color w:val="auto"/>
          <w:sz w:val="32"/>
          <w:szCs w:val="32"/>
          <w:highlight w:val="none"/>
        </w:rPr>
        <w:t>铁路通道建设</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重点</w:t>
      </w:r>
      <w:r>
        <w:rPr>
          <w:rFonts w:hint="default" w:ascii="Times New Roman" w:hAnsi="Times New Roman" w:eastAsia="仿宋_GB2312" w:cs="Times New Roman"/>
          <w:color w:val="auto"/>
          <w:sz w:val="32"/>
          <w:szCs w:val="32"/>
          <w:highlight w:val="none"/>
        </w:rPr>
        <w:t>构建</w:t>
      </w:r>
      <w:r>
        <w:rPr>
          <w:rFonts w:hint="default" w:ascii="Times New Roman" w:hAnsi="Times New Roman" w:eastAsia="仿宋_GB2312" w:cs="Times New Roman"/>
          <w:color w:val="auto"/>
          <w:sz w:val="32"/>
          <w:szCs w:val="32"/>
          <w:highlight w:val="none"/>
          <w:lang w:eastAsia="zh-CN"/>
        </w:rPr>
        <w:t>以</w:t>
      </w:r>
      <w:r>
        <w:rPr>
          <w:rFonts w:hint="default" w:ascii="Times New Roman" w:hAnsi="Times New Roman" w:eastAsia="仿宋_GB2312" w:cs="Times New Roman"/>
          <w:color w:val="auto"/>
          <w:sz w:val="32"/>
          <w:szCs w:val="32"/>
          <w:highlight w:val="none"/>
        </w:rPr>
        <w:t>朔黄铁路、石太铁路为东西走向</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阳涉铁路和白荫铁路为南北走向的“</w:t>
      </w:r>
      <w:r>
        <w:rPr>
          <w:rFonts w:hint="default" w:ascii="Times New Roman" w:hAnsi="Times New Roman" w:eastAsia="仿宋_GB2312" w:cs="Times New Roman"/>
          <w:color w:val="auto"/>
          <w:sz w:val="32"/>
          <w:szCs w:val="32"/>
          <w:highlight w:val="none"/>
          <w:lang w:eastAsia="zh-CN"/>
        </w:rPr>
        <w:t>丰字型</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通道</w:t>
      </w:r>
      <w:r>
        <w:rPr>
          <w:rFonts w:hint="default" w:ascii="Times New Roman" w:hAnsi="Times New Roman" w:eastAsia="仿宋_GB2312" w:cs="Times New Roman"/>
          <w:color w:val="auto"/>
          <w:sz w:val="32"/>
          <w:szCs w:val="32"/>
          <w:highlight w:val="none"/>
        </w:rPr>
        <w:t>体系</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实施</w:t>
      </w:r>
      <w:r>
        <w:rPr>
          <w:rFonts w:hint="default" w:ascii="Times New Roman" w:hAnsi="Times New Roman" w:eastAsia="仿宋_GB2312" w:cs="Times New Roman"/>
          <w:b w:val="0"/>
          <w:bCs w:val="0"/>
          <w:color w:val="auto"/>
          <w:sz w:val="32"/>
          <w:szCs w:val="32"/>
          <w:highlight w:val="none"/>
          <w:lang w:eastAsia="zh-CN"/>
        </w:rPr>
        <w:t>阳涉铁路电气化改造，</w:t>
      </w:r>
      <w:r>
        <w:rPr>
          <w:rFonts w:hint="default" w:ascii="Times New Roman" w:hAnsi="Times New Roman" w:eastAsia="仿宋_GB2312" w:cs="Times New Roman"/>
          <w:b w:val="0"/>
          <w:bCs w:val="0"/>
          <w:color w:val="auto"/>
          <w:sz w:val="32"/>
          <w:szCs w:val="32"/>
          <w:highlight w:val="none"/>
          <w:lang w:val="en-US" w:eastAsia="zh-CN"/>
        </w:rPr>
        <w:t>谋划</w:t>
      </w:r>
      <w:r>
        <w:rPr>
          <w:rFonts w:hint="default" w:ascii="Times New Roman" w:hAnsi="Times New Roman" w:eastAsia="仿宋_GB2312" w:cs="Times New Roman"/>
          <w:b w:val="0"/>
          <w:bCs w:val="0"/>
          <w:color w:val="auto"/>
          <w:sz w:val="32"/>
          <w:szCs w:val="32"/>
          <w:highlight w:val="none"/>
          <w:lang w:eastAsia="zh-CN"/>
        </w:rPr>
        <w:t>推动</w:t>
      </w:r>
      <w:r>
        <w:rPr>
          <w:rFonts w:hint="default" w:ascii="Times New Roman" w:hAnsi="Times New Roman" w:eastAsia="仿宋_GB2312" w:cs="Times New Roman"/>
          <w:b w:val="0"/>
          <w:bCs w:val="0"/>
          <w:color w:val="auto"/>
          <w:sz w:val="32"/>
          <w:szCs w:val="32"/>
          <w:highlight w:val="none"/>
          <w:lang w:val="en-US" w:eastAsia="zh-CN"/>
        </w:rPr>
        <w:t>阳大</w:t>
      </w:r>
      <w:r>
        <w:rPr>
          <w:rFonts w:hint="default" w:ascii="Times New Roman" w:hAnsi="Times New Roman" w:eastAsia="仿宋_GB2312" w:cs="Times New Roman"/>
          <w:b w:val="0"/>
          <w:bCs w:val="0"/>
          <w:color w:val="auto"/>
          <w:sz w:val="32"/>
          <w:szCs w:val="32"/>
          <w:highlight w:val="none"/>
          <w:lang w:eastAsia="zh-CN"/>
        </w:rPr>
        <w:t>与</w:t>
      </w:r>
      <w:r>
        <w:rPr>
          <w:rFonts w:hint="default" w:ascii="Times New Roman" w:hAnsi="Times New Roman" w:eastAsia="仿宋_GB2312" w:cs="Times New Roman"/>
          <w:b w:val="0"/>
          <w:bCs w:val="0"/>
          <w:color w:val="auto"/>
          <w:sz w:val="32"/>
          <w:szCs w:val="32"/>
          <w:highlight w:val="none"/>
          <w:lang w:val="en-US" w:eastAsia="zh-CN"/>
        </w:rPr>
        <w:t>雄忻、</w:t>
      </w:r>
      <w:r>
        <w:rPr>
          <w:rFonts w:hint="default" w:ascii="Times New Roman" w:hAnsi="Times New Roman" w:eastAsia="仿宋_GB2312" w:cs="Times New Roman"/>
          <w:b w:val="0"/>
          <w:bCs w:val="0"/>
          <w:color w:val="auto"/>
          <w:sz w:val="32"/>
          <w:szCs w:val="32"/>
          <w:highlight w:val="none"/>
          <w:lang w:eastAsia="zh-CN"/>
        </w:rPr>
        <w:t>太焦、邯长、和邢等铁路互联互通，连接晋东南与北太行山地区，形成东纵铁路大动脉</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
        </w:rPr>
        <w:t>实施铁路</w:t>
      </w:r>
      <w:r>
        <w:rPr>
          <w:rFonts w:hint="default" w:ascii="Times New Roman" w:hAnsi="Times New Roman" w:eastAsia="仿宋_GB2312" w:cs="Times New Roman"/>
          <w:b w:val="0"/>
          <w:bCs w:val="0"/>
          <w:color w:val="auto"/>
          <w:sz w:val="32"/>
          <w:szCs w:val="32"/>
          <w:highlight w:val="none"/>
          <w:lang w:val="en-US" w:eastAsia="zh-CN"/>
        </w:rPr>
        <w:t>专用线进企入园工程，重点推进煤炭、电力等大型工</w:t>
      </w:r>
      <w:r>
        <w:rPr>
          <w:rFonts w:hint="default" w:ascii="Times New Roman" w:hAnsi="Times New Roman" w:eastAsia="仿宋_GB2312" w:cs="Times New Roman"/>
          <w:color w:val="auto"/>
          <w:kern w:val="2"/>
          <w:sz w:val="32"/>
          <w:szCs w:val="32"/>
          <w:highlight w:val="none"/>
          <w:lang w:val="en-US" w:eastAsia="zh-CN" w:bidi="ar"/>
        </w:rPr>
        <w:t>矿企业、大型物流园区及交易集散基地新建或改扩建铁路专用线，到“十四五”末，全市大宗货物年货运量150万吨以上的大型工矿企业和新建物流园区全部接入专用线。开展铁路货场运能调研，扩容改造运能不足的铁路货场，实现点线能力相匹配。研究制定铁路货场扩容改造土地与财政支持政策。</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13"/>
              <w:keepNext w:val="0"/>
              <w:keepLines w:val="0"/>
              <w:pageBreakBefore w:val="0"/>
              <w:widowControl w:val="0"/>
              <w:numPr>
                <w:ilvl w:val="0"/>
                <w:numId w:val="0"/>
              </w:numPr>
              <w:tabs>
                <w:tab w:val="right" w:leader="dot" w:pos="8296"/>
              </w:tabs>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楷体_GB2312" w:cs="Times New Roman"/>
                <w:b/>
                <w:bCs/>
                <w:color w:val="auto"/>
                <w:kern w:val="2"/>
                <w:sz w:val="32"/>
                <w:szCs w:val="32"/>
                <w:highlight w:val="none"/>
                <w:vertAlign w:val="baseline"/>
                <w:lang w:val="en-US" w:eastAsia="zh-CN" w:bidi="ar-SA"/>
              </w:rPr>
            </w:pPr>
            <w:r>
              <w:rPr>
                <w:rFonts w:hint="default" w:ascii="Times New Roman" w:hAnsi="Times New Roman" w:eastAsia="宋体" w:cs="Times New Roman"/>
                <w:b/>
                <w:bCs/>
                <w:color w:val="auto"/>
                <w:kern w:val="2"/>
                <w:sz w:val="28"/>
                <w:szCs w:val="28"/>
                <w:highlight w:val="none"/>
                <w:vertAlign w:val="baseline"/>
                <w:lang w:val="en-US" w:eastAsia="zh-CN" w:bidi="ar-SA"/>
              </w:rPr>
              <w:t>专栏3-1  铁路主干网</w:t>
            </w:r>
            <w:r>
              <w:rPr>
                <w:rFonts w:hint="eastAsia" w:ascii="Times New Roman" w:hAnsi="Times New Roman" w:eastAsia="宋体" w:cs="Times New Roman"/>
                <w:b/>
                <w:bCs/>
                <w:color w:val="auto"/>
                <w:kern w:val="2"/>
                <w:sz w:val="28"/>
                <w:szCs w:val="28"/>
                <w:highlight w:val="none"/>
                <w:vertAlign w:val="baseline"/>
                <w:lang w:val="en-US" w:eastAsia="zh-CN" w:bidi="ar-SA"/>
              </w:rPr>
              <w:t>工程</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13"/>
              <w:keepNext w:val="0"/>
              <w:keepLines w:val="0"/>
              <w:pageBreakBefore w:val="0"/>
              <w:widowControl w:val="0"/>
              <w:numPr>
                <w:ilvl w:val="0"/>
                <w:numId w:val="0"/>
              </w:numPr>
              <w:shd w:val="clear"/>
              <w:tabs>
                <w:tab w:val="right" w:leader="dot" w:pos="8296"/>
              </w:tabs>
              <w:kinsoku/>
              <w:wordWrap/>
              <w:overflowPunct/>
              <w:topLinePunct w:val="0"/>
              <w:autoSpaceDE/>
              <w:autoSpaceDN/>
              <w:bidi w:val="0"/>
              <w:adjustRightInd/>
              <w:snapToGrid/>
              <w:spacing w:line="600" w:lineRule="exact"/>
              <w:ind w:firstLine="48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highlight w:val="none"/>
                <w:lang w:eastAsia="zh-CN"/>
              </w:rPr>
              <w:t>重点推进</w:t>
            </w:r>
            <w:r>
              <w:rPr>
                <w:rFonts w:hint="default" w:ascii="Times New Roman" w:hAnsi="Times New Roman" w:eastAsia="宋体" w:cs="Times New Roman"/>
                <w:color w:val="auto"/>
                <w:sz w:val="24"/>
                <w:highlight w:val="none"/>
                <w:lang w:val="en-US" w:eastAsia="zh-CN"/>
              </w:rPr>
              <w:t>阳泉至大寨铁路（阳泉东至大寨段）</w:t>
            </w:r>
            <w:r>
              <w:rPr>
                <w:rFonts w:hint="eastAsia" w:ascii="Times New Roman" w:hAnsi="Times New Roman" w:eastAsia="宋体" w:cs="Times New Roman"/>
                <w:color w:val="auto"/>
                <w:sz w:val="24"/>
                <w:highlight w:val="none"/>
                <w:lang w:val="en-US" w:eastAsia="zh-CN"/>
              </w:rPr>
              <w:t>、阳煤一矿铁路装车站场改造、阳泉市南庄煤炭集团西上庄煤矿铁路专用线工程、阳大铁路盂县东铁路专用线工程</w:t>
            </w:r>
            <w:r>
              <w:rPr>
                <w:rFonts w:hint="default" w:ascii="Times New Roman" w:hAnsi="Times New Roman" w:eastAsia="宋体" w:cs="Times New Roman"/>
                <w:color w:val="auto"/>
                <w:sz w:val="24"/>
                <w:highlight w:val="none"/>
                <w:lang w:eastAsia="zh-CN"/>
              </w:rPr>
              <w:t>、盂县裕光电厂专用线、坤宁煤业铁路专用线、阳涉铁路</w:t>
            </w:r>
            <w:r>
              <w:rPr>
                <w:rFonts w:hint="eastAsia" w:ascii="Times New Roman" w:hAnsi="Times New Roman" w:eastAsia="宋体" w:cs="Times New Roman"/>
                <w:color w:val="auto"/>
                <w:sz w:val="24"/>
                <w:highlight w:val="none"/>
                <w:lang w:eastAsia="zh-CN"/>
              </w:rPr>
              <w:t>电气化改造</w:t>
            </w:r>
            <w:r>
              <w:rPr>
                <w:rFonts w:hint="default" w:ascii="Times New Roman" w:hAnsi="Times New Roman" w:eastAsia="宋体" w:cs="Times New Roman"/>
                <w:color w:val="auto"/>
                <w:sz w:val="24"/>
                <w:highlight w:val="none"/>
                <w:lang w:eastAsia="zh-CN"/>
              </w:rPr>
              <w:t>等项目建设。</w:t>
            </w:r>
          </w:p>
        </w:tc>
      </w:tr>
    </w:tbl>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405" w:name="_Toc8897"/>
      <w:bookmarkStart w:id="406" w:name="_Toc28053"/>
      <w:bookmarkStart w:id="407" w:name="_Toc13482"/>
      <w:bookmarkStart w:id="408" w:name="_Toc5353"/>
      <w:bookmarkStart w:id="409" w:name="_Toc28360"/>
      <w:bookmarkStart w:id="410" w:name="_Toc29970"/>
      <w:bookmarkStart w:id="411" w:name="_Toc13245"/>
      <w:bookmarkStart w:id="412" w:name="_Toc29913"/>
      <w:bookmarkStart w:id="413" w:name="_Toc24214"/>
      <w:bookmarkStart w:id="414" w:name="_Toc17189"/>
      <w:bookmarkStart w:id="415" w:name="_Toc8787"/>
      <w:bookmarkStart w:id="416" w:name="_Toc19304"/>
      <w:bookmarkStart w:id="417" w:name="_Toc19468"/>
      <w:bookmarkStart w:id="418" w:name="_Toc32104"/>
      <w:bookmarkStart w:id="419" w:name="_Toc11979"/>
      <w:bookmarkStart w:id="420" w:name="_Toc1626"/>
      <w:bookmarkStart w:id="421" w:name="_Toc13220"/>
      <w:bookmarkStart w:id="422" w:name="_Toc32139"/>
      <w:bookmarkStart w:id="423" w:name="_Toc16777"/>
      <w:bookmarkStart w:id="424" w:name="_Toc16426"/>
      <w:bookmarkStart w:id="425" w:name="_Toc19560"/>
      <w:bookmarkStart w:id="426" w:name="_Toc27298"/>
      <w:bookmarkStart w:id="427" w:name="_Toc15046"/>
      <w:bookmarkStart w:id="428" w:name="_Toc7936"/>
      <w:bookmarkStart w:id="429" w:name="_Toc26501"/>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（二）加快完善公路物流网络</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lang w:val="en-US" w:eastAsia="zh-CN"/>
        </w:rPr>
      </w:pPr>
      <w:r>
        <w:rPr>
          <w:rFonts w:hint="default" w:ascii="Times New Roman" w:hAnsi="Times New Roman" w:eastAsia="仿宋_GB2312" w:cs="Times New Roman"/>
          <w:bCs w:val="0"/>
          <w:color w:val="auto"/>
          <w:sz w:val="32"/>
          <w:szCs w:val="32"/>
          <w:highlight w:val="none"/>
          <w:u w:val="none" w:color="auto"/>
        </w:rPr>
        <w:t>实施干线公路提质升级全域通达工程，加快建设G307线和G207线绕城改线、G239 盂县境内夫城口至肖家汇段公路改线工程</w:t>
      </w:r>
      <w:r>
        <w:rPr>
          <w:rFonts w:hint="eastAsia" w:ascii="Times New Roman" w:hAnsi="Times New Roman" w:eastAsia="仿宋_GB2312" w:cs="Times New Roman"/>
          <w:bCs w:val="0"/>
          <w:color w:val="auto"/>
          <w:sz w:val="32"/>
          <w:szCs w:val="32"/>
          <w:highlight w:val="none"/>
          <w:u w:val="none" w:color="auto"/>
          <w:lang w:eastAsia="zh-CN"/>
        </w:rPr>
        <w:t>、G207 十八盘至巨城段一级公路工程</w:t>
      </w:r>
      <w:r>
        <w:rPr>
          <w:rFonts w:hint="default" w:ascii="Times New Roman" w:hAnsi="Times New Roman" w:eastAsia="仿宋_GB2312" w:cs="Times New Roman"/>
          <w:bCs w:val="0"/>
          <w:color w:val="auto"/>
          <w:sz w:val="32"/>
          <w:szCs w:val="32"/>
          <w:highlight w:val="none"/>
          <w:u w:val="none" w:color="auto"/>
        </w:rPr>
        <w:t>等一批重大工程，推进G338 线梁家寨至芙城口段一级公路改建工程</w:t>
      </w:r>
      <w:r>
        <w:rPr>
          <w:rFonts w:hint="default" w:ascii="Times New Roman" w:hAnsi="Times New Roman" w:eastAsia="仿宋_GB2312" w:cs="Times New Roman"/>
          <w:bCs w:val="0"/>
          <w:color w:val="auto"/>
          <w:sz w:val="32"/>
          <w:szCs w:val="32"/>
          <w:highlight w:val="none"/>
          <w:u w:val="none" w:color="auto"/>
          <w:lang w:val="en-US" w:eastAsia="zh-CN"/>
        </w:rPr>
        <w:t>、G207 线连接线义井至乱流段一级公路工程等</w:t>
      </w:r>
      <w:r>
        <w:rPr>
          <w:rFonts w:hint="default" w:ascii="Times New Roman" w:hAnsi="Times New Roman" w:eastAsia="仿宋_GB2312" w:cs="Times New Roman"/>
          <w:bCs w:val="0"/>
          <w:color w:val="auto"/>
          <w:sz w:val="32"/>
          <w:szCs w:val="32"/>
          <w:highlight w:val="none"/>
          <w:u w:val="none" w:color="auto"/>
        </w:rPr>
        <w:t>国省道改扩建前期研究工作</w:t>
      </w:r>
      <w:r>
        <w:rPr>
          <w:rFonts w:hint="default" w:ascii="Times New Roman" w:hAnsi="Times New Roman" w:eastAsia="仿宋_GB2312" w:cs="Times New Roman"/>
          <w:bCs w:val="0"/>
          <w:color w:val="auto"/>
          <w:sz w:val="32"/>
          <w:szCs w:val="32"/>
          <w:highlight w:val="none"/>
          <w:u w:val="none" w:color="auto"/>
          <w:lang w:eastAsia="zh-CN"/>
        </w:rPr>
        <w:t>，</w:t>
      </w:r>
      <w:r>
        <w:rPr>
          <w:rFonts w:hint="default" w:ascii="Times New Roman" w:hAnsi="Times New Roman" w:eastAsia="仿宋_GB2312" w:cs="Times New Roman"/>
          <w:bCs w:val="0"/>
          <w:color w:val="auto"/>
          <w:sz w:val="32"/>
          <w:szCs w:val="32"/>
          <w:highlight w:val="none"/>
          <w:u w:val="none" w:color="auto"/>
          <w:lang w:val="en-US" w:eastAsia="zh-CN"/>
        </w:rPr>
        <w:t>拓展</w:t>
      </w:r>
      <w:r>
        <w:rPr>
          <w:rFonts w:hint="eastAsia" w:ascii="Times New Roman" w:hAnsi="Times New Roman" w:eastAsia="仿宋_GB2312" w:cs="Times New Roman"/>
          <w:bCs w:val="0"/>
          <w:color w:val="auto"/>
          <w:sz w:val="32"/>
          <w:szCs w:val="32"/>
          <w:highlight w:val="none"/>
          <w:u w:val="none" w:color="auto"/>
          <w:lang w:val="en-US" w:eastAsia="zh-CN"/>
        </w:rPr>
        <w:t>完善</w:t>
      </w:r>
      <w:r>
        <w:rPr>
          <w:rFonts w:hint="default" w:ascii="Times New Roman" w:hAnsi="Times New Roman" w:eastAsia="仿宋_GB2312" w:cs="Times New Roman"/>
          <w:bCs w:val="0"/>
          <w:color w:val="auto"/>
          <w:sz w:val="32"/>
          <w:szCs w:val="32"/>
          <w:highlight w:val="none"/>
          <w:u w:val="none" w:color="auto"/>
          <w:lang w:val="en-US" w:eastAsia="zh-CN"/>
        </w:rPr>
        <w:t>“三横一纵一联络”高速公路网络，</w:t>
      </w:r>
      <w:r>
        <w:rPr>
          <w:rFonts w:hint="default" w:ascii="Times New Roman" w:hAnsi="Times New Roman" w:eastAsia="仿宋_GB2312" w:cs="Times New Roman"/>
          <w:bCs w:val="0"/>
          <w:color w:val="auto"/>
          <w:sz w:val="32"/>
          <w:szCs w:val="32"/>
          <w:highlight w:val="none"/>
          <w:u w:val="none" w:color="auto"/>
        </w:rPr>
        <w:t>构建“十横四纵二环二联络”国省干线</w:t>
      </w:r>
      <w:r>
        <w:rPr>
          <w:rFonts w:hint="default" w:ascii="Times New Roman" w:hAnsi="Times New Roman" w:eastAsia="仿宋_GB2312" w:cs="Times New Roman"/>
          <w:bCs w:val="0"/>
          <w:color w:val="auto"/>
          <w:sz w:val="32"/>
          <w:szCs w:val="32"/>
          <w:highlight w:val="none"/>
          <w:u w:val="none" w:color="auto"/>
          <w:lang w:eastAsia="zh-CN"/>
        </w:rPr>
        <w:t>公路</w:t>
      </w:r>
      <w:r>
        <w:rPr>
          <w:rFonts w:hint="default" w:ascii="Times New Roman" w:hAnsi="Times New Roman" w:eastAsia="仿宋_GB2312" w:cs="Times New Roman"/>
          <w:bCs w:val="0"/>
          <w:color w:val="auto"/>
          <w:sz w:val="32"/>
          <w:szCs w:val="32"/>
          <w:highlight w:val="none"/>
          <w:u w:val="none" w:color="auto"/>
        </w:rPr>
        <w:t>网</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。升级改造县乡道路，高标准开展“四好农村路”养护提质工程，实现市域各区（县）通一级公路，县、市、区半小时通勤通达。</w:t>
      </w:r>
      <w:r>
        <w:rPr>
          <w:rFonts w:hint="default" w:ascii="Times New Roman" w:hAnsi="Times New Roman" w:eastAsia="仿宋_GB2312" w:cs="Times New Roman"/>
          <w:color w:val="auto"/>
          <w:sz w:val="32"/>
          <w:szCs w:val="32"/>
          <w:highlight w:val="none"/>
          <w:u w:val="none" w:color="auto"/>
          <w:lang w:val="en-US" w:eastAsia="zh-CN"/>
        </w:rPr>
        <w:t>依托对外物流大通道，</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积极对接太原都市圈、石太经济走廊，加强与周边县、市公路的等级对接，</w:t>
      </w:r>
      <w:r>
        <w:rPr>
          <w:rFonts w:hint="default" w:ascii="Times New Roman" w:hAnsi="Times New Roman" w:eastAsia="仿宋_GB2312" w:cs="Times New Roman"/>
          <w:color w:val="auto"/>
          <w:sz w:val="32"/>
          <w:szCs w:val="32"/>
          <w:highlight w:val="none"/>
          <w:u w:val="none" w:color="auto"/>
          <w:lang w:val="en-US" w:eastAsia="zh-CN"/>
        </w:rPr>
        <w:t>加快</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形成覆盖晋东、环绕京津冀的公路体系。</w:t>
      </w:r>
      <w:r>
        <w:rPr>
          <w:rFonts w:hint="default" w:ascii="Times New Roman" w:hAnsi="Times New Roman" w:eastAsia="仿宋_GB2312" w:cs="Times New Roman"/>
          <w:color w:val="auto"/>
          <w:sz w:val="32"/>
          <w:szCs w:val="32"/>
          <w:highlight w:val="none"/>
          <w:u w:val="none" w:color="auto"/>
          <w:lang w:val="en-US" w:eastAsia="zh-CN"/>
        </w:rPr>
        <w:t>畅通多式联运枢纽站场与城市主干道的连接，提高干支衔接能力和转运分拨效率。</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cs="Times New Roman"/>
                <w:color w:val="auto"/>
                <w:highlight w:val="none"/>
              </w:rPr>
            </w:pPr>
            <w:r>
              <w:rPr>
                <w:rFonts w:hint="default" w:ascii="Times New Roman" w:hAnsi="Times New Roman" w:eastAsia="宋体" w:cs="Times New Roman"/>
                <w:b/>
                <w:bCs/>
                <w:color w:val="auto"/>
                <w:sz w:val="28"/>
                <w:szCs w:val="36"/>
                <w:highlight w:val="none"/>
                <w:lang w:eastAsia="zh-CN"/>
              </w:rPr>
              <w:t>专栏</w:t>
            </w:r>
            <w:r>
              <w:rPr>
                <w:rFonts w:hint="default" w:ascii="Times New Roman" w:hAnsi="Times New Roman" w:eastAsia="宋体" w:cs="Times New Roman"/>
                <w:b/>
                <w:bCs/>
                <w:color w:val="auto"/>
                <w:sz w:val="28"/>
                <w:szCs w:val="36"/>
                <w:highlight w:val="none"/>
                <w:lang w:val="en-US" w:eastAsia="zh-CN"/>
              </w:rPr>
              <w:t xml:space="preserve">3-2  </w:t>
            </w:r>
            <w:r>
              <w:rPr>
                <w:rFonts w:hint="default" w:ascii="Times New Roman" w:hAnsi="Times New Roman" w:eastAsia="宋体" w:cs="Times New Roman"/>
                <w:b/>
                <w:bCs/>
                <w:color w:val="auto"/>
                <w:sz w:val="28"/>
                <w:szCs w:val="36"/>
                <w:highlight w:val="none"/>
              </w:rPr>
              <w:t>“十横四纵二环二联络”干线公路网</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600" w:lineRule="exact"/>
              <w:ind w:firstLine="481" w:firstLineChars="200"/>
              <w:outlineLvl w:val="9"/>
              <w:rPr>
                <w:rFonts w:hint="default" w:ascii="Times New Roman" w:hAnsi="Times New Roman" w:cs="Times New Roman"/>
                <w:color w:val="auto"/>
                <w:sz w:val="24"/>
                <w:szCs w:val="32"/>
                <w:highlight w:val="none"/>
              </w:rPr>
            </w:pPr>
            <w:r>
              <w:rPr>
                <w:rFonts w:hint="default" w:ascii="Times New Roman" w:hAnsi="Times New Roman" w:cs="Times New Roman"/>
                <w:b/>
                <w:bCs/>
                <w:color w:val="auto"/>
                <w:sz w:val="24"/>
                <w:szCs w:val="32"/>
                <w:highlight w:val="none"/>
              </w:rPr>
              <w:t>十横</w:t>
            </w:r>
            <w:r>
              <w:rPr>
                <w:rFonts w:hint="default" w:ascii="Times New Roman" w:hAnsi="Times New Roman" w:cs="Times New Roman"/>
                <w:b/>
                <w:bCs/>
                <w:color w:val="auto"/>
                <w:sz w:val="24"/>
                <w:szCs w:val="32"/>
                <w:highlight w:val="none"/>
                <w:lang w:eastAsia="zh-CN"/>
              </w:rPr>
              <w:t>。</w:t>
            </w:r>
            <w:r>
              <w:rPr>
                <w:rFonts w:hint="default" w:ascii="Times New Roman" w:hAnsi="Times New Roman" w:cs="Times New Roman"/>
                <w:color w:val="auto"/>
                <w:sz w:val="24"/>
                <w:szCs w:val="32"/>
                <w:highlight w:val="none"/>
              </w:rPr>
              <w:t>包括国道G338</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省道</w:t>
            </w:r>
            <w:r>
              <w:rPr>
                <w:rFonts w:hint="default" w:ascii="Times New Roman" w:hAnsi="Times New Roman" w:cs="Times New Roman"/>
                <w:color w:val="auto"/>
                <w:sz w:val="24"/>
                <w:szCs w:val="32"/>
                <w:highlight w:val="none"/>
              </w:rPr>
              <w:t>S101（阳曲至六岺关线）、省道S317（双山至东梁乡）、省道S319（盂县至上峪）</w:t>
            </w:r>
            <w:r>
              <w:rPr>
                <w:rFonts w:hint="eastAsia" w:ascii="Times New Roman" w:hAnsi="Times New Roman" w:cs="Times New Roman"/>
                <w:color w:val="auto"/>
                <w:sz w:val="24"/>
                <w:szCs w:val="32"/>
                <w:highlight w:val="none"/>
                <w:lang w:eastAsia="zh-CN"/>
              </w:rPr>
              <w:t>、省道S318（秀水镇至西南庄）、省道S320（河底至杨树庄）、国道G307-省道S322（平坦镇至娘子关）、省道S323（白杨墅至娘子关）、省道S325（庄窝至寿阳线）、省道S326（七亘至沾尚线）</w:t>
            </w:r>
            <w:r>
              <w:rPr>
                <w:rFonts w:hint="default" w:ascii="Times New Roman" w:hAnsi="Times New Roman" w:cs="Times New Roman"/>
                <w:color w:val="auto"/>
                <w:sz w:val="24"/>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outlineLvl w:val="9"/>
              <w:rPr>
                <w:rFonts w:hint="default" w:ascii="Times New Roman" w:hAnsi="Times New Roman" w:cs="Times New Roman"/>
                <w:color w:val="auto"/>
                <w:sz w:val="24"/>
                <w:szCs w:val="32"/>
                <w:highlight w:val="none"/>
              </w:rPr>
            </w:pPr>
            <w:r>
              <w:rPr>
                <w:rFonts w:hint="eastAsia" w:ascii="Times New Roman" w:hAnsi="Times New Roman" w:cs="Times New Roman"/>
                <w:b/>
                <w:bCs/>
                <w:color w:val="auto"/>
                <w:sz w:val="24"/>
                <w:szCs w:val="32"/>
                <w:highlight w:val="none"/>
                <w:lang w:val="en-US" w:eastAsia="zh-CN"/>
              </w:rPr>
              <w:t>四</w:t>
            </w:r>
            <w:r>
              <w:rPr>
                <w:rFonts w:hint="default" w:ascii="Times New Roman" w:hAnsi="Times New Roman" w:cs="Times New Roman"/>
                <w:b/>
                <w:bCs/>
                <w:color w:val="auto"/>
                <w:sz w:val="24"/>
                <w:szCs w:val="32"/>
                <w:highlight w:val="none"/>
              </w:rPr>
              <w:t>纵</w:t>
            </w:r>
            <w:r>
              <w:rPr>
                <w:rFonts w:hint="default" w:ascii="Times New Roman" w:hAnsi="Times New Roman" w:cs="Times New Roman"/>
                <w:b/>
                <w:bCs/>
                <w:color w:val="auto"/>
                <w:sz w:val="24"/>
                <w:szCs w:val="32"/>
                <w:highlight w:val="none"/>
                <w:lang w:eastAsia="zh-CN"/>
              </w:rPr>
              <w:t>。</w:t>
            </w:r>
            <w:r>
              <w:rPr>
                <w:rFonts w:hint="default" w:ascii="Times New Roman" w:hAnsi="Times New Roman" w:cs="Times New Roman"/>
                <w:color w:val="auto"/>
                <w:sz w:val="24"/>
                <w:szCs w:val="32"/>
                <w:highlight w:val="none"/>
              </w:rPr>
              <w:t>包括省道S219（代县至神西线）</w:t>
            </w:r>
            <w:r>
              <w:rPr>
                <w:rFonts w:hint="eastAsia" w:ascii="Times New Roman" w:hAnsi="Times New Roman" w:cs="Times New Roman"/>
                <w:color w:val="auto"/>
                <w:sz w:val="24"/>
                <w:szCs w:val="32"/>
                <w:highlight w:val="none"/>
                <w:lang w:eastAsia="zh-CN"/>
              </w:rPr>
              <w:t>、国道G239、国道G207、旅游公路主轴线</w:t>
            </w:r>
            <w:r>
              <w:rPr>
                <w:rFonts w:hint="default" w:ascii="Times New Roman" w:hAnsi="Times New Roman" w:cs="Times New Roman"/>
                <w:color w:val="auto"/>
                <w:sz w:val="24"/>
                <w:szCs w:val="32"/>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outlineLvl w:val="9"/>
              <w:rPr>
                <w:rFonts w:hint="default" w:ascii="Times New Roman" w:hAnsi="Times New Roman" w:cs="Times New Roman"/>
                <w:color w:val="auto"/>
                <w:sz w:val="24"/>
                <w:szCs w:val="32"/>
                <w:highlight w:val="none"/>
              </w:rPr>
            </w:pPr>
            <w:r>
              <w:rPr>
                <w:rFonts w:hint="eastAsia" w:ascii="Times New Roman" w:hAnsi="Times New Roman" w:cs="Times New Roman"/>
                <w:b/>
                <w:bCs/>
                <w:color w:val="auto"/>
                <w:sz w:val="24"/>
                <w:szCs w:val="32"/>
                <w:highlight w:val="none"/>
                <w:lang w:val="en-US" w:eastAsia="zh-CN"/>
              </w:rPr>
              <w:t>二</w:t>
            </w:r>
            <w:r>
              <w:rPr>
                <w:rFonts w:hint="default" w:ascii="Times New Roman" w:hAnsi="Times New Roman" w:cs="Times New Roman"/>
                <w:b/>
                <w:bCs/>
                <w:color w:val="auto"/>
                <w:sz w:val="24"/>
                <w:szCs w:val="32"/>
                <w:highlight w:val="none"/>
              </w:rPr>
              <w:t>环</w:t>
            </w:r>
            <w:r>
              <w:rPr>
                <w:rFonts w:hint="default" w:ascii="Times New Roman" w:hAnsi="Times New Roman" w:cs="Times New Roman"/>
                <w:b/>
                <w:bCs/>
                <w:color w:val="auto"/>
                <w:sz w:val="24"/>
                <w:szCs w:val="32"/>
                <w:highlight w:val="none"/>
                <w:lang w:eastAsia="zh-CN"/>
              </w:rPr>
              <w:t>。</w:t>
            </w:r>
            <w:r>
              <w:rPr>
                <w:rFonts w:hint="default" w:ascii="Times New Roman" w:hAnsi="Times New Roman" w:cs="Times New Roman"/>
                <w:color w:val="auto"/>
                <w:sz w:val="24"/>
                <w:szCs w:val="32"/>
                <w:highlight w:val="none"/>
              </w:rPr>
              <w:t>包括一环：利用G239中心城区段外绕改线（辛兴-吴家掌-韩庄-东南舁）、G207/307绕城改线围合形成阳泉中心城区绕城干线公路环线，全线规划为一级公路。二环：利用省道S314盂县过境</w:t>
            </w:r>
            <w:r>
              <w:rPr>
                <w:rFonts w:hint="eastAsia"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交口-西小坪</w:t>
            </w:r>
            <w:r>
              <w:rPr>
                <w:rFonts w:hint="eastAsia"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rPr>
              <w:t>公路改建段、国道G307/G207线阳泉市绕城改线段形成盂县绕城干线公路环线，规划为一级、二级公路。</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rPr>
                <w:rFonts w:hint="default" w:ascii="Times New Roman" w:hAnsi="Times New Roman" w:cs="Times New Roman"/>
                <w:color w:val="auto"/>
                <w:highlight w:val="none"/>
              </w:rPr>
            </w:pPr>
            <w:r>
              <w:rPr>
                <w:rFonts w:hint="eastAsia" w:ascii="Times New Roman" w:hAnsi="Times New Roman" w:cs="Times New Roman"/>
                <w:b/>
                <w:bCs/>
                <w:color w:val="auto"/>
                <w:sz w:val="24"/>
                <w:szCs w:val="32"/>
                <w:highlight w:val="none"/>
                <w:lang w:val="en-US" w:eastAsia="zh-CN"/>
              </w:rPr>
              <w:t>二联络</w:t>
            </w:r>
            <w:r>
              <w:rPr>
                <w:rFonts w:hint="default" w:ascii="Times New Roman" w:hAnsi="Times New Roman" w:cs="Times New Roman"/>
                <w:b/>
                <w:bCs/>
                <w:color w:val="auto"/>
                <w:sz w:val="24"/>
                <w:szCs w:val="32"/>
                <w:highlight w:val="none"/>
                <w:lang w:eastAsia="zh-CN"/>
              </w:rPr>
              <w:t>。</w:t>
            </w:r>
            <w:r>
              <w:rPr>
                <w:rFonts w:hint="default" w:ascii="Times New Roman" w:hAnsi="Times New Roman" w:cs="Times New Roman"/>
                <w:color w:val="auto"/>
                <w:sz w:val="24"/>
                <w:szCs w:val="32"/>
                <w:highlight w:val="none"/>
              </w:rPr>
              <w:t>包括省道S526（柏石至管头线）</w:t>
            </w:r>
            <w:r>
              <w:rPr>
                <w:rFonts w:hint="eastAsia" w:ascii="Times New Roman" w:hAnsi="Times New Roman" w:cs="Times New Roman"/>
                <w:color w:val="auto"/>
                <w:sz w:val="24"/>
                <w:szCs w:val="32"/>
                <w:highlight w:val="none"/>
                <w:lang w:eastAsia="zh-CN"/>
              </w:rPr>
              <w:t>、省道S503（下乌沙至吴家掌段）</w:t>
            </w:r>
            <w:r>
              <w:rPr>
                <w:rFonts w:hint="eastAsia" w:ascii="Times New Roman" w:hAnsi="Times New Roman" w:cs="Times New Roman"/>
                <w:color w:val="auto"/>
                <w:sz w:val="24"/>
                <w:szCs w:val="32"/>
                <w:highlight w:val="none"/>
                <w:lang w:val="en-US" w:eastAsia="zh-CN"/>
              </w:rPr>
              <w:t>两条联络线</w:t>
            </w:r>
            <w:r>
              <w:rPr>
                <w:rFonts w:hint="default" w:ascii="Times New Roman" w:hAnsi="Times New Roman" w:cs="Times New Roman"/>
                <w:color w:val="auto"/>
                <w:sz w:val="24"/>
                <w:szCs w:val="32"/>
                <w:highlight w:val="none"/>
              </w:rPr>
              <w:t>。</w:t>
            </w:r>
          </w:p>
        </w:tc>
      </w:tr>
    </w:tbl>
    <w:p>
      <w:pPr>
        <w:keepNext w:val="0"/>
        <w:keepLines w:val="0"/>
        <w:pageBreakBefore w:val="0"/>
        <w:widowControl w:val="0"/>
        <w:kinsoku/>
        <w:wordWrap/>
        <w:overflowPunct/>
        <w:topLinePunct w:val="0"/>
        <w:autoSpaceDE/>
        <w:autoSpaceDN/>
        <w:bidi w:val="0"/>
        <w:adjustRightInd/>
        <w:snapToGrid/>
        <w:spacing w:line="600" w:lineRule="exact"/>
        <w:ind w:firstLine="642" w:firstLineChars="200"/>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430" w:name="_Toc29822"/>
      <w:bookmarkStart w:id="431" w:name="_Toc32510"/>
      <w:bookmarkStart w:id="432" w:name="_Toc7687"/>
      <w:bookmarkStart w:id="433" w:name="_Toc22677"/>
      <w:bookmarkStart w:id="434" w:name="_Toc28791"/>
      <w:bookmarkStart w:id="435" w:name="_Toc7872"/>
      <w:bookmarkStart w:id="436" w:name="_Toc14079"/>
      <w:bookmarkStart w:id="437" w:name="_Toc16447"/>
      <w:bookmarkStart w:id="438" w:name="_Toc13607"/>
      <w:bookmarkStart w:id="439" w:name="_Toc22437"/>
      <w:bookmarkStart w:id="440" w:name="_Toc11034"/>
      <w:bookmarkStart w:id="441" w:name="_Toc31034"/>
      <w:bookmarkStart w:id="442" w:name="_Toc29695"/>
      <w:bookmarkStart w:id="443" w:name="_Toc4216"/>
      <w:bookmarkStart w:id="444" w:name="_Toc5655"/>
      <w:bookmarkStart w:id="445" w:name="_Toc6305"/>
      <w:bookmarkStart w:id="446" w:name="_Toc9489"/>
      <w:bookmarkStart w:id="447" w:name="_Toc12527"/>
      <w:bookmarkStart w:id="448" w:name="_Toc29727"/>
      <w:bookmarkStart w:id="449" w:name="_Toc29280"/>
      <w:bookmarkStart w:id="450" w:name="_Toc27741"/>
      <w:bookmarkStart w:id="451" w:name="_Toc14861"/>
      <w:bookmarkStart w:id="452" w:name="_Toc27500"/>
      <w:bookmarkStart w:id="453" w:name="_Toc29188"/>
      <w:bookmarkStart w:id="454" w:name="_Toc1358"/>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（三）谋划布局航空货运网络</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default" w:ascii="Times New Roman" w:hAnsi="Times New Roman" w:eastAsia="仿宋_GB2312" w:cs="Times New Roman"/>
          <w:bCs w:val="0"/>
          <w:color w:val="auto"/>
          <w:kern w:val="2"/>
          <w:sz w:val="32"/>
          <w:szCs w:val="32"/>
          <w:highlight w:val="none"/>
          <w:u w:val="none" w:color="auto"/>
          <w:shd w:val="clear" w:fill="auto"/>
          <w:lang w:val="en-US" w:eastAsia="zh-CN" w:bidi="ar-SA"/>
        </w:rPr>
      </w:pPr>
      <w:bookmarkStart w:id="455" w:name="_Toc13224"/>
      <w:bookmarkStart w:id="456" w:name="_Toc28333"/>
      <w:bookmarkStart w:id="457" w:name="_Toc31772"/>
      <w:bookmarkStart w:id="458" w:name="_Toc25361"/>
      <w:bookmarkStart w:id="459" w:name="_Toc18561"/>
      <w:bookmarkStart w:id="460" w:name="_Toc8090"/>
      <w:bookmarkStart w:id="461" w:name="_Toc6629"/>
      <w:bookmarkStart w:id="462" w:name="_Toc25747"/>
      <w:bookmarkStart w:id="463" w:name="_Toc6048"/>
      <w:bookmarkStart w:id="464" w:name="_Toc16582"/>
      <w:bookmarkStart w:id="465" w:name="_Toc25062"/>
      <w:bookmarkStart w:id="466" w:name="_Toc7413"/>
      <w:bookmarkStart w:id="467" w:name="_Toc7661"/>
      <w:bookmarkStart w:id="468" w:name="_Toc8221"/>
      <w:bookmarkStart w:id="469" w:name="_Toc8240"/>
      <w:bookmarkStart w:id="470" w:name="_Toc17706"/>
      <w:bookmarkStart w:id="471" w:name="_Toc17521"/>
      <w:bookmarkStart w:id="472" w:name="_Toc9653"/>
      <w:bookmarkStart w:id="473" w:name="_Toc2716"/>
      <w:bookmarkStart w:id="474" w:name="_Toc28481"/>
      <w:bookmarkStart w:id="475" w:name="_Toc11206"/>
      <w:bookmarkStart w:id="476" w:name="_Toc23631"/>
      <w:bookmarkStart w:id="477" w:name="_Toc29710"/>
      <w:bookmarkStart w:id="478" w:name="_Toc27003"/>
      <w:r>
        <w:rPr>
          <w:rFonts w:hint="eastAsia" w:ascii="Times New Roman" w:hAnsi="Times New Roman" w:eastAsia="仿宋_GB2312" w:cs="Times New Roman"/>
          <w:bCs w:val="0"/>
          <w:color w:val="auto"/>
          <w:kern w:val="2"/>
          <w:sz w:val="32"/>
          <w:szCs w:val="32"/>
          <w:highlight w:val="none"/>
          <w:u w:val="none" w:color="auto"/>
          <w:shd w:val="clear" w:fill="auto"/>
          <w:lang w:val="en-US" w:eastAsia="zh-CN" w:bidi="ar-SA"/>
        </w:rPr>
        <w:t>研究谋划对接太原武宿机场、石家庄正定机场的阳泉货运补充机场，探索开辟至国内主要物流节点城市的全货机航线，承接太原、石家庄及周边地区快递及其他商贸物流货物，并与铁路、公路等物流标准对接，打造航空物流中转基地。</w:t>
      </w:r>
    </w:p>
    <w:p>
      <w:pPr>
        <w:pStyle w:val="15"/>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479" w:name="_Toc18382"/>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（四）构建多层次城乡配送网络</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kern w:val="2"/>
          <w:sz w:val="32"/>
          <w:szCs w:val="32"/>
          <w:highlight w:val="none"/>
          <w:u w:val="none" w:color="auto"/>
          <w:lang w:bidi="ar-SA"/>
        </w:rPr>
      </w:pPr>
      <w:r>
        <w:rPr>
          <w:rFonts w:hint="default" w:ascii="Times New Roman" w:hAnsi="Times New Roman" w:eastAsia="仿宋_GB2312" w:cs="Times New Roman"/>
          <w:b w:val="0"/>
          <w:bCs w:val="0"/>
          <w:color w:val="auto"/>
          <w:sz w:val="32"/>
          <w:szCs w:val="32"/>
          <w:highlight w:val="none"/>
          <w:lang w:eastAsia="zh-CN"/>
        </w:rPr>
        <w:t>按照城乡统筹、合理分布原则，</w:t>
      </w:r>
      <w:r>
        <w:rPr>
          <w:rFonts w:hint="default" w:ascii="Times New Roman" w:hAnsi="Times New Roman" w:eastAsia="仿宋_GB2312" w:cs="Times New Roman"/>
          <w:bCs w:val="0"/>
          <w:color w:val="auto"/>
          <w:kern w:val="2"/>
          <w:sz w:val="32"/>
          <w:szCs w:val="32"/>
          <w:highlight w:val="none"/>
          <w:u w:val="none" w:color="auto"/>
          <w:shd w:val="clear" w:fill="auto"/>
          <w:lang w:val="en-US" w:eastAsia="zh-CN" w:bidi="ar-SA"/>
        </w:rPr>
        <w:t>依托城乡公路网，建设一批专业型物流园区和县级物流配送中心，结合大型居住区、商业区、校区、机关企事业单位综合办公区、乡镇综合服务站设置物流末端网点，打造“物流园区+物流配送中心+物流末端网点”的三级公路枢纽</w:t>
      </w:r>
      <w:r>
        <w:rPr>
          <w:rFonts w:hint="default" w:ascii="Times New Roman" w:hAnsi="Times New Roman" w:eastAsia="仿宋_GB2312" w:cs="Times New Roman"/>
          <w:i w:val="0"/>
          <w:caps w:val="0"/>
          <w:color w:val="auto"/>
          <w:spacing w:val="0"/>
          <w:kern w:val="2"/>
          <w:sz w:val="32"/>
          <w:szCs w:val="32"/>
          <w:highlight w:val="none"/>
          <w:u w:val="none" w:color="auto"/>
          <w:shd w:val="clear" w:fill="auto"/>
          <w:lang w:bidi="ar-SA"/>
        </w:rPr>
        <w:t>。</w:t>
      </w:r>
      <w:r>
        <w:rPr>
          <w:rFonts w:hint="default" w:ascii="Times New Roman" w:hAnsi="Times New Roman" w:eastAsia="仿宋_GB2312" w:cs="Times New Roman"/>
          <w:i w:val="0"/>
          <w:caps w:val="0"/>
          <w:color w:val="auto"/>
          <w:spacing w:val="0"/>
          <w:kern w:val="2"/>
          <w:sz w:val="32"/>
          <w:szCs w:val="32"/>
          <w:highlight w:val="none"/>
          <w:u w:val="none" w:color="auto"/>
          <w:shd w:val="clear" w:fill="auto"/>
          <w:lang w:eastAsia="zh-CN" w:bidi="ar-SA"/>
        </w:rPr>
        <w:t>加强公用型城市配送节点建设，</w:t>
      </w:r>
      <w:r>
        <w:rPr>
          <w:rFonts w:hint="default" w:ascii="Times New Roman" w:hAnsi="Times New Roman" w:eastAsia="仿宋_GB2312" w:cs="Times New Roman"/>
          <w:color w:val="auto"/>
          <w:sz w:val="32"/>
          <w:szCs w:val="32"/>
          <w:highlight w:val="none"/>
          <w:u w:val="none" w:color="auto"/>
          <w:shd w:val="clear" w:fill="auto"/>
          <w:lang w:eastAsia="zh-CN"/>
        </w:rPr>
        <w:t>推广应用智能快（邮）件箱，开展智能快（邮）件箱进社区、进机关、进学校专项行动。</w:t>
      </w:r>
      <w:r>
        <w:rPr>
          <w:rFonts w:hint="default" w:ascii="Times New Roman" w:hAnsi="Times New Roman" w:eastAsia="仿宋_GB2312" w:cs="Times New Roman"/>
          <w:b w:val="0"/>
          <w:bCs w:val="0"/>
          <w:color w:val="auto"/>
          <w:sz w:val="32"/>
          <w:szCs w:val="32"/>
          <w:highlight w:val="none"/>
          <w:u w:val="none" w:color="auto"/>
          <w:shd w:val="clear" w:fill="auto"/>
          <w:lang w:eastAsia="zh-CN"/>
        </w:rPr>
        <w:t>完善</w:t>
      </w:r>
      <w:r>
        <w:rPr>
          <w:rFonts w:hint="default" w:ascii="Times New Roman" w:hAnsi="Times New Roman" w:eastAsia="仿宋_GB2312" w:cs="Times New Roman"/>
          <w:bCs w:val="0"/>
          <w:color w:val="auto"/>
          <w:sz w:val="32"/>
          <w:szCs w:val="32"/>
          <w:highlight w:val="none"/>
          <w:u w:val="none" w:color="auto"/>
          <w:shd w:val="clear" w:fill="auto"/>
        </w:rPr>
        <w:t>“市县中转、乡镇分拨、村级配送”</w:t>
      </w:r>
      <w:r>
        <w:rPr>
          <w:rFonts w:hint="default" w:ascii="Times New Roman" w:hAnsi="Times New Roman" w:eastAsia="仿宋_GB2312" w:cs="Times New Roman"/>
          <w:b w:val="0"/>
          <w:bCs w:val="0"/>
          <w:color w:val="auto"/>
          <w:sz w:val="32"/>
          <w:szCs w:val="32"/>
          <w:highlight w:val="none"/>
          <w:u w:val="none" w:color="auto"/>
          <w:shd w:val="clear" w:fill="auto"/>
          <w:lang w:eastAsia="zh-CN"/>
        </w:rPr>
        <w:t>三级农村</w:t>
      </w:r>
      <w:r>
        <w:rPr>
          <w:rFonts w:hint="default" w:ascii="Times New Roman" w:hAnsi="Times New Roman" w:eastAsia="仿宋_GB2312" w:cs="Times New Roman"/>
          <w:bCs w:val="0"/>
          <w:color w:val="auto"/>
          <w:sz w:val="32"/>
          <w:szCs w:val="32"/>
          <w:highlight w:val="none"/>
          <w:u w:val="none" w:color="auto"/>
          <w:shd w:val="clear" w:fill="auto"/>
        </w:rPr>
        <w:t>快递物流体系</w:t>
      </w:r>
      <w:r>
        <w:rPr>
          <w:rFonts w:hint="default" w:ascii="Times New Roman" w:hAnsi="Times New Roman" w:eastAsia="仿宋_GB2312" w:cs="Times New Roman"/>
          <w:b w:val="0"/>
          <w:bCs w:val="0"/>
          <w:color w:val="auto"/>
          <w:sz w:val="32"/>
          <w:szCs w:val="32"/>
          <w:highlight w:val="none"/>
          <w:u w:val="none" w:color="auto"/>
          <w:shd w:val="clear" w:fill="auto"/>
          <w:lang w:eastAsia="zh-CN"/>
        </w:rPr>
        <w:t>，</w:t>
      </w:r>
      <w:r>
        <w:rPr>
          <w:rFonts w:hint="default" w:ascii="Times New Roman" w:hAnsi="Times New Roman" w:eastAsia="仿宋_GB2312" w:cs="Times New Roman"/>
          <w:color w:val="auto"/>
          <w:kern w:val="2"/>
          <w:sz w:val="32"/>
          <w:szCs w:val="32"/>
          <w:highlight w:val="none"/>
          <w:u w:val="none" w:color="auto"/>
          <w:shd w:val="clear" w:fill="auto"/>
          <w:lang w:bidi="ar-SA"/>
        </w:rPr>
        <w:t>实</w:t>
      </w:r>
      <w:r>
        <w:rPr>
          <w:rFonts w:hint="default" w:ascii="Times New Roman" w:hAnsi="Times New Roman" w:eastAsia="仿宋_GB2312" w:cs="Times New Roman"/>
          <w:color w:val="auto"/>
          <w:kern w:val="2"/>
          <w:sz w:val="32"/>
          <w:szCs w:val="32"/>
          <w:highlight w:val="none"/>
          <w:u w:val="none" w:color="auto"/>
          <w:lang w:bidi="ar-SA"/>
        </w:rPr>
        <w:t>施“邮政在乡”“快递下乡”换挡升级</w:t>
      </w:r>
      <w:r>
        <w:rPr>
          <w:rFonts w:hint="default" w:ascii="Times New Roman" w:hAnsi="Times New Roman" w:eastAsia="仿宋_GB2312" w:cs="Times New Roman"/>
          <w:color w:val="auto"/>
          <w:kern w:val="2"/>
          <w:sz w:val="32"/>
          <w:szCs w:val="32"/>
          <w:highlight w:val="none"/>
          <w:u w:val="none" w:color="auto"/>
          <w:lang w:eastAsia="zh-CN" w:bidi="ar-SA"/>
        </w:rPr>
        <w:t>、</w:t>
      </w:r>
      <w:r>
        <w:rPr>
          <w:rFonts w:hint="default" w:ascii="Times New Roman" w:hAnsi="Times New Roman" w:eastAsia="仿宋_GB2312" w:cs="Times New Roman"/>
          <w:b w:val="0"/>
          <w:bCs/>
          <w:color w:val="auto"/>
          <w:kern w:val="2"/>
          <w:sz w:val="32"/>
          <w:szCs w:val="24"/>
          <w:highlight w:val="none"/>
          <w:u w:val="none" w:color="auto"/>
          <w:shd w:val="clear" w:color="auto" w:fill="auto"/>
          <w:lang w:val="en-US" w:eastAsia="zh-CN" w:bidi="ar-SA"/>
        </w:rPr>
        <w:t>快</w:t>
      </w:r>
      <w:r>
        <w:rPr>
          <w:rFonts w:hint="default" w:ascii="Times New Roman" w:hAnsi="Times New Roman" w:eastAsia="仿宋_GB2312" w:cs="Times New Roman"/>
          <w:b w:val="0"/>
          <w:bCs/>
          <w:color w:val="auto"/>
          <w:kern w:val="2"/>
          <w:sz w:val="32"/>
          <w:szCs w:val="32"/>
          <w:highlight w:val="none"/>
          <w:u w:val="none" w:color="auto"/>
          <w:lang w:val="en-US" w:eastAsia="zh-CN" w:bidi="ar-SA"/>
        </w:rPr>
        <w:t>递扩容增效和数</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字化转型示范工程，</w:t>
      </w:r>
      <w:r>
        <w:rPr>
          <w:rFonts w:hint="default" w:ascii="Times New Roman" w:hAnsi="Times New Roman" w:eastAsia="仿宋_GB2312" w:cs="Times New Roman"/>
          <w:color w:val="auto"/>
          <w:kern w:val="2"/>
          <w:sz w:val="32"/>
          <w:szCs w:val="32"/>
          <w:highlight w:val="none"/>
          <w:u w:val="none" w:color="auto"/>
          <w:lang w:bidi="ar-SA"/>
        </w:rPr>
        <w:t>推进乡镇邮政局所、快递网点标准化、信息化改造，提升网点服务能力</w:t>
      </w:r>
      <w:r>
        <w:rPr>
          <w:rFonts w:hint="default" w:ascii="Times New Roman" w:hAnsi="Times New Roman" w:eastAsia="仿宋_GB2312" w:cs="Times New Roman"/>
          <w:color w:val="auto"/>
          <w:kern w:val="2"/>
          <w:sz w:val="32"/>
          <w:szCs w:val="32"/>
          <w:highlight w:val="none"/>
          <w:u w:val="none" w:color="auto"/>
          <w:lang w:eastAsia="zh-CN" w:bidi="ar-SA"/>
        </w:rPr>
        <w:t>，</w:t>
      </w:r>
      <w:r>
        <w:rPr>
          <w:rFonts w:hint="eastAsia" w:ascii="Times New Roman" w:hAnsi="Times New Roman" w:eastAsia="仿宋_GB2312" w:cs="Times New Roman"/>
          <w:color w:val="auto"/>
          <w:kern w:val="2"/>
          <w:sz w:val="32"/>
          <w:szCs w:val="32"/>
          <w:highlight w:val="none"/>
          <w:u w:val="none" w:color="auto"/>
          <w:lang w:eastAsia="zh-CN" w:bidi="ar-SA"/>
        </w:rPr>
        <w:t>实现</w:t>
      </w:r>
      <w:r>
        <w:rPr>
          <w:rFonts w:hint="eastAsia" w:ascii="Times New Roman" w:hAnsi="Times New Roman" w:eastAsia="仿宋_GB2312" w:cs="Times New Roman"/>
          <w:color w:val="auto"/>
          <w:kern w:val="2"/>
          <w:sz w:val="32"/>
          <w:szCs w:val="32"/>
          <w:highlight w:val="none"/>
          <w:u w:val="none" w:color="auto"/>
          <w:lang w:val="en-US" w:eastAsia="zh-CN" w:bidi="ar-SA"/>
        </w:rPr>
        <w:t>农村寄递物流服务全覆盖</w:t>
      </w:r>
      <w:r>
        <w:rPr>
          <w:rFonts w:hint="default" w:ascii="Times New Roman" w:hAnsi="Times New Roman" w:eastAsia="仿宋_GB2312" w:cs="Times New Roman"/>
          <w:color w:val="auto"/>
          <w:kern w:val="2"/>
          <w:sz w:val="32"/>
          <w:szCs w:val="32"/>
          <w:highlight w:val="none"/>
          <w:u w:val="none" w:color="auto"/>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lang w:val="en-US" w:eastAsia="zh-CN"/>
        </w:rPr>
      </w:pPr>
      <w:bookmarkStart w:id="480" w:name="_Toc9313"/>
      <w:bookmarkStart w:id="481" w:name="_Toc27269"/>
      <w:bookmarkStart w:id="482" w:name="_Toc28756"/>
      <w:bookmarkStart w:id="483" w:name="_Toc31310"/>
      <w:bookmarkStart w:id="484" w:name="_Toc31618"/>
      <w:bookmarkStart w:id="485" w:name="_Toc1643"/>
      <w:bookmarkStart w:id="486" w:name="_Toc13843"/>
      <w:bookmarkStart w:id="487" w:name="_Toc27056"/>
      <w:bookmarkStart w:id="488" w:name="_Toc15300"/>
      <w:bookmarkStart w:id="489" w:name="_Toc22149"/>
      <w:bookmarkStart w:id="490" w:name="_Toc7293"/>
      <w:bookmarkStart w:id="491" w:name="_Toc12901"/>
      <w:bookmarkStart w:id="492" w:name="_Toc17159"/>
      <w:bookmarkStart w:id="493" w:name="_Toc24094"/>
      <w:bookmarkStart w:id="494" w:name="_Toc8825"/>
      <w:bookmarkStart w:id="495" w:name="_Toc27059"/>
      <w:bookmarkStart w:id="496" w:name="_Toc890"/>
      <w:bookmarkStart w:id="497" w:name="_Toc917"/>
      <w:bookmarkStart w:id="498" w:name="_Toc12697"/>
      <w:bookmarkStart w:id="499" w:name="_Toc6148"/>
      <w:bookmarkStart w:id="500" w:name="_Toc5267"/>
      <w:bookmarkStart w:id="501" w:name="_Toc24215"/>
      <w:bookmarkStart w:id="502" w:name="_Toc983"/>
      <w:bookmarkStart w:id="503" w:name="_Toc1646"/>
      <w:bookmarkStart w:id="504" w:name="_Toc28118"/>
      <w:r>
        <w:rPr>
          <w:rFonts w:hint="default" w:ascii="Times New Roman" w:hAnsi="Times New Roman" w:eastAsia="黑体" w:cs="Times New Roman"/>
          <w:b w:val="0"/>
          <w:bCs w:val="0"/>
          <w:color w:val="auto"/>
          <w:sz w:val="32"/>
          <w:szCs w:val="32"/>
          <w:highlight w:val="none"/>
          <w:lang w:val="en-US" w:eastAsia="zh-CN"/>
        </w:rPr>
        <w:t>四、夯实现代物流集约集聚发展基础</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u w:val="none" w:color="auto"/>
          <w:lang w:val="en-US" w:eastAsia="zh-CN" w:bidi="ar"/>
        </w:rPr>
      </w:pPr>
      <w:r>
        <w:rPr>
          <w:rFonts w:hint="default" w:ascii="Times New Roman" w:hAnsi="Times New Roman" w:eastAsia="仿宋_GB2312" w:cs="Times New Roman"/>
          <w:i w:val="0"/>
          <w:caps w:val="0"/>
          <w:color w:val="auto"/>
          <w:spacing w:val="0"/>
          <w:sz w:val="32"/>
          <w:szCs w:val="32"/>
          <w:highlight w:val="none"/>
          <w:u w:val="none" w:color="auto"/>
          <w:shd w:val="clear" w:fill="auto"/>
          <w:lang w:val="en-US" w:eastAsia="zh-CN" w:bidi="ar"/>
        </w:rPr>
        <w:t>强化园区对全市物流发展的引领和集聚作用，对标国内先进园区，统筹推进物流园区建设，形成布局合理、功能完善的现代物流园区发展格局，</w:t>
      </w:r>
      <w:r>
        <w:rPr>
          <w:rFonts w:hint="default" w:ascii="Times New Roman" w:hAnsi="Times New Roman" w:eastAsia="仿宋_GB2312" w:cs="Times New Roman"/>
          <w:i w:val="0"/>
          <w:caps w:val="0"/>
          <w:color w:val="auto"/>
          <w:spacing w:val="0"/>
          <w:sz w:val="32"/>
          <w:szCs w:val="32"/>
          <w:highlight w:val="none"/>
          <w:u w:val="none" w:color="auto"/>
          <w:shd w:val="clear" w:fill="auto"/>
          <w:lang w:eastAsia="zh-CN" w:bidi="ar"/>
        </w:rPr>
        <w:t>促进</w:t>
      </w:r>
      <w:r>
        <w:rPr>
          <w:rFonts w:hint="default" w:ascii="Times New Roman" w:hAnsi="Times New Roman" w:eastAsia="仿宋_GB2312" w:cs="Times New Roman"/>
          <w:i w:val="0"/>
          <w:caps w:val="0"/>
          <w:color w:val="auto"/>
          <w:spacing w:val="0"/>
          <w:sz w:val="32"/>
          <w:szCs w:val="32"/>
          <w:highlight w:val="none"/>
          <w:u w:val="none" w:color="auto"/>
          <w:shd w:val="clear" w:fill="auto"/>
          <w:lang w:bidi="ar"/>
        </w:rPr>
        <w:t>物流产业</w:t>
      </w: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
        </w:rPr>
        <w:t>实现园区集中、产业集聚、发展集约</w:t>
      </w:r>
      <w:r>
        <w:rPr>
          <w:rFonts w:hint="default" w:ascii="Times New Roman" w:hAnsi="Times New Roman" w:eastAsia="仿宋_GB2312" w:cs="Times New Roman"/>
          <w:i w:val="0"/>
          <w:caps w:val="0"/>
          <w:color w:val="auto"/>
          <w:spacing w:val="0"/>
          <w:sz w:val="32"/>
          <w:szCs w:val="32"/>
          <w:highlight w:val="none"/>
          <w:u w:val="none" w:color="auto"/>
          <w:shd w:val="clear" w:fill="auto"/>
          <w:lang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505" w:name="_Toc3615"/>
      <w:bookmarkStart w:id="506" w:name="_Toc29614"/>
      <w:bookmarkStart w:id="507" w:name="_Toc19907"/>
      <w:bookmarkStart w:id="508" w:name="_Toc12359"/>
      <w:bookmarkStart w:id="509" w:name="_Toc18539"/>
      <w:bookmarkStart w:id="510" w:name="_Toc10154"/>
      <w:bookmarkStart w:id="511" w:name="_Toc21915"/>
      <w:bookmarkStart w:id="512" w:name="_Toc26507"/>
      <w:bookmarkStart w:id="513" w:name="_Toc17761"/>
      <w:bookmarkStart w:id="514" w:name="_Toc15605"/>
      <w:bookmarkStart w:id="515" w:name="_Toc31359"/>
      <w:bookmarkStart w:id="516" w:name="_Toc5121"/>
      <w:bookmarkStart w:id="517" w:name="_Toc4275"/>
      <w:bookmarkStart w:id="518" w:name="_Toc25471"/>
      <w:bookmarkStart w:id="519" w:name="_Toc31128"/>
      <w:bookmarkStart w:id="520" w:name="_Toc24880"/>
      <w:bookmarkStart w:id="521" w:name="_Toc7902"/>
      <w:bookmarkStart w:id="522" w:name="_Toc487"/>
      <w:bookmarkStart w:id="523" w:name="_Toc22477"/>
      <w:bookmarkStart w:id="524" w:name="_Toc9433"/>
      <w:bookmarkStart w:id="525" w:name="_Toc30400"/>
      <w:bookmarkStart w:id="526" w:name="_Toc11715"/>
      <w:bookmarkStart w:id="527" w:name="_Toc5918"/>
      <w:bookmarkStart w:id="528" w:name="_Toc20208"/>
      <w:bookmarkStart w:id="529" w:name="_Toc24031"/>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（一）优化物流园区建设</w:t>
      </w:r>
      <w:bookmarkEnd w:id="505"/>
      <w:bookmarkEnd w:id="506"/>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布局</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i w:val="0"/>
          <w:caps w:val="0"/>
          <w:color w:val="auto"/>
          <w:spacing w:val="0"/>
          <w:sz w:val="32"/>
          <w:szCs w:val="32"/>
          <w:highlight w:val="none"/>
          <w:u w:val="none" w:color="auto"/>
          <w:lang w:val="en-US" w:eastAsia="zh-CN" w:bidi="ar"/>
        </w:rPr>
      </w:pPr>
      <w:r>
        <w:rPr>
          <w:rFonts w:hint="default" w:ascii="Times New Roman" w:hAnsi="Times New Roman" w:eastAsia="仿宋_GB2312" w:cs="Times New Roman"/>
          <w:i w:val="0"/>
          <w:caps w:val="0"/>
          <w:color w:val="auto"/>
          <w:spacing w:val="0"/>
          <w:sz w:val="32"/>
          <w:szCs w:val="32"/>
          <w:highlight w:val="none"/>
          <w:u w:val="none" w:color="auto"/>
          <w:lang w:val="en-US" w:eastAsia="zh-CN" w:bidi="ar"/>
        </w:rPr>
        <w:t>结合铁路、公路、航空等运输通道建设和国土空间规划土地分类性质，打破行政区域限制，</w:t>
      </w:r>
      <w:r>
        <w:rPr>
          <w:rFonts w:hint="default" w:ascii="Times New Roman" w:hAnsi="Times New Roman" w:eastAsia="仿宋_GB2312" w:cs="Times New Roman"/>
          <w:color w:val="auto"/>
          <w:kern w:val="2"/>
          <w:sz w:val="32"/>
          <w:szCs w:val="32"/>
          <w:highlight w:val="none"/>
          <w:u w:val="none" w:color="auto"/>
          <w:lang w:val="en-US" w:eastAsia="zh-CN" w:bidi="ar"/>
        </w:rPr>
        <w:t>因地制宜</w:t>
      </w:r>
      <w:r>
        <w:rPr>
          <w:rFonts w:hint="default" w:ascii="Times New Roman" w:hAnsi="Times New Roman" w:eastAsia="仿宋_GB2312" w:cs="Times New Roman"/>
          <w:i w:val="0"/>
          <w:caps w:val="0"/>
          <w:color w:val="auto"/>
          <w:spacing w:val="0"/>
          <w:sz w:val="32"/>
          <w:szCs w:val="32"/>
          <w:highlight w:val="none"/>
          <w:u w:val="none" w:color="auto"/>
          <w:lang w:val="en-US" w:eastAsia="zh-CN" w:bidi="ar"/>
        </w:rPr>
        <w:t>规划建设一批高质量的农业、工业、商贸物流产业园和物流科技园。全面整合现有物流综合园区、专业园区、企业自用园区资源，加快推进各类功能物流园区与煤炭、农贸等产业链条对接，嵌入产业布局，避免重复建设和同质化竞争。结合四大物流廊带建设，增强物流园区辐射作用，加快与</w:t>
      </w:r>
      <w:r>
        <w:rPr>
          <w:rFonts w:hint="eastAsia" w:ascii="Times New Roman" w:hAnsi="Times New Roman" w:eastAsia="仿宋_GB2312" w:cs="Times New Roman"/>
          <w:i w:val="0"/>
          <w:caps w:val="0"/>
          <w:color w:val="auto"/>
          <w:spacing w:val="0"/>
          <w:sz w:val="32"/>
          <w:szCs w:val="32"/>
          <w:highlight w:val="none"/>
          <w:u w:val="none" w:color="auto"/>
          <w:lang w:val="en-US" w:eastAsia="zh-CN" w:bidi="ar"/>
        </w:rPr>
        <w:t>高新区</w:t>
      </w:r>
      <w:r>
        <w:rPr>
          <w:rFonts w:hint="default" w:ascii="Times New Roman" w:hAnsi="Times New Roman" w:eastAsia="仿宋_GB2312" w:cs="Times New Roman"/>
          <w:i w:val="0"/>
          <w:caps w:val="0"/>
          <w:color w:val="auto"/>
          <w:spacing w:val="0"/>
          <w:sz w:val="32"/>
          <w:szCs w:val="32"/>
          <w:highlight w:val="none"/>
          <w:u w:val="none" w:color="auto"/>
          <w:lang w:val="en-US" w:eastAsia="zh-CN" w:bidi="ar"/>
        </w:rPr>
        <w:t>等城市发展功能区对接，配套</w:t>
      </w:r>
      <w:r>
        <w:rPr>
          <w:rFonts w:hint="default" w:ascii="Times New Roman" w:hAnsi="Times New Roman" w:eastAsia="仿宋_GB2312" w:cs="Times New Roman"/>
          <w:color w:val="auto"/>
          <w:kern w:val="2"/>
          <w:sz w:val="32"/>
          <w:szCs w:val="32"/>
          <w:highlight w:val="none"/>
          <w:u w:val="none" w:color="auto"/>
          <w:lang w:val="en-US" w:eastAsia="zh-CN" w:bidi="ar"/>
        </w:rPr>
        <w:t>建设现代化仓储设施、</w:t>
      </w:r>
      <w:r>
        <w:rPr>
          <w:rFonts w:hint="eastAsia" w:ascii="Times New Roman" w:hAnsi="Times New Roman" w:eastAsia="仿宋_GB2312" w:cs="Times New Roman"/>
          <w:color w:val="auto"/>
          <w:kern w:val="2"/>
          <w:sz w:val="32"/>
          <w:szCs w:val="32"/>
          <w:highlight w:val="none"/>
          <w:u w:val="none" w:color="auto"/>
          <w:lang w:val="en-US" w:eastAsia="zh-CN" w:bidi="ar"/>
        </w:rPr>
        <w:t>网络货运</w:t>
      </w:r>
      <w:r>
        <w:rPr>
          <w:rFonts w:hint="default" w:ascii="Times New Roman" w:hAnsi="Times New Roman" w:eastAsia="仿宋_GB2312" w:cs="Times New Roman"/>
          <w:color w:val="auto"/>
          <w:kern w:val="2"/>
          <w:sz w:val="32"/>
          <w:szCs w:val="32"/>
          <w:highlight w:val="none"/>
          <w:u w:val="none" w:color="auto"/>
          <w:lang w:val="en-US" w:eastAsia="zh-CN" w:bidi="ar"/>
        </w:rPr>
        <w:t>平台，</w:t>
      </w:r>
      <w:r>
        <w:rPr>
          <w:rFonts w:hint="default" w:ascii="Times New Roman" w:hAnsi="Times New Roman" w:eastAsia="仿宋_GB2312" w:cs="Times New Roman"/>
          <w:i w:val="0"/>
          <w:caps w:val="0"/>
          <w:color w:val="auto"/>
          <w:spacing w:val="0"/>
          <w:sz w:val="32"/>
          <w:szCs w:val="32"/>
          <w:highlight w:val="none"/>
          <w:u w:val="none" w:color="auto"/>
          <w:lang w:bidi="ar"/>
        </w:rPr>
        <w:t>拓展物流园区增值服务功能</w:t>
      </w:r>
      <w:r>
        <w:rPr>
          <w:rFonts w:hint="default" w:ascii="Times New Roman" w:hAnsi="Times New Roman" w:eastAsia="仿宋_GB2312" w:cs="Times New Roman"/>
          <w:i w:val="0"/>
          <w:caps w:val="0"/>
          <w:color w:val="auto"/>
          <w:spacing w:val="0"/>
          <w:sz w:val="32"/>
          <w:szCs w:val="32"/>
          <w:highlight w:val="none"/>
          <w:u w:val="none" w:color="auto"/>
          <w:lang w:eastAsia="zh-CN" w:bidi="ar"/>
        </w:rPr>
        <w:t>，</w:t>
      </w:r>
      <w:r>
        <w:rPr>
          <w:rFonts w:hint="default" w:ascii="Times New Roman" w:hAnsi="Times New Roman" w:eastAsia="仿宋_GB2312" w:cs="Times New Roman"/>
          <w:i w:val="0"/>
          <w:caps w:val="0"/>
          <w:color w:val="auto"/>
          <w:spacing w:val="0"/>
          <w:sz w:val="32"/>
          <w:szCs w:val="32"/>
          <w:highlight w:val="none"/>
          <w:u w:val="none" w:color="auto"/>
          <w:lang w:val="en-US" w:eastAsia="zh-CN" w:bidi="ar"/>
        </w:rPr>
        <w:t>有效满足煤炭物流、商贸物流、生活资料物流需求。</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cs="Times New Roman" w:eastAsiaTheme="minorEastAsia"/>
                <w:b/>
                <w:bCs/>
                <w:color w:val="auto"/>
                <w:sz w:val="28"/>
                <w:szCs w:val="28"/>
                <w:highlight w:val="none"/>
                <w:vertAlign w:val="baseline"/>
                <w:lang w:eastAsia="zh-CN"/>
              </w:rPr>
            </w:pPr>
            <w:r>
              <w:rPr>
                <w:rFonts w:hint="default" w:ascii="Times New Roman" w:hAnsi="Times New Roman" w:cs="Times New Roman"/>
                <w:b/>
                <w:bCs/>
                <w:color w:val="auto"/>
                <w:sz w:val="28"/>
                <w:szCs w:val="28"/>
                <w:highlight w:val="none"/>
                <w:lang w:eastAsia="zh-CN"/>
              </w:rPr>
              <w:t>专栏</w:t>
            </w:r>
            <w:r>
              <w:rPr>
                <w:rFonts w:hint="default" w:ascii="Times New Roman" w:hAnsi="Times New Roman" w:cs="Times New Roman"/>
                <w:b/>
                <w:bCs/>
                <w:color w:val="auto"/>
                <w:sz w:val="28"/>
                <w:szCs w:val="28"/>
                <w:highlight w:val="none"/>
                <w:lang w:val="en-US" w:eastAsia="zh-CN"/>
              </w:rPr>
              <w:t>4-1</w:t>
            </w:r>
            <w:r>
              <w:rPr>
                <w:rFonts w:hint="default" w:ascii="Times New Roman" w:hAnsi="Times New Roman" w:cs="Times New Roman" w:eastAsiaTheme="minorEastAsia"/>
                <w:b/>
                <w:bCs/>
                <w:color w:val="auto"/>
                <w:sz w:val="28"/>
                <w:szCs w:val="28"/>
                <w:highlight w:val="none"/>
                <w:lang w:val="en-US" w:eastAsia="zh-CN"/>
              </w:rPr>
              <w:t xml:space="preserve"> </w:t>
            </w:r>
            <w:r>
              <w:rPr>
                <w:rFonts w:hint="default" w:ascii="Times New Roman" w:hAnsi="Times New Roman" w:cs="Times New Roman"/>
                <w:b/>
                <w:bCs/>
                <w:color w:val="auto"/>
                <w:sz w:val="28"/>
                <w:szCs w:val="28"/>
                <w:highlight w:val="none"/>
                <w:lang w:val="en-US" w:eastAsia="zh-CN"/>
              </w:rPr>
              <w:t xml:space="preserve"> </w:t>
            </w:r>
            <w:r>
              <w:rPr>
                <w:rFonts w:hint="default" w:ascii="Times New Roman" w:hAnsi="Times New Roman" w:cs="Times New Roman"/>
                <w:b/>
                <w:bCs/>
                <w:color w:val="auto"/>
                <w:sz w:val="28"/>
                <w:szCs w:val="28"/>
                <w:highlight w:val="none"/>
                <w:vertAlign w:val="baseline"/>
                <w:lang w:eastAsia="zh-CN"/>
              </w:rPr>
              <w:t>物流园区建设重点项目</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b/>
                <w:bCs/>
                <w:sz w:val="24"/>
                <w:szCs w:val="24"/>
                <w:lang w:eastAsia="zh-CN"/>
              </w:rPr>
              <w:t>高新区智慧物流产业园。</w:t>
            </w:r>
            <w:r>
              <w:rPr>
                <w:rFonts w:hint="default" w:ascii="Times New Roman" w:hAnsi="Times New Roman" w:cs="Times New Roman"/>
                <w:sz w:val="24"/>
                <w:szCs w:val="24"/>
              </w:rPr>
              <w:t>建设</w:t>
            </w:r>
            <w:r>
              <w:rPr>
                <w:rFonts w:hint="default" w:ascii="Times New Roman" w:hAnsi="Times New Roman" w:cs="Times New Roman"/>
                <w:sz w:val="24"/>
                <w:szCs w:val="24"/>
                <w:lang w:val="en-US" w:eastAsia="zh-CN"/>
              </w:rPr>
              <w:t>2.7万</w:t>
            </w:r>
            <w:r>
              <w:rPr>
                <w:rFonts w:hint="default" w:ascii="Times New Roman" w:hAnsi="Times New Roman" w:cs="Times New Roman"/>
                <w:sz w:val="24"/>
                <w:szCs w:val="24"/>
              </w:rPr>
              <w:t>平</w:t>
            </w:r>
            <w:r>
              <w:rPr>
                <w:rFonts w:hint="eastAsia" w:ascii="Times New Roman" w:hAnsi="Times New Roman" w:cs="Times New Roman"/>
                <w:sz w:val="24"/>
                <w:szCs w:val="24"/>
                <w:lang w:val="en-US" w:eastAsia="zh-CN"/>
              </w:rPr>
              <w:t>方</w:t>
            </w:r>
            <w:r>
              <w:rPr>
                <w:rFonts w:hint="default" w:ascii="Times New Roman" w:hAnsi="Times New Roman" w:cs="Times New Roman"/>
                <w:sz w:val="24"/>
                <w:szCs w:val="24"/>
              </w:rPr>
              <w:t>米</w:t>
            </w:r>
            <w:r>
              <w:rPr>
                <w:rFonts w:hint="default" w:ascii="Times New Roman" w:hAnsi="Times New Roman" w:cs="Times New Roman"/>
                <w:sz w:val="24"/>
                <w:szCs w:val="24"/>
                <w:lang w:eastAsia="zh-CN"/>
              </w:rPr>
              <w:t>保税物流中心和</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万平</w:t>
            </w:r>
            <w:r>
              <w:rPr>
                <w:rFonts w:hint="eastAsia" w:ascii="Times New Roman" w:hAnsi="Times New Roman" w:cs="Times New Roman"/>
                <w:sz w:val="24"/>
                <w:szCs w:val="24"/>
                <w:lang w:val="en-US" w:eastAsia="zh-CN"/>
              </w:rPr>
              <w:t>方</w:t>
            </w:r>
            <w:r>
              <w:rPr>
                <w:rFonts w:hint="default" w:ascii="Times New Roman" w:hAnsi="Times New Roman" w:cs="Times New Roman"/>
                <w:sz w:val="24"/>
                <w:szCs w:val="24"/>
              </w:rPr>
              <w:t>米</w:t>
            </w:r>
            <w:r>
              <w:rPr>
                <w:rFonts w:hint="default" w:ascii="Times New Roman" w:hAnsi="Times New Roman" w:cs="Times New Roman"/>
                <w:sz w:val="24"/>
                <w:szCs w:val="24"/>
                <w:lang w:eastAsia="zh-CN"/>
              </w:rPr>
              <w:t>综合仓储服务区</w:t>
            </w:r>
            <w:r>
              <w:rPr>
                <w:rFonts w:hint="default" w:ascii="Times New Roman" w:hAnsi="Times New Roman" w:cs="Times New Roman"/>
                <w:sz w:val="24"/>
                <w:szCs w:val="24"/>
              </w:rPr>
              <w:t>，打造以国际物流业务为主体的智能化物流园</w:t>
            </w:r>
            <w:r>
              <w:rPr>
                <w:rFonts w:hint="default" w:ascii="Times New Roman" w:hAnsi="Times New Roman" w:cs="Times New Roman"/>
                <w:sz w:val="24"/>
                <w:szCs w:val="24"/>
                <w:lang w:eastAsia="zh-CN"/>
              </w:rPr>
              <w:t>区</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瑞泰物流园。</w:t>
            </w:r>
            <w:r>
              <w:rPr>
                <w:rFonts w:hint="default" w:ascii="Times New Roman" w:hAnsi="Times New Roman" w:cs="Times New Roman"/>
                <w:sz w:val="24"/>
                <w:szCs w:val="24"/>
                <w:lang w:eastAsia="zh-CN"/>
              </w:rPr>
              <w:t>建设</w:t>
            </w:r>
            <w:r>
              <w:rPr>
                <w:rFonts w:hint="default" w:ascii="Times New Roman" w:hAnsi="Times New Roman" w:cs="Times New Roman"/>
                <w:sz w:val="24"/>
                <w:szCs w:val="24"/>
              </w:rPr>
              <w:t>集商品仓储、运输、智能配送为一体的综合物流园，开展铁路集装箱货物货运业务。</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合瑞源物流园。</w:t>
            </w:r>
            <w:r>
              <w:rPr>
                <w:rFonts w:hint="default" w:ascii="Times New Roman" w:hAnsi="Times New Roman" w:cs="Times New Roman"/>
                <w:sz w:val="24"/>
                <w:szCs w:val="24"/>
                <w:lang w:val="en-US" w:eastAsia="zh-CN"/>
              </w:rPr>
              <w:t>新建货运站台，铺设3.6KM铁路专线，搭建全封闭式棚，购置并配套相关设施设备。</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山西通宝鑫能智能仓储物流园。</w:t>
            </w:r>
            <w:r>
              <w:rPr>
                <w:rFonts w:hint="default" w:ascii="Times New Roman" w:hAnsi="Times New Roman" w:cs="Times New Roman"/>
                <w:sz w:val="24"/>
                <w:szCs w:val="24"/>
              </w:rPr>
              <w:t>建设大型仓储物流配送、智能物流企业孵化、高科技物流信息等平台，配套建设智能车源中心、货运班车总站、生活服务中心、服务管理中心等</w:t>
            </w:r>
            <w:r>
              <w:rPr>
                <w:rFonts w:hint="default" w:ascii="Times New Roman" w:hAnsi="Times New Roman" w:cs="Times New Roman"/>
                <w:sz w:val="24"/>
                <w:szCs w:val="24"/>
                <w:lang w:eastAsia="zh-CN"/>
              </w:rPr>
              <w:t>公共服务设施</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城南冷链物流产业园。</w:t>
            </w:r>
            <w:r>
              <w:rPr>
                <w:rFonts w:hint="default" w:ascii="Times New Roman" w:hAnsi="Times New Roman" w:cs="Times New Roman"/>
                <w:sz w:val="24"/>
                <w:szCs w:val="24"/>
                <w:lang w:val="en-US" w:eastAsia="zh-CN"/>
              </w:rPr>
              <w:t>新建冷库、物流配送用房、综合加工用房、中央大厨房、交易和物流中心、办公及信息管理用房、生活商务及服务用房等；配套建设道路、给排水、供电、电信、环卫等基础设施。</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eastAsia="宋体" w:cs="Times New Roman"/>
                <w:b/>
                <w:bCs/>
                <w:color w:val="auto"/>
                <w:szCs w:val="28"/>
                <w:highlight w:val="none"/>
                <w:vertAlign w:val="baseline"/>
                <w:lang w:eastAsia="zh-CN"/>
              </w:rPr>
            </w:pPr>
            <w:r>
              <w:rPr>
                <w:rFonts w:hint="default" w:ascii="Times New Roman" w:hAnsi="Times New Roman" w:cs="Times New Roman"/>
                <w:b/>
                <w:bCs/>
                <w:sz w:val="24"/>
                <w:szCs w:val="24"/>
                <w:lang w:val="en-US" w:eastAsia="zh-CN"/>
              </w:rPr>
              <w:t>顺康双业融合</w:t>
            </w:r>
            <w:r>
              <w:rPr>
                <w:rFonts w:hint="default" w:ascii="Times New Roman" w:hAnsi="Times New Roman" w:cs="Times New Roman"/>
                <w:b/>
                <w:bCs/>
                <w:sz w:val="24"/>
                <w:szCs w:val="24"/>
                <w:lang w:eastAsia="zh-CN"/>
              </w:rPr>
              <w:t>现代物流集聚区。</w:t>
            </w:r>
            <w:r>
              <w:rPr>
                <w:rFonts w:hint="default" w:ascii="Times New Roman" w:hAnsi="Times New Roman" w:cs="Times New Roman"/>
                <w:sz w:val="24"/>
                <w:szCs w:val="24"/>
                <w:lang w:eastAsia="zh-CN"/>
              </w:rPr>
              <w:t>建设集电商营销、推广企业、仓储物流配送等为一体的一站式综合物流电子商务产业园区，具备营销推广、企业成长孵化、线上线下产品展示及仓储物流、售后服务等功能。</w:t>
            </w:r>
            <w:r>
              <w:rPr>
                <w:rFonts w:hint="default" w:ascii="Times New Roman" w:hAnsi="Times New Roman" w:cs="Times New Roman"/>
                <w:sz w:val="24"/>
                <w:szCs w:val="24"/>
              </w:rPr>
              <w:t>新建总面积为17000平</w:t>
            </w:r>
            <w:r>
              <w:rPr>
                <w:rFonts w:hint="eastAsia" w:ascii="Times New Roman" w:hAnsi="Times New Roman" w:cs="Times New Roman"/>
                <w:sz w:val="24"/>
                <w:szCs w:val="24"/>
                <w:lang w:val="en-US" w:eastAsia="zh-CN"/>
              </w:rPr>
              <w:t>方</w:t>
            </w:r>
            <w:r>
              <w:rPr>
                <w:rFonts w:hint="default" w:ascii="Times New Roman" w:hAnsi="Times New Roman" w:cs="Times New Roman"/>
                <w:sz w:val="24"/>
                <w:szCs w:val="24"/>
              </w:rPr>
              <w:t>米的物流基地</w:t>
            </w:r>
            <w:r>
              <w:rPr>
                <w:rFonts w:hint="default" w:ascii="Times New Roman" w:hAnsi="Times New Roman" w:cs="Times New Roman"/>
                <w:sz w:val="24"/>
                <w:szCs w:val="24"/>
                <w:lang w:eastAsia="zh-CN"/>
              </w:rPr>
              <w:t>，</w:t>
            </w:r>
            <w:r>
              <w:rPr>
                <w:rFonts w:hint="default" w:ascii="Times New Roman" w:hAnsi="Times New Roman" w:cs="Times New Roman"/>
                <w:sz w:val="24"/>
                <w:szCs w:val="24"/>
              </w:rPr>
              <w:t>包括冷库</w:t>
            </w:r>
            <w:r>
              <w:rPr>
                <w:rFonts w:hint="default" w:ascii="Times New Roman" w:hAnsi="Times New Roman" w:cs="Times New Roman"/>
                <w:sz w:val="24"/>
                <w:szCs w:val="24"/>
                <w:lang w:eastAsia="zh-CN"/>
              </w:rPr>
              <w:t>、</w:t>
            </w:r>
            <w:r>
              <w:rPr>
                <w:rFonts w:hint="default" w:ascii="Times New Roman" w:hAnsi="Times New Roman" w:cs="Times New Roman"/>
                <w:sz w:val="24"/>
                <w:szCs w:val="24"/>
              </w:rPr>
              <w:t>恒温库</w:t>
            </w:r>
            <w:r>
              <w:rPr>
                <w:rFonts w:hint="default" w:ascii="Times New Roman" w:hAnsi="Times New Roman" w:cs="Times New Roman"/>
                <w:sz w:val="24"/>
                <w:szCs w:val="24"/>
                <w:lang w:eastAsia="zh-CN"/>
              </w:rPr>
              <w:t>、</w:t>
            </w:r>
            <w:r>
              <w:rPr>
                <w:rFonts w:hint="default" w:ascii="Times New Roman" w:hAnsi="Times New Roman" w:cs="Times New Roman"/>
                <w:sz w:val="24"/>
                <w:szCs w:val="24"/>
              </w:rPr>
              <w:t>常温库</w:t>
            </w:r>
            <w:r>
              <w:rPr>
                <w:rFonts w:hint="default" w:ascii="Times New Roman" w:hAnsi="Times New Roman" w:cs="Times New Roman"/>
                <w:sz w:val="24"/>
                <w:szCs w:val="24"/>
                <w:lang w:eastAsia="zh-CN"/>
              </w:rPr>
              <w:t>和</w:t>
            </w:r>
            <w:r>
              <w:rPr>
                <w:rFonts w:hint="default" w:ascii="Times New Roman" w:hAnsi="Times New Roman" w:cs="Times New Roman"/>
                <w:sz w:val="24"/>
                <w:szCs w:val="24"/>
              </w:rPr>
              <w:t>其他附属</w:t>
            </w:r>
            <w:r>
              <w:rPr>
                <w:rFonts w:hint="default" w:ascii="Times New Roman" w:hAnsi="Times New Roman" w:cs="Times New Roman"/>
                <w:sz w:val="24"/>
                <w:szCs w:val="24"/>
                <w:lang w:eastAsia="zh-CN"/>
              </w:rPr>
              <w:t>办公</w:t>
            </w:r>
            <w:r>
              <w:rPr>
                <w:rFonts w:hint="default" w:ascii="Times New Roman" w:hAnsi="Times New Roman" w:cs="Times New Roman"/>
                <w:sz w:val="24"/>
                <w:szCs w:val="24"/>
              </w:rPr>
              <w:t>设施</w:t>
            </w:r>
            <w:r>
              <w:rPr>
                <w:rFonts w:hint="default" w:ascii="Times New Roman" w:hAnsi="Times New Roman" w:cs="Times New Roman"/>
                <w:sz w:val="24"/>
                <w:szCs w:val="24"/>
                <w:lang w:eastAsia="zh-CN"/>
              </w:rPr>
              <w:t>。</w:t>
            </w:r>
          </w:p>
        </w:tc>
      </w:tr>
    </w:tbl>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530" w:name="_Toc15712"/>
      <w:bookmarkStart w:id="531" w:name="_Toc16285"/>
      <w:bookmarkStart w:id="532" w:name="_Toc23497"/>
      <w:bookmarkStart w:id="533" w:name="_Toc10878"/>
      <w:bookmarkStart w:id="534" w:name="_Toc17118"/>
      <w:bookmarkStart w:id="535" w:name="_Toc28316"/>
      <w:bookmarkStart w:id="536" w:name="_Toc31628"/>
      <w:bookmarkStart w:id="537" w:name="_Toc26627"/>
      <w:bookmarkStart w:id="538" w:name="_Toc23903"/>
      <w:bookmarkStart w:id="539" w:name="_Toc7385"/>
      <w:bookmarkStart w:id="540" w:name="_Toc10486"/>
      <w:bookmarkStart w:id="541" w:name="_Toc26329"/>
      <w:bookmarkStart w:id="542" w:name="_Toc9744"/>
      <w:bookmarkStart w:id="543" w:name="_Toc12162"/>
      <w:bookmarkStart w:id="544" w:name="_Toc29339"/>
      <w:bookmarkStart w:id="545" w:name="_Toc9089"/>
      <w:bookmarkStart w:id="546" w:name="_Toc27966"/>
      <w:bookmarkStart w:id="547" w:name="_Toc13823"/>
      <w:bookmarkStart w:id="548" w:name="_Toc5204"/>
      <w:bookmarkStart w:id="549" w:name="_Toc11001"/>
      <w:bookmarkStart w:id="550" w:name="_Toc20500"/>
      <w:bookmarkStart w:id="551" w:name="_Toc17938"/>
      <w:bookmarkStart w:id="552" w:name="_Toc9317"/>
      <w:bookmarkStart w:id="553" w:name="_Toc5422"/>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（二）完善物流园区基础设施</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ind w:firstLine="640" w:firstLineChars="200"/>
        <w:jc w:val="both"/>
        <w:outlineLvl w:val="9"/>
        <w:rPr>
          <w:rFonts w:hint="default" w:ascii="Times New Roman" w:hAnsi="Times New Roman" w:eastAsia="仿宋_GB2312" w:cs="Times New Roman"/>
          <w:color w:val="auto"/>
          <w:sz w:val="32"/>
          <w:szCs w:val="32"/>
          <w:highlight w:val="none"/>
          <w:u w:val="none" w:color="auto"/>
        </w:rPr>
      </w:pPr>
      <w:r>
        <w:rPr>
          <w:rFonts w:hint="default" w:ascii="Times New Roman" w:hAnsi="Times New Roman" w:eastAsia="仿宋_GB2312" w:cs="Times New Roman"/>
          <w:b w:val="0"/>
          <w:bCs w:val="0"/>
          <w:color w:val="auto"/>
          <w:kern w:val="2"/>
          <w:sz w:val="32"/>
          <w:szCs w:val="32"/>
          <w:highlight w:val="none"/>
          <w:u w:val="none" w:color="auto"/>
          <w:lang w:val="en-US" w:eastAsia="zh-CN" w:bidi="ar"/>
        </w:rPr>
        <w:t>以工业园区为载体，引导资本、技术和项目向各园区集中，加快园区土地开发和基础设施建设，为物流产业集群落地提供空间保障。</w:t>
      </w:r>
      <w:r>
        <w:rPr>
          <w:rFonts w:hint="default" w:ascii="Times New Roman" w:hAnsi="Times New Roman" w:eastAsia="仿宋_GB2312" w:cs="Times New Roman"/>
          <w:i w:val="0"/>
          <w:caps w:val="0"/>
          <w:color w:val="auto"/>
          <w:spacing w:val="0"/>
          <w:sz w:val="32"/>
          <w:szCs w:val="32"/>
          <w:highlight w:val="none"/>
          <w:u w:val="none" w:color="auto"/>
          <w:lang w:bidi="ar"/>
        </w:rPr>
        <w:t>推进物流园区转型升级，加强园区水、电、路、网络、通信、热力等基础设施</w:t>
      </w:r>
      <w:r>
        <w:rPr>
          <w:rFonts w:hint="default" w:ascii="Times New Roman" w:hAnsi="Times New Roman" w:eastAsia="仿宋_GB2312" w:cs="Times New Roman"/>
          <w:color w:val="auto"/>
          <w:kern w:val="2"/>
          <w:sz w:val="32"/>
          <w:szCs w:val="32"/>
          <w:highlight w:val="none"/>
          <w:u w:val="none" w:color="auto"/>
          <w:lang w:val="en-US" w:eastAsia="zh-CN" w:bidi="ar"/>
        </w:rPr>
        <w:t>和生活配套设施</w:t>
      </w:r>
      <w:r>
        <w:rPr>
          <w:rFonts w:hint="default" w:ascii="Times New Roman" w:hAnsi="Times New Roman" w:eastAsia="仿宋_GB2312" w:cs="Times New Roman"/>
          <w:i w:val="0"/>
          <w:caps w:val="0"/>
          <w:color w:val="auto"/>
          <w:spacing w:val="0"/>
          <w:sz w:val="32"/>
          <w:szCs w:val="32"/>
          <w:highlight w:val="none"/>
          <w:u w:val="none" w:color="auto"/>
          <w:lang w:bidi="ar"/>
        </w:rPr>
        <w:t>建设，提升仓储、运输、配送、信息等公共服务水平</w:t>
      </w:r>
      <w:r>
        <w:rPr>
          <w:rFonts w:hint="default" w:ascii="Times New Roman" w:hAnsi="Times New Roman" w:eastAsia="仿宋_GB2312" w:cs="Times New Roman"/>
          <w:i w:val="0"/>
          <w:caps w:val="0"/>
          <w:color w:val="auto"/>
          <w:spacing w:val="0"/>
          <w:sz w:val="32"/>
          <w:szCs w:val="32"/>
          <w:highlight w:val="none"/>
          <w:u w:val="none" w:color="auto"/>
          <w:lang w:eastAsia="zh-CN" w:bidi="ar"/>
        </w:rPr>
        <w:t>。</w:t>
      </w:r>
      <w:r>
        <w:rPr>
          <w:rFonts w:hint="default" w:ascii="Times New Roman" w:hAnsi="Times New Roman" w:eastAsia="仿宋_GB2312" w:cs="Times New Roman"/>
          <w:b w:val="0"/>
          <w:bCs w:val="0"/>
          <w:color w:val="auto"/>
          <w:sz w:val="32"/>
          <w:szCs w:val="32"/>
          <w:highlight w:val="none"/>
          <w:u w:val="none" w:color="auto"/>
          <w:lang w:val="en-US" w:eastAsia="zh-CN"/>
        </w:rPr>
        <w:t>鼓励各类物流园区建设标准化托盘循环共用体系，共享物流基础设施</w:t>
      </w:r>
      <w:r>
        <w:rPr>
          <w:rFonts w:hint="default" w:ascii="Times New Roman" w:hAnsi="Times New Roman" w:eastAsia="仿宋_GB2312" w:cs="Times New Roman"/>
          <w:color w:val="auto"/>
          <w:kern w:val="2"/>
          <w:sz w:val="32"/>
          <w:szCs w:val="32"/>
          <w:highlight w:val="none"/>
          <w:u w:val="none" w:color="auto"/>
          <w:lang w:val="en-US" w:eastAsia="zh-CN" w:bidi="ar"/>
        </w:rPr>
        <w:t>。</w:t>
      </w:r>
      <w:r>
        <w:rPr>
          <w:rFonts w:hint="default" w:ascii="Times New Roman" w:hAnsi="Times New Roman" w:eastAsia="仿宋_GB2312" w:cs="Times New Roman"/>
          <w:b w:val="0"/>
          <w:bCs w:val="0"/>
          <w:color w:val="auto"/>
          <w:sz w:val="32"/>
          <w:szCs w:val="32"/>
          <w:highlight w:val="none"/>
          <w:u w:val="none" w:color="auto"/>
          <w:lang w:val="en-US" w:eastAsia="zh-CN"/>
        </w:rPr>
        <w:t>支持园区龙头企业改造</w:t>
      </w:r>
      <w:r>
        <w:rPr>
          <w:rFonts w:hint="default" w:ascii="Times New Roman" w:hAnsi="Times New Roman" w:eastAsia="仿宋_GB2312" w:cs="Times New Roman"/>
          <w:color w:val="auto"/>
          <w:kern w:val="2"/>
          <w:sz w:val="32"/>
          <w:szCs w:val="32"/>
          <w:highlight w:val="none"/>
          <w:u w:val="none" w:color="auto"/>
          <w:lang w:val="en-US" w:eastAsia="zh-CN" w:bidi="ar"/>
        </w:rPr>
        <w:t>自用物流基础设施</w:t>
      </w:r>
      <w:r>
        <w:rPr>
          <w:rFonts w:hint="default" w:ascii="Times New Roman" w:hAnsi="Times New Roman" w:eastAsia="仿宋_GB2312" w:cs="Times New Roman"/>
          <w:b w:val="0"/>
          <w:bCs w:val="0"/>
          <w:color w:val="auto"/>
          <w:sz w:val="32"/>
          <w:szCs w:val="32"/>
          <w:highlight w:val="none"/>
          <w:u w:val="none" w:color="auto"/>
          <w:lang w:val="en-US" w:eastAsia="zh-CN"/>
        </w:rPr>
        <w:t>，加快智能设备更新换代，升级仓储转运设备，推广应用智能仓储机器人、自动分拣包装设备，建设自动化仓库。</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554" w:name="_Toc31299"/>
      <w:bookmarkStart w:id="555" w:name="_Toc10461"/>
      <w:bookmarkStart w:id="556" w:name="_Toc6738"/>
      <w:bookmarkStart w:id="557" w:name="_Toc25761"/>
      <w:bookmarkStart w:id="558" w:name="_Toc23348"/>
      <w:bookmarkStart w:id="559" w:name="_Toc14927"/>
      <w:bookmarkStart w:id="560" w:name="_Toc15183"/>
      <w:bookmarkStart w:id="561" w:name="_Toc28303"/>
      <w:bookmarkStart w:id="562" w:name="_Toc7885"/>
      <w:bookmarkStart w:id="563" w:name="_Toc20389"/>
      <w:bookmarkStart w:id="564" w:name="_Toc22626"/>
      <w:bookmarkStart w:id="565" w:name="_Toc17006"/>
      <w:bookmarkStart w:id="566" w:name="_Toc25603"/>
      <w:bookmarkStart w:id="567" w:name="_Toc25987"/>
      <w:bookmarkStart w:id="568" w:name="_Toc21669"/>
      <w:bookmarkStart w:id="569" w:name="_Toc25189"/>
      <w:bookmarkStart w:id="570" w:name="_Toc32280"/>
      <w:bookmarkStart w:id="571" w:name="_Toc22032"/>
      <w:bookmarkStart w:id="572" w:name="_Toc14001"/>
      <w:bookmarkStart w:id="573" w:name="_Toc22604"/>
      <w:bookmarkStart w:id="574" w:name="_Toc28559"/>
      <w:bookmarkStart w:id="575" w:name="_Toc15410"/>
      <w:bookmarkStart w:id="576" w:name="_Toc8652"/>
      <w:bookmarkStart w:id="577" w:name="_Toc18981"/>
      <w:bookmarkStart w:id="578" w:name="_Toc12052"/>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（三）加强本土物流企业培育</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contextualSpacing w:val="0"/>
        <w:textAlignment w:val="auto"/>
        <w:outlineLvl w:val="9"/>
        <w:rPr>
          <w:rFonts w:hint="default" w:ascii="Times New Roman" w:hAnsi="Times New Roman" w:eastAsia="仿宋_GB2312" w:cs="Times New Roman"/>
          <w:color w:val="auto"/>
          <w:kern w:val="2"/>
          <w:sz w:val="32"/>
          <w:szCs w:val="32"/>
          <w:highlight w:val="none"/>
          <w:u w:val="none" w:color="auto"/>
        </w:rPr>
      </w:pPr>
      <w:r>
        <w:rPr>
          <w:rFonts w:hint="default" w:ascii="Times New Roman" w:hAnsi="Times New Roman" w:eastAsia="仿宋_GB2312" w:cs="Times New Roman"/>
          <w:i w:val="0"/>
          <w:caps w:val="0"/>
          <w:color w:val="auto"/>
          <w:spacing w:val="0"/>
          <w:sz w:val="32"/>
          <w:szCs w:val="32"/>
          <w:highlight w:val="none"/>
          <w:u w:val="none" w:color="auto"/>
          <w:lang w:val="en-US" w:eastAsia="zh-CN" w:bidi="ar"/>
        </w:rPr>
        <w:t>鼓励在建和规划的大型物流园区和物流基地在内部设立物流配送中心，成立物流企业。</w:t>
      </w:r>
      <w:r>
        <w:rPr>
          <w:rFonts w:hint="default" w:ascii="Times New Roman" w:hAnsi="Times New Roman" w:eastAsia="仿宋_GB2312" w:cs="Times New Roman"/>
          <w:color w:val="auto"/>
          <w:sz w:val="32"/>
          <w:szCs w:val="32"/>
          <w:highlight w:val="none"/>
          <w:u w:val="none" w:color="auto"/>
          <w:lang w:eastAsia="zh-CN"/>
        </w:rPr>
        <w:t>利用国有工业企业实行主辅分离改革机会，</w:t>
      </w:r>
      <w:r>
        <w:rPr>
          <w:rFonts w:hint="default" w:ascii="Times New Roman" w:hAnsi="Times New Roman" w:eastAsia="仿宋_GB2312" w:cs="Times New Roman"/>
          <w:color w:val="auto"/>
          <w:sz w:val="32"/>
          <w:szCs w:val="32"/>
          <w:highlight w:val="none"/>
          <w:u w:val="none" w:color="auto"/>
        </w:rPr>
        <w:t>支</w:t>
      </w:r>
      <w:r>
        <w:rPr>
          <w:rFonts w:hint="default" w:ascii="Times New Roman" w:hAnsi="Times New Roman" w:eastAsia="仿宋_GB2312" w:cs="Times New Roman"/>
          <w:color w:val="auto"/>
          <w:sz w:val="32"/>
          <w:szCs w:val="32"/>
          <w:highlight w:val="none"/>
        </w:rPr>
        <w:t>持</w:t>
      </w:r>
      <w:r>
        <w:rPr>
          <w:rFonts w:hint="default" w:ascii="Times New Roman" w:hAnsi="Times New Roman" w:eastAsia="仿宋_GB2312" w:cs="Times New Roman"/>
          <w:color w:val="auto"/>
          <w:spacing w:val="0"/>
          <w:sz w:val="32"/>
          <w:szCs w:val="32"/>
          <w:highlight w:val="none"/>
          <w:lang w:val="en-US" w:eastAsia="zh-CN"/>
        </w:rPr>
        <w:t>骨干物流企业</w:t>
      </w:r>
      <w:r>
        <w:rPr>
          <w:rFonts w:hint="default" w:ascii="Times New Roman" w:hAnsi="Times New Roman" w:eastAsia="仿宋_GB2312" w:cs="Times New Roman"/>
          <w:color w:val="auto"/>
          <w:sz w:val="32"/>
          <w:szCs w:val="32"/>
          <w:highlight w:val="none"/>
        </w:rPr>
        <w:t>通过股份制改革、兼并重组等多样化途径，实现股权多元化和跨地区、跨行业经营，</w:t>
      </w:r>
      <w:r>
        <w:rPr>
          <w:rFonts w:hint="default" w:ascii="Times New Roman" w:hAnsi="Times New Roman" w:eastAsia="仿宋_GB2312" w:cs="Times New Roman"/>
          <w:color w:val="auto"/>
          <w:sz w:val="32"/>
          <w:szCs w:val="32"/>
          <w:highlight w:val="none"/>
          <w:u w:val="none" w:color="auto"/>
        </w:rPr>
        <w:t>形成一批服务水平高、竞争力强的现代物流品牌企业。</w:t>
      </w:r>
      <w:r>
        <w:rPr>
          <w:rFonts w:hint="default" w:ascii="Times New Roman" w:hAnsi="Times New Roman" w:eastAsia="仿宋_GB2312" w:cs="Times New Roman"/>
          <w:b w:val="0"/>
          <w:bCs w:val="0"/>
          <w:color w:val="auto"/>
          <w:sz w:val="32"/>
          <w:szCs w:val="32"/>
          <w:highlight w:val="none"/>
          <w:u w:val="none" w:color="auto"/>
          <w:lang w:val="en-US" w:eastAsia="zh-CN"/>
        </w:rPr>
        <w:t>开展物流企业试点示范，在</w:t>
      </w:r>
      <w:r>
        <w:rPr>
          <w:rFonts w:hint="eastAsia" w:ascii="Times New Roman" w:hAnsi="Times New Roman" w:eastAsia="仿宋_GB2312" w:cs="Times New Roman"/>
          <w:color w:val="auto"/>
          <w:sz w:val="32"/>
          <w:szCs w:val="32"/>
          <w:highlight w:val="none"/>
          <w:lang w:eastAsia="zh-CN"/>
        </w:rPr>
        <w:t>大宗货物</w:t>
      </w:r>
      <w:r>
        <w:rPr>
          <w:rFonts w:hint="default" w:ascii="Times New Roman" w:hAnsi="Times New Roman" w:eastAsia="仿宋_GB2312" w:cs="Times New Roman"/>
          <w:color w:val="auto"/>
          <w:sz w:val="32"/>
          <w:szCs w:val="32"/>
          <w:highlight w:val="none"/>
        </w:rPr>
        <w:t>、农副产品等细分市场</w:t>
      </w:r>
      <w:r>
        <w:rPr>
          <w:rFonts w:hint="default" w:ascii="Times New Roman" w:hAnsi="Times New Roman" w:eastAsia="仿宋_GB2312" w:cs="Times New Roman"/>
          <w:b w:val="0"/>
          <w:bCs w:val="0"/>
          <w:color w:val="auto"/>
          <w:sz w:val="32"/>
          <w:szCs w:val="32"/>
          <w:highlight w:val="none"/>
          <w:u w:val="none" w:color="auto"/>
          <w:lang w:val="en-US" w:eastAsia="zh-CN"/>
        </w:rPr>
        <w:t>评选认定一批物流试点示范企业。</w:t>
      </w:r>
      <w:r>
        <w:rPr>
          <w:rFonts w:hint="default" w:ascii="Times New Roman" w:hAnsi="Times New Roman" w:eastAsia="仿宋_GB2312" w:cs="Times New Roman"/>
          <w:color w:val="auto"/>
          <w:kern w:val="2"/>
          <w:sz w:val="32"/>
          <w:szCs w:val="32"/>
          <w:highlight w:val="none"/>
          <w:u w:val="none" w:color="auto"/>
        </w:rPr>
        <w:t>大力发展物流配套产业，培育本地包装、装配等物流服务主体。</w:t>
      </w:r>
      <w:r>
        <w:rPr>
          <w:rFonts w:hint="default" w:ascii="Times New Roman" w:hAnsi="Times New Roman" w:eastAsia="仿宋_GB2312" w:cs="Times New Roman"/>
          <w:b w:val="0"/>
          <w:bCs w:val="0"/>
          <w:color w:val="auto"/>
          <w:sz w:val="32"/>
          <w:szCs w:val="32"/>
          <w:highlight w:val="none"/>
          <w:u w:val="none" w:color="auto"/>
          <w:lang w:val="en-US" w:eastAsia="zh-CN"/>
        </w:rPr>
        <w:t>在制造业与物流业联动发展、电子商务与物流协同发展、物流信息平台建设等方面鼓励支持一批新项目。</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鼓励工商企业与物流企业、物流企业与运输、仓储、货代、联运、集装箱运输等企业进行合作联盟，</w:t>
      </w:r>
      <w:r>
        <w:rPr>
          <w:rFonts w:hint="default" w:ascii="Times New Roman" w:hAnsi="Times New Roman" w:eastAsia="仿宋_GB2312" w:cs="Times New Roman"/>
          <w:i w:val="0"/>
          <w:caps w:val="0"/>
          <w:color w:val="auto"/>
          <w:spacing w:val="0"/>
          <w:sz w:val="32"/>
          <w:szCs w:val="32"/>
          <w:highlight w:val="none"/>
          <w:u w:val="none" w:color="auto"/>
          <w:shd w:val="clear"/>
          <w:lang w:eastAsia="zh-CN"/>
        </w:rPr>
        <w:t>优先服务制造业、新材料产业。支持本土邮政、快递企业发展壮大。</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2" w:firstLineChars="200"/>
        <w:contextualSpacing w:val="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579" w:name="_Toc17987"/>
      <w:bookmarkStart w:id="580" w:name="_Toc13821"/>
      <w:bookmarkStart w:id="581" w:name="_Toc14637"/>
      <w:bookmarkStart w:id="582" w:name="_Toc1127"/>
      <w:bookmarkStart w:id="583" w:name="_Toc26771"/>
      <w:bookmarkStart w:id="584" w:name="_Toc29046"/>
      <w:bookmarkStart w:id="585" w:name="_Toc5644"/>
      <w:bookmarkStart w:id="586" w:name="_Toc18092"/>
      <w:bookmarkStart w:id="587" w:name="_Toc9604"/>
      <w:bookmarkStart w:id="588" w:name="_Toc16891"/>
      <w:bookmarkStart w:id="589" w:name="_Toc1997"/>
      <w:bookmarkStart w:id="590" w:name="_Toc4194"/>
      <w:bookmarkStart w:id="591" w:name="_Toc11610"/>
      <w:bookmarkStart w:id="592" w:name="_Toc31830"/>
      <w:bookmarkStart w:id="593" w:name="_Toc11439"/>
      <w:bookmarkStart w:id="594" w:name="_Toc13242"/>
      <w:bookmarkStart w:id="595" w:name="_Toc29921"/>
      <w:bookmarkStart w:id="596" w:name="_Toc28567"/>
      <w:bookmarkStart w:id="597" w:name="_Toc9185"/>
      <w:bookmarkStart w:id="598" w:name="_Toc8203"/>
      <w:bookmarkStart w:id="599" w:name="_Toc28101"/>
      <w:bookmarkStart w:id="600" w:name="_Toc17738"/>
      <w:bookmarkStart w:id="601" w:name="_Toc9990"/>
      <w:bookmarkStart w:id="602" w:name="_Toc22457"/>
      <w:bookmarkStart w:id="603" w:name="_Toc16345"/>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（四）</w:t>
      </w:r>
      <w:bookmarkEnd w:id="579"/>
      <w:bookmarkEnd w:id="580"/>
      <w:bookmarkEnd w:id="581"/>
      <w:bookmarkEnd w:id="582"/>
      <w:bookmarkEnd w:id="583"/>
      <w:bookmarkStart w:id="604" w:name="_Toc32294"/>
      <w:bookmarkStart w:id="605" w:name="_Toc22494"/>
      <w:bookmarkStart w:id="606" w:name="_Toc16118"/>
      <w:bookmarkStart w:id="607" w:name="_Toc18405"/>
      <w:bookmarkStart w:id="608" w:name="_Toc30680"/>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积极招引知名物流企业</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contextualSpacing w:val="0"/>
        <w:textAlignment w:val="auto"/>
        <w:outlineLvl w:val="9"/>
        <w:rPr>
          <w:rFonts w:hint="default" w:ascii="Times New Roman" w:hAnsi="Times New Roman"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color w:val="auto"/>
          <w:sz w:val="32"/>
          <w:szCs w:val="32"/>
          <w:highlight w:val="none"/>
          <w:u w:val="none" w:color="auto"/>
          <w:lang w:eastAsia="zh-CN"/>
        </w:rPr>
        <w:t>加大招商引资力度，</w:t>
      </w:r>
      <w:r>
        <w:rPr>
          <w:rFonts w:hint="default" w:ascii="Times New Roman" w:hAnsi="Times New Roman" w:eastAsia="仿宋_GB2312" w:cs="Times New Roman"/>
          <w:color w:val="auto"/>
          <w:kern w:val="2"/>
          <w:sz w:val="32"/>
          <w:szCs w:val="32"/>
          <w:highlight w:val="none"/>
          <w:u w:val="none" w:color="auto"/>
          <w:lang w:eastAsia="zh-CN"/>
        </w:rPr>
        <w:t>加强与</w:t>
      </w:r>
      <w:r>
        <w:rPr>
          <w:rFonts w:hint="eastAsia" w:ascii="Times New Roman" w:hAnsi="Times New Roman" w:eastAsia="仿宋_GB2312" w:cs="Times New Roman"/>
          <w:color w:val="auto"/>
          <w:kern w:val="2"/>
          <w:sz w:val="32"/>
          <w:szCs w:val="32"/>
          <w:highlight w:val="none"/>
          <w:u w:val="none" w:color="auto"/>
          <w:lang w:val="en-US" w:eastAsia="zh-CN"/>
        </w:rPr>
        <w:t>华远国际陆港集团、建华物流、</w:t>
      </w:r>
      <w:r>
        <w:rPr>
          <w:rFonts w:hint="default" w:ascii="Times New Roman" w:hAnsi="Times New Roman" w:eastAsia="仿宋_GB2312" w:cs="Times New Roman"/>
          <w:color w:val="auto"/>
          <w:kern w:val="2"/>
          <w:sz w:val="32"/>
          <w:szCs w:val="32"/>
          <w:highlight w:val="none"/>
          <w:u w:val="none" w:color="auto"/>
        </w:rPr>
        <w:t>顺丰、京东、</w:t>
      </w:r>
      <w:r>
        <w:rPr>
          <w:rFonts w:hint="eastAsia" w:ascii="Times New Roman" w:hAnsi="Times New Roman" w:eastAsia="仿宋_GB2312" w:cs="Times New Roman"/>
          <w:color w:val="auto"/>
          <w:kern w:val="2"/>
          <w:sz w:val="32"/>
          <w:szCs w:val="32"/>
          <w:highlight w:val="none"/>
          <w:u w:val="none" w:color="auto"/>
          <w:lang w:val="en-US" w:eastAsia="zh-CN"/>
        </w:rPr>
        <w:t>苏宁物流</w:t>
      </w:r>
      <w:r>
        <w:rPr>
          <w:rFonts w:hint="default" w:ascii="Times New Roman" w:hAnsi="Times New Roman" w:eastAsia="仿宋_GB2312" w:cs="Times New Roman"/>
          <w:color w:val="auto"/>
          <w:kern w:val="2"/>
          <w:sz w:val="32"/>
          <w:szCs w:val="32"/>
          <w:highlight w:val="none"/>
          <w:u w:val="none" w:color="auto"/>
        </w:rPr>
        <w:t>等大型企业</w:t>
      </w:r>
      <w:r>
        <w:rPr>
          <w:rFonts w:hint="default" w:ascii="Times New Roman" w:hAnsi="Times New Roman" w:eastAsia="仿宋_GB2312" w:cs="Times New Roman"/>
          <w:color w:val="auto"/>
          <w:kern w:val="2"/>
          <w:sz w:val="32"/>
          <w:szCs w:val="32"/>
          <w:highlight w:val="none"/>
          <w:u w:val="none" w:color="auto"/>
          <w:lang w:eastAsia="zh-CN"/>
        </w:rPr>
        <w:t>的交流对接，推动企业在我市</w:t>
      </w:r>
      <w:r>
        <w:rPr>
          <w:rFonts w:hint="default" w:ascii="Times New Roman" w:hAnsi="Times New Roman" w:eastAsia="仿宋_GB2312" w:cs="Times New Roman"/>
          <w:color w:val="auto"/>
          <w:kern w:val="2"/>
          <w:sz w:val="32"/>
          <w:szCs w:val="32"/>
          <w:highlight w:val="none"/>
          <w:u w:val="none" w:color="auto"/>
        </w:rPr>
        <w:t>布局</w:t>
      </w:r>
      <w:r>
        <w:rPr>
          <w:rFonts w:hint="default" w:ascii="Times New Roman" w:hAnsi="Times New Roman" w:eastAsia="仿宋_GB2312" w:cs="Times New Roman"/>
          <w:color w:val="auto"/>
          <w:kern w:val="2"/>
          <w:sz w:val="32"/>
          <w:szCs w:val="32"/>
          <w:highlight w:val="none"/>
          <w:u w:val="none" w:color="auto"/>
          <w:lang w:eastAsia="zh-CN"/>
        </w:rPr>
        <w:t>物流</w:t>
      </w:r>
      <w:r>
        <w:rPr>
          <w:rFonts w:hint="default" w:ascii="Times New Roman" w:hAnsi="Times New Roman" w:eastAsia="仿宋_GB2312" w:cs="Times New Roman"/>
          <w:color w:val="auto"/>
          <w:kern w:val="2"/>
          <w:sz w:val="32"/>
          <w:szCs w:val="32"/>
          <w:highlight w:val="none"/>
          <w:u w:val="none" w:color="auto"/>
        </w:rPr>
        <w:t>枢纽</w:t>
      </w:r>
      <w:r>
        <w:rPr>
          <w:rFonts w:hint="default" w:ascii="Times New Roman" w:hAnsi="Times New Roman" w:eastAsia="仿宋_GB2312" w:cs="Times New Roman"/>
          <w:color w:val="auto"/>
          <w:kern w:val="2"/>
          <w:sz w:val="32"/>
          <w:szCs w:val="32"/>
          <w:highlight w:val="none"/>
          <w:u w:val="none" w:color="auto"/>
          <w:lang w:eastAsia="zh-CN"/>
        </w:rPr>
        <w:t>，建设</w:t>
      </w:r>
      <w:r>
        <w:rPr>
          <w:rFonts w:hint="default" w:ascii="Times New Roman" w:hAnsi="Times New Roman" w:eastAsia="仿宋_GB2312" w:cs="Times New Roman"/>
          <w:color w:val="auto"/>
          <w:kern w:val="2"/>
          <w:sz w:val="32"/>
          <w:szCs w:val="32"/>
          <w:highlight w:val="none"/>
          <w:u w:val="none" w:color="auto"/>
        </w:rPr>
        <w:t>节点设施，辐射</w:t>
      </w:r>
      <w:r>
        <w:rPr>
          <w:rFonts w:hint="default" w:ascii="Times New Roman" w:hAnsi="Times New Roman" w:eastAsia="仿宋_GB2312" w:cs="Times New Roman"/>
          <w:color w:val="auto"/>
          <w:kern w:val="2"/>
          <w:sz w:val="32"/>
          <w:szCs w:val="32"/>
          <w:highlight w:val="none"/>
          <w:u w:val="none" w:color="auto"/>
          <w:lang w:eastAsia="zh-CN"/>
        </w:rPr>
        <w:t>太原、石家庄</w:t>
      </w:r>
      <w:r>
        <w:rPr>
          <w:rFonts w:hint="default" w:ascii="Times New Roman" w:hAnsi="Times New Roman" w:eastAsia="仿宋_GB2312" w:cs="Times New Roman"/>
          <w:color w:val="auto"/>
          <w:kern w:val="2"/>
          <w:sz w:val="32"/>
          <w:szCs w:val="32"/>
          <w:highlight w:val="none"/>
          <w:u w:val="none" w:color="auto"/>
        </w:rPr>
        <w:t>。放宽物流企业经营限制，</w:t>
      </w:r>
      <w:r>
        <w:rPr>
          <w:rFonts w:hint="default" w:ascii="Times New Roman" w:hAnsi="Times New Roman" w:eastAsia="仿宋_GB2312" w:cs="Times New Roman"/>
          <w:i w:val="0"/>
          <w:caps w:val="0"/>
          <w:color w:val="auto"/>
          <w:spacing w:val="0"/>
          <w:sz w:val="32"/>
          <w:szCs w:val="32"/>
          <w:highlight w:val="none"/>
          <w:u w:val="none" w:color="auto"/>
          <w:shd w:val="clear"/>
        </w:rPr>
        <w:t>重点在</w:t>
      </w:r>
      <w:r>
        <w:rPr>
          <w:rFonts w:hint="default" w:ascii="Times New Roman" w:hAnsi="Times New Roman" w:eastAsia="仿宋_GB2312" w:cs="Times New Roman"/>
          <w:i w:val="0"/>
          <w:caps w:val="0"/>
          <w:color w:val="auto"/>
          <w:spacing w:val="0"/>
          <w:sz w:val="32"/>
          <w:szCs w:val="32"/>
          <w:highlight w:val="none"/>
          <w:u w:val="none" w:color="auto"/>
          <w:shd w:val="clear"/>
          <w:lang w:eastAsia="zh-CN"/>
        </w:rPr>
        <w:t>多式</w:t>
      </w:r>
      <w:r>
        <w:rPr>
          <w:rFonts w:hint="default" w:ascii="Times New Roman" w:hAnsi="Times New Roman" w:eastAsia="仿宋_GB2312" w:cs="Times New Roman"/>
          <w:i w:val="0"/>
          <w:caps w:val="0"/>
          <w:color w:val="auto"/>
          <w:spacing w:val="0"/>
          <w:sz w:val="32"/>
          <w:szCs w:val="32"/>
          <w:highlight w:val="none"/>
          <w:u w:val="none" w:color="auto"/>
          <w:shd w:val="clear"/>
        </w:rPr>
        <w:t>联运、大件运输、仓储服务、共同配送、城际配送</w:t>
      </w:r>
      <w:r>
        <w:rPr>
          <w:rFonts w:hint="default" w:ascii="Times New Roman" w:hAnsi="Times New Roman" w:eastAsia="仿宋_GB2312" w:cs="Times New Roman"/>
          <w:i w:val="0"/>
          <w:caps w:val="0"/>
          <w:color w:val="auto"/>
          <w:spacing w:val="0"/>
          <w:sz w:val="32"/>
          <w:szCs w:val="32"/>
          <w:highlight w:val="none"/>
          <w:u w:val="none" w:color="auto"/>
          <w:shd w:val="clear"/>
          <w:lang w:eastAsia="zh-CN"/>
        </w:rPr>
        <w:t>、</w:t>
      </w:r>
      <w:r>
        <w:rPr>
          <w:rFonts w:hint="default" w:ascii="Times New Roman" w:hAnsi="Times New Roman" w:eastAsia="仿宋_GB2312" w:cs="Times New Roman"/>
          <w:i w:val="0"/>
          <w:caps w:val="0"/>
          <w:color w:val="auto"/>
          <w:spacing w:val="0"/>
          <w:sz w:val="32"/>
          <w:szCs w:val="32"/>
          <w:highlight w:val="none"/>
          <w:u w:val="none" w:color="auto"/>
          <w:shd w:val="clear"/>
        </w:rPr>
        <w:t>电商物流等重点行业和关键领域，</w:t>
      </w:r>
      <w:r>
        <w:rPr>
          <w:rFonts w:hint="default" w:ascii="Times New Roman" w:hAnsi="Times New Roman" w:eastAsia="仿宋_GB2312" w:cs="Times New Roman"/>
          <w:color w:val="auto"/>
          <w:kern w:val="2"/>
          <w:sz w:val="32"/>
          <w:szCs w:val="32"/>
          <w:highlight w:val="none"/>
          <w:u w:val="none" w:color="auto"/>
          <w:lang w:eastAsia="zh-CN"/>
        </w:rPr>
        <w:t>引进</w:t>
      </w:r>
      <w:r>
        <w:rPr>
          <w:rFonts w:hint="default" w:ascii="Times New Roman" w:hAnsi="Times New Roman" w:eastAsia="仿宋_GB2312" w:cs="Times New Roman"/>
          <w:i w:val="0"/>
          <w:caps w:val="0"/>
          <w:color w:val="auto"/>
          <w:spacing w:val="0"/>
          <w:sz w:val="32"/>
          <w:szCs w:val="32"/>
          <w:highlight w:val="none"/>
          <w:u w:val="none" w:color="auto"/>
          <w:shd w:val="clear"/>
          <w:lang w:val="en-US" w:eastAsia="zh-CN"/>
        </w:rPr>
        <w:t>2-3家</w:t>
      </w:r>
      <w:r>
        <w:rPr>
          <w:rFonts w:hint="default" w:ascii="Times New Roman" w:hAnsi="Times New Roman" w:eastAsia="仿宋_GB2312" w:cs="Times New Roman"/>
          <w:i w:val="0"/>
          <w:caps w:val="0"/>
          <w:color w:val="auto"/>
          <w:spacing w:val="0"/>
          <w:sz w:val="32"/>
          <w:szCs w:val="32"/>
          <w:highlight w:val="none"/>
          <w:u w:val="none" w:color="auto"/>
          <w:shd w:val="clear"/>
        </w:rPr>
        <w:t>现代物流企业</w:t>
      </w:r>
      <w:r>
        <w:rPr>
          <w:rFonts w:hint="default" w:ascii="Times New Roman" w:hAnsi="Times New Roman" w:eastAsia="仿宋_GB2312" w:cs="Times New Roman"/>
          <w:i w:val="0"/>
          <w:caps w:val="0"/>
          <w:color w:val="auto"/>
          <w:spacing w:val="0"/>
          <w:sz w:val="32"/>
          <w:szCs w:val="32"/>
          <w:highlight w:val="none"/>
          <w:u w:val="none" w:color="auto"/>
          <w:shd w:val="clear"/>
          <w:lang w:eastAsia="zh-CN"/>
        </w:rPr>
        <w:t>，</w:t>
      </w:r>
      <w:r>
        <w:rPr>
          <w:rFonts w:hint="default" w:ascii="Times New Roman" w:hAnsi="Times New Roman" w:eastAsia="仿宋_GB2312" w:cs="Times New Roman"/>
          <w:color w:val="auto"/>
          <w:kern w:val="2"/>
          <w:sz w:val="32"/>
          <w:szCs w:val="32"/>
          <w:highlight w:val="none"/>
          <w:u w:val="none" w:color="auto"/>
        </w:rPr>
        <w:t>拓宽物流业市场主体总量规模</w:t>
      </w:r>
      <w:r>
        <w:rPr>
          <w:rFonts w:hint="default" w:ascii="Times New Roman" w:hAnsi="Times New Roman" w:eastAsia="仿宋_GB2312" w:cs="Times New Roman"/>
          <w:color w:val="auto"/>
          <w:kern w:val="2"/>
          <w:sz w:val="32"/>
          <w:szCs w:val="32"/>
          <w:highlight w:val="none"/>
          <w:u w:val="none" w:color="auto"/>
          <w:lang w:eastAsia="zh-CN"/>
        </w:rPr>
        <w:t>。</w:t>
      </w:r>
      <w:r>
        <w:rPr>
          <w:rFonts w:hint="default" w:ascii="Times New Roman" w:hAnsi="Times New Roman" w:eastAsia="仿宋_GB2312" w:cs="Times New Roman"/>
          <w:color w:val="auto"/>
          <w:sz w:val="32"/>
          <w:szCs w:val="32"/>
          <w:highlight w:val="none"/>
          <w:u w:val="none" w:color="auto"/>
        </w:rPr>
        <w:t>引进</w:t>
      </w:r>
      <w:r>
        <w:rPr>
          <w:rFonts w:hint="default" w:ascii="Times New Roman" w:hAnsi="Times New Roman" w:eastAsia="仿宋_GB2312" w:cs="Times New Roman"/>
          <w:color w:val="auto"/>
          <w:sz w:val="32"/>
          <w:szCs w:val="32"/>
          <w:highlight w:val="none"/>
          <w:u w:val="none" w:color="auto"/>
          <w:lang w:val="en-US" w:eastAsia="zh-CN"/>
        </w:rPr>
        <w:t>1-2家</w:t>
      </w:r>
      <w:r>
        <w:rPr>
          <w:rFonts w:hint="default" w:ascii="Times New Roman" w:hAnsi="Times New Roman" w:eastAsia="仿宋_GB2312" w:cs="Times New Roman"/>
          <w:color w:val="auto"/>
          <w:sz w:val="32"/>
          <w:szCs w:val="32"/>
          <w:highlight w:val="none"/>
          <w:u w:val="none" w:color="auto"/>
        </w:rPr>
        <w:t>物流总部企业，</w:t>
      </w:r>
      <w:r>
        <w:rPr>
          <w:rFonts w:hint="default" w:ascii="Times New Roman" w:hAnsi="Times New Roman" w:eastAsia="仿宋_GB2312" w:cs="Times New Roman"/>
          <w:color w:val="auto"/>
          <w:sz w:val="32"/>
          <w:szCs w:val="32"/>
          <w:highlight w:val="none"/>
          <w:u w:val="none" w:color="auto"/>
          <w:lang w:eastAsia="zh-CN"/>
        </w:rPr>
        <w:t>大力</w:t>
      </w:r>
      <w:r>
        <w:rPr>
          <w:rFonts w:hint="default" w:ascii="Times New Roman" w:hAnsi="Times New Roman" w:eastAsia="仿宋_GB2312" w:cs="Times New Roman"/>
          <w:color w:val="auto"/>
          <w:sz w:val="32"/>
          <w:szCs w:val="32"/>
          <w:highlight w:val="none"/>
          <w:u w:val="none" w:color="auto"/>
        </w:rPr>
        <w:t>吸引快递、电子商务</w:t>
      </w:r>
      <w:r>
        <w:rPr>
          <w:rFonts w:hint="default" w:ascii="Times New Roman" w:hAnsi="Times New Roman" w:eastAsia="仿宋_GB2312" w:cs="Times New Roman"/>
          <w:color w:val="auto"/>
          <w:sz w:val="32"/>
          <w:szCs w:val="32"/>
          <w:highlight w:val="none"/>
          <w:u w:val="none" w:color="auto"/>
          <w:lang w:eastAsia="zh-CN"/>
        </w:rPr>
        <w:t>、</w:t>
      </w:r>
      <w:r>
        <w:rPr>
          <w:rFonts w:hint="default" w:ascii="Times New Roman" w:hAnsi="Times New Roman" w:eastAsia="仿宋_GB2312" w:cs="Times New Roman"/>
          <w:color w:val="auto"/>
          <w:sz w:val="32"/>
          <w:szCs w:val="32"/>
          <w:highlight w:val="none"/>
          <w:u w:val="none" w:color="auto"/>
        </w:rPr>
        <w:t>供应链管理等企业落户，建设区域分拨中心、转运中心、运营中心等。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kern w:val="2"/>
          <w:sz w:val="32"/>
          <w:szCs w:val="32"/>
          <w:highlight w:val="none"/>
          <w:lang w:val="en-US" w:eastAsia="zh-CN" w:bidi="ar-SA"/>
        </w:rPr>
      </w:pPr>
      <w:bookmarkStart w:id="609" w:name="_Toc29351"/>
      <w:bookmarkStart w:id="610" w:name="_Toc20277"/>
      <w:bookmarkStart w:id="611" w:name="_Toc17208"/>
      <w:bookmarkStart w:id="612" w:name="_Toc3658"/>
      <w:bookmarkStart w:id="613" w:name="_Toc12499"/>
      <w:bookmarkStart w:id="614" w:name="_Toc34"/>
      <w:bookmarkStart w:id="615" w:name="_Toc24426"/>
      <w:bookmarkStart w:id="616" w:name="_Toc3189"/>
      <w:bookmarkStart w:id="617" w:name="_Toc316"/>
      <w:bookmarkStart w:id="618" w:name="_Toc32286"/>
      <w:bookmarkStart w:id="619" w:name="_Toc7179"/>
      <w:bookmarkStart w:id="620" w:name="_Toc19034"/>
      <w:bookmarkStart w:id="621" w:name="_Toc14929"/>
      <w:bookmarkStart w:id="622" w:name="_Toc27260"/>
      <w:bookmarkStart w:id="623" w:name="_Toc31820"/>
      <w:bookmarkStart w:id="624" w:name="_Toc13525"/>
      <w:bookmarkStart w:id="625" w:name="_Toc15261"/>
      <w:bookmarkStart w:id="626" w:name="_Toc5672"/>
      <w:bookmarkStart w:id="627" w:name="_Toc3293"/>
      <w:bookmarkStart w:id="628" w:name="_Toc30024"/>
      <w:bookmarkStart w:id="629" w:name="_Toc11380"/>
      <w:bookmarkStart w:id="630" w:name="_Toc20925"/>
      <w:bookmarkStart w:id="631" w:name="_Toc17082"/>
      <w:bookmarkStart w:id="632" w:name="_Toc23908"/>
      <w:bookmarkStart w:id="633" w:name="_Toc8954"/>
      <w:r>
        <w:rPr>
          <w:rFonts w:hint="default" w:ascii="Times New Roman" w:hAnsi="Times New Roman" w:eastAsia="黑体" w:cs="Times New Roman"/>
          <w:b w:val="0"/>
          <w:bCs w:val="0"/>
          <w:color w:val="auto"/>
          <w:spacing w:val="0"/>
          <w:kern w:val="2"/>
          <w:sz w:val="32"/>
          <w:szCs w:val="32"/>
          <w:highlight w:val="none"/>
          <w:u w:val="none"/>
          <w:lang w:val="en-US" w:eastAsia="zh-CN" w:bidi="ar-SA"/>
        </w:rPr>
        <w:t>五</w:t>
      </w:r>
      <w:r>
        <w:rPr>
          <w:rFonts w:hint="default" w:ascii="Times New Roman" w:hAnsi="Times New Roman" w:eastAsia="黑体" w:cs="Times New Roman"/>
          <w:b w:val="0"/>
          <w:bCs w:val="0"/>
          <w:color w:val="auto"/>
          <w:spacing w:val="0"/>
          <w:kern w:val="2"/>
          <w:sz w:val="32"/>
          <w:szCs w:val="32"/>
          <w:highlight w:val="none"/>
          <w:u w:val="none" w:color="auto"/>
          <w:lang w:val="en-US" w:eastAsia="zh-CN" w:bidi="ar-SA"/>
        </w:rPr>
        <w:t>、</w:t>
      </w:r>
      <w:r>
        <w:rPr>
          <w:rFonts w:hint="default" w:ascii="Times New Roman" w:hAnsi="Times New Roman" w:eastAsia="黑体" w:cs="Times New Roman"/>
          <w:color w:val="auto"/>
          <w:sz w:val="32"/>
          <w:szCs w:val="32"/>
          <w:highlight w:val="none"/>
          <w:u w:val="none" w:color="auto"/>
          <w:lang w:eastAsia="zh-CN"/>
        </w:rPr>
        <w:t>培育</w:t>
      </w:r>
      <w:r>
        <w:rPr>
          <w:rFonts w:hint="default" w:ascii="Times New Roman" w:hAnsi="Times New Roman" w:eastAsia="黑体" w:cs="Times New Roman"/>
          <w:color w:val="auto"/>
          <w:sz w:val="32"/>
          <w:szCs w:val="32"/>
          <w:highlight w:val="none"/>
          <w:u w:val="none" w:color="auto"/>
          <w:lang w:val="en-US" w:eastAsia="zh-CN"/>
        </w:rPr>
        <w:t>发展工业物流新业态新模式</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highlight w:val="none"/>
          <w:u w:val="none" w:color="auto"/>
        </w:rPr>
      </w:pPr>
      <w:r>
        <w:rPr>
          <w:rFonts w:hint="default" w:ascii="Times New Roman" w:hAnsi="Times New Roman" w:eastAsia="仿宋_GB2312" w:cs="Times New Roman"/>
          <w:color w:val="auto"/>
          <w:sz w:val="32"/>
          <w:szCs w:val="32"/>
          <w:highlight w:val="none"/>
          <w:u w:val="none" w:color="auto"/>
        </w:rPr>
        <w:t>适应产业转型升级带来的物流需求变化，</w:t>
      </w:r>
      <w:r>
        <w:rPr>
          <w:rFonts w:hint="default" w:ascii="Times New Roman" w:hAnsi="Times New Roman" w:eastAsia="仿宋_GB2312" w:cs="Times New Roman"/>
          <w:color w:val="auto"/>
          <w:sz w:val="32"/>
          <w:szCs w:val="32"/>
          <w:highlight w:val="none"/>
          <w:u w:val="none" w:color="auto"/>
          <w:lang w:val="en-US" w:eastAsia="zh-CN"/>
        </w:rPr>
        <w:t>开展物流智能化改造，推广应用新型物流技术装备，提高工业物流自动化、数字化、智能化水平。</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634" w:name="_Toc16614"/>
      <w:bookmarkStart w:id="635" w:name="_Toc6902"/>
      <w:bookmarkStart w:id="636" w:name="_Toc6564"/>
      <w:bookmarkStart w:id="637" w:name="_Toc2444"/>
      <w:bookmarkStart w:id="638" w:name="_Toc5498"/>
      <w:bookmarkStart w:id="639" w:name="_Toc4508"/>
      <w:bookmarkStart w:id="640" w:name="_Toc298"/>
      <w:bookmarkStart w:id="641" w:name="_Toc11948"/>
      <w:bookmarkStart w:id="642" w:name="_Toc10991"/>
      <w:bookmarkStart w:id="643" w:name="_Toc28311"/>
      <w:bookmarkStart w:id="644" w:name="_Toc32113"/>
      <w:bookmarkStart w:id="645" w:name="_Toc31342"/>
      <w:bookmarkStart w:id="646" w:name="_Toc3620"/>
      <w:bookmarkStart w:id="647" w:name="_Toc2054"/>
      <w:bookmarkStart w:id="648" w:name="_Toc26383"/>
      <w:bookmarkStart w:id="649" w:name="_Toc18944"/>
      <w:bookmarkStart w:id="650" w:name="_Toc22227"/>
      <w:bookmarkStart w:id="651" w:name="_Toc20329"/>
      <w:bookmarkStart w:id="652" w:name="_Toc8698"/>
      <w:bookmarkStart w:id="653" w:name="_Toc20316"/>
      <w:bookmarkStart w:id="654" w:name="_Toc6064"/>
      <w:bookmarkStart w:id="655" w:name="_Toc4175"/>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（一）持续扩大大宗商品物流规模</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楷体_GB2312" w:cs="Times New Roman"/>
          <w:b/>
          <w:bCs/>
          <w:color w:val="auto"/>
          <w:sz w:val="32"/>
          <w:szCs w:val="32"/>
          <w:highlight w:val="none"/>
          <w:u w:val="none" w:color="auto"/>
          <w:lang w:val="en-US" w:eastAsia="zh-CN"/>
        </w:rPr>
      </w:pPr>
      <w:r>
        <w:rPr>
          <w:rFonts w:hint="eastAsia" w:ascii="仿宋_GB2312" w:hAnsi="仿宋_GB2312" w:eastAsia="仿宋_GB2312" w:cs="仿宋_GB2312"/>
          <w:b w:val="0"/>
          <w:bCs w:val="0"/>
          <w:kern w:val="2"/>
          <w:sz w:val="32"/>
          <w:szCs w:val="32"/>
          <w:lang w:val="en-US" w:eastAsia="zh-CN" w:bidi="ar-SA"/>
        </w:rPr>
        <w:t>进一步优化提升我市运输结构和能级，深化“公转铁”运输结构调整，完善与京津冀之间物流集疏运和多式联运服务体系。积极与华远陆港集团合作，利用我市现有铁路货运站场，谋划改建为面向天津港的物流集散中心，整合周边地区货物资源，开展多式联运、物流分拨等业务。</w:t>
      </w:r>
      <w:r>
        <w:rPr>
          <w:rFonts w:hint="default"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支持</w:t>
      </w:r>
      <w:r>
        <w:rPr>
          <w:rFonts w:hint="eastAsia"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市内大型</w:t>
      </w:r>
      <w:r>
        <w:rPr>
          <w:rFonts w:hint="default"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制造业企业和工业园区提高煤炭、矿石等大宗商品中长期运输合同比例以及铁路清洁运输比例</w:t>
      </w:r>
      <w:r>
        <w:rPr>
          <w:rFonts w:hint="eastAsia"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，构建绿色高效的“公铁联运”物流体系</w:t>
      </w:r>
      <w:r>
        <w:rPr>
          <w:rFonts w:hint="default"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w:t>
      </w:r>
      <w:r>
        <w:rPr>
          <w:rFonts w:hint="default" w:ascii="Times New Roman" w:hAnsi="Times New Roman" w:eastAsia="仿宋_GB2312" w:cs="Times New Roman"/>
          <w:b w:val="0"/>
          <w:bCs w:val="0"/>
          <w:color w:val="auto"/>
          <w:spacing w:val="0"/>
          <w:kern w:val="2"/>
          <w:sz w:val="32"/>
          <w:szCs w:val="32"/>
          <w:highlight w:val="none"/>
          <w:u w:val="none"/>
          <w:vertAlign w:val="baseline"/>
          <w:lang w:val="en-US" w:eastAsia="zh-CN" w:bidi="ar-SA"/>
        </w:rPr>
        <w:t>鼓励有</w:t>
      </w:r>
      <w:r>
        <w:rPr>
          <w:rFonts w:hint="default"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条件的</w:t>
      </w:r>
      <w:r>
        <w:rPr>
          <w:rFonts w:hint="default" w:ascii="Times New Roman" w:hAnsi="Times New Roman" w:eastAsia="仿宋_GB2312" w:cs="Times New Roman"/>
          <w:b w:val="0"/>
          <w:bCs w:val="0"/>
          <w:color w:val="auto"/>
          <w:spacing w:val="0"/>
          <w:kern w:val="2"/>
          <w:sz w:val="32"/>
          <w:szCs w:val="32"/>
          <w:highlight w:val="none"/>
          <w:u w:val="none"/>
          <w:vertAlign w:val="baseline"/>
          <w:lang w:val="en-US" w:eastAsia="zh-CN" w:bidi="ar-SA"/>
        </w:rPr>
        <w:t>铁路、公路</w:t>
      </w:r>
      <w:r>
        <w:rPr>
          <w:rFonts w:hint="default"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物流</w:t>
      </w:r>
      <w:r>
        <w:rPr>
          <w:rFonts w:hint="default" w:ascii="Times New Roman" w:hAnsi="Times New Roman" w:eastAsia="仿宋_GB2312" w:cs="Times New Roman"/>
          <w:b w:val="0"/>
          <w:bCs w:val="0"/>
          <w:color w:val="auto"/>
          <w:spacing w:val="0"/>
          <w:kern w:val="2"/>
          <w:sz w:val="32"/>
          <w:szCs w:val="32"/>
          <w:highlight w:val="none"/>
          <w:u w:val="none"/>
          <w:vertAlign w:val="baseline"/>
          <w:lang w:val="en-US" w:eastAsia="zh-CN" w:bidi="ar-SA"/>
        </w:rPr>
        <w:t>站场，</w:t>
      </w:r>
      <w:r>
        <w:rPr>
          <w:rFonts w:hint="default" w:ascii="Times New Roman" w:hAnsi="Times New Roman" w:eastAsia="仿宋_GB2312" w:cs="Times New Roman"/>
          <w:b w:val="0"/>
          <w:bCs w:val="0"/>
          <w:color w:val="auto"/>
          <w:spacing w:val="0"/>
          <w:kern w:val="2"/>
          <w:sz w:val="32"/>
          <w:szCs w:val="32"/>
          <w:highlight w:val="none"/>
          <w:u w:val="none" w:color="auto"/>
          <w:vertAlign w:val="baseline"/>
          <w:lang w:val="en-US" w:eastAsia="zh-CN" w:bidi="ar-SA"/>
        </w:rPr>
        <w:t>建设现代化大宗商品物流中心。</w:t>
      </w:r>
      <w:bookmarkStart w:id="656" w:name="_Toc2153"/>
      <w:bookmarkStart w:id="657" w:name="_Toc31331"/>
      <w:bookmarkStart w:id="658" w:name="_Toc22521"/>
      <w:bookmarkStart w:id="659" w:name="_Toc19776"/>
      <w:bookmarkStart w:id="660" w:name="_Toc14911"/>
      <w:bookmarkStart w:id="661" w:name="_Toc25206"/>
      <w:bookmarkStart w:id="662" w:name="_Toc10973"/>
      <w:bookmarkStart w:id="663" w:name="_Toc25504"/>
      <w:bookmarkStart w:id="664" w:name="_Toc30042"/>
      <w:bookmarkStart w:id="665" w:name="_Toc22853"/>
      <w:bookmarkStart w:id="666" w:name="_Toc8334"/>
      <w:bookmarkStart w:id="667" w:name="_Toc27087"/>
      <w:bookmarkStart w:id="668" w:name="_Toc28094"/>
      <w:bookmarkStart w:id="669" w:name="_Toc1921"/>
      <w:bookmarkStart w:id="670" w:name="_Toc16119"/>
      <w:bookmarkStart w:id="671" w:name="_Toc20990"/>
      <w:bookmarkStart w:id="672" w:name="_Toc16800"/>
      <w:bookmarkStart w:id="673" w:name="_Toc9303"/>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z w:val="32"/>
          <w:szCs w:val="32"/>
          <w:highlight w:val="none"/>
          <w:u w:val="none" w:color="auto"/>
          <w:lang w:val="en-US" w:eastAsia="zh-CN"/>
        </w:rPr>
      </w:pPr>
      <w:bookmarkStart w:id="674" w:name="_Toc28315"/>
      <w:bookmarkStart w:id="675" w:name="_Toc25482"/>
      <w:bookmarkStart w:id="676" w:name="_Toc25085"/>
      <w:bookmarkStart w:id="677" w:name="_Toc6263"/>
      <w:bookmarkStart w:id="678" w:name="_Toc9169"/>
      <w:bookmarkStart w:id="679" w:name="_Toc18339"/>
      <w:bookmarkStart w:id="680" w:name="_Toc1973"/>
      <w:r>
        <w:rPr>
          <w:rFonts w:hint="default" w:ascii="Times New Roman" w:hAnsi="Times New Roman" w:eastAsia="楷体_GB2312" w:cs="Times New Roman"/>
          <w:b/>
          <w:bCs/>
          <w:color w:val="auto"/>
          <w:sz w:val="32"/>
          <w:szCs w:val="32"/>
          <w:highlight w:val="none"/>
          <w:u w:val="none" w:color="auto"/>
          <w:lang w:val="en-US" w:eastAsia="zh-CN"/>
        </w:rPr>
        <w:t>（二）</w:t>
      </w:r>
      <w:bookmarkEnd w:id="656"/>
      <w:bookmarkEnd w:id="657"/>
      <w:r>
        <w:rPr>
          <w:rFonts w:hint="default" w:ascii="Times New Roman" w:hAnsi="Times New Roman" w:eastAsia="楷体_GB2312" w:cs="Times New Roman"/>
          <w:b/>
          <w:bCs/>
          <w:color w:val="auto"/>
          <w:sz w:val="32"/>
          <w:szCs w:val="32"/>
          <w:highlight w:val="none"/>
          <w:u w:val="none"/>
          <w:lang w:val="en-US" w:eastAsia="zh-CN"/>
        </w:rPr>
        <w:t>大力发展智慧物流</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4"/>
      <w:bookmarkEnd w:id="675"/>
      <w:bookmarkEnd w:id="676"/>
      <w:bookmarkEnd w:id="677"/>
      <w:bookmarkEnd w:id="678"/>
      <w:bookmarkEnd w:id="679"/>
      <w:bookmarkEnd w:id="68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u w:val="none" w:color="auto"/>
        </w:rPr>
      </w:pPr>
      <w:r>
        <w:rPr>
          <w:rFonts w:hint="eastAsia" w:ascii="仿宋_GB2312" w:hAnsi="仿宋_GB2312" w:eastAsia="仿宋_GB2312" w:cs="仿宋_GB2312"/>
          <w:b w:val="0"/>
          <w:bCs w:val="0"/>
          <w:kern w:val="2"/>
          <w:sz w:val="32"/>
          <w:szCs w:val="32"/>
          <w:lang w:val="en-US" w:eastAsia="zh-CN" w:bidi="ar-SA"/>
        </w:rPr>
        <w:t>壮大物流平台经济，推动华远陆港数字科技产业园网络货运平台尽快上线运行，</w:t>
      </w:r>
      <w:r>
        <w:rPr>
          <w:rFonts w:hint="eastAsia" w:ascii="Times New Roman" w:hAnsi="Times New Roman" w:eastAsia="仿宋_GB2312" w:cs="Times New Roman"/>
          <w:color w:val="auto"/>
          <w:sz w:val="32"/>
          <w:szCs w:val="32"/>
          <w:highlight w:val="none"/>
          <w:u w:val="none" w:color="auto"/>
          <w:lang w:val="en-US" w:eastAsia="zh-CN"/>
        </w:rPr>
        <w:t>运用</w:t>
      </w:r>
      <w:r>
        <w:rPr>
          <w:rFonts w:hint="default" w:ascii="Times New Roman" w:hAnsi="Times New Roman" w:eastAsia="仿宋_GB2312" w:cs="Times New Roman"/>
          <w:color w:val="auto"/>
          <w:sz w:val="32"/>
          <w:szCs w:val="32"/>
          <w:highlight w:val="none"/>
          <w:u w:val="none" w:color="auto"/>
          <w:lang w:val="en-US" w:eastAsia="zh-CN"/>
        </w:rPr>
        <w:t>“互联网+物流+数据+运营”模式</w:t>
      </w:r>
      <w:r>
        <w:rPr>
          <w:rFonts w:hint="eastAsia" w:ascii="Times New Roman" w:hAnsi="Times New Roman" w:eastAsia="仿宋_GB2312" w:cs="Times New Roman"/>
          <w:color w:val="auto"/>
          <w:sz w:val="32"/>
          <w:szCs w:val="32"/>
          <w:highlight w:val="none"/>
          <w:u w:val="none" w:color="auto"/>
          <w:lang w:val="en-US" w:eastAsia="zh-CN"/>
        </w:rPr>
        <w:t>，高效</w:t>
      </w:r>
      <w:r>
        <w:rPr>
          <w:rFonts w:hint="default" w:ascii="Times New Roman" w:hAnsi="Times New Roman" w:eastAsia="仿宋_GB2312" w:cs="Times New Roman"/>
          <w:color w:val="auto"/>
          <w:sz w:val="32"/>
          <w:szCs w:val="32"/>
          <w:highlight w:val="none"/>
          <w:u w:val="none" w:color="auto"/>
        </w:rPr>
        <w:t>开展货运及数字物流新业态孵化、网络货运后市场服务、金融服务</w:t>
      </w:r>
      <w:r>
        <w:rPr>
          <w:rFonts w:hint="eastAsia" w:ascii="Times New Roman" w:hAnsi="Times New Roman" w:eastAsia="仿宋_GB2312" w:cs="Times New Roman"/>
          <w:color w:val="auto"/>
          <w:sz w:val="32"/>
          <w:szCs w:val="32"/>
          <w:highlight w:val="none"/>
          <w:u w:val="none" w:color="auto"/>
          <w:lang w:eastAsia="zh-CN"/>
        </w:rPr>
        <w:t>和</w:t>
      </w:r>
      <w:r>
        <w:rPr>
          <w:rFonts w:hint="default" w:ascii="Times New Roman" w:hAnsi="Times New Roman" w:eastAsia="仿宋_GB2312" w:cs="Times New Roman"/>
          <w:color w:val="auto"/>
          <w:sz w:val="32"/>
          <w:szCs w:val="32"/>
          <w:highlight w:val="none"/>
          <w:u w:val="none" w:color="auto"/>
        </w:rPr>
        <w:t>大宗商品数字供应链服务</w:t>
      </w:r>
      <w:r>
        <w:rPr>
          <w:rFonts w:hint="eastAsia" w:ascii="仿宋_GB2312" w:hAnsi="仿宋_GB2312" w:eastAsia="仿宋_GB2312" w:cs="仿宋_GB2312"/>
          <w:b w:val="0"/>
          <w:bCs w:val="0"/>
          <w:kern w:val="2"/>
          <w:sz w:val="32"/>
          <w:szCs w:val="32"/>
          <w:lang w:val="en-US" w:eastAsia="zh-CN" w:bidi="ar-SA"/>
        </w:rPr>
        <w:t>。</w:t>
      </w:r>
      <w:r>
        <w:rPr>
          <w:rFonts w:hint="default" w:ascii="Times New Roman" w:hAnsi="Times New Roman" w:eastAsia="仿宋_GB2312" w:cs="Times New Roman"/>
          <w:b w:val="0"/>
          <w:bCs w:val="0"/>
          <w:color w:val="auto"/>
          <w:sz w:val="32"/>
          <w:szCs w:val="32"/>
          <w:highlight w:val="none"/>
          <w:u w:val="none" w:color="auto"/>
          <w:lang w:val="en-US" w:eastAsia="zh-CN"/>
        </w:rPr>
        <w:t>实施物流智能化改造行动，加快人工智能、无人机、智慧物流车、物流机器人等先进装备在重点园区的运用，建设高新区智慧物流产业园、山西通宝鑫能智能仓储物流园。依托通宝鑫能物流服务平台推广网络货运，建立健全电子商务认证体系、网上支付系统和物流配送管理系统，</w:t>
      </w:r>
      <w:r>
        <w:rPr>
          <w:rFonts w:hint="default" w:ascii="Times New Roman" w:hAnsi="Times New Roman" w:eastAsia="仿宋_GB2312" w:cs="Times New Roman"/>
          <w:b w:val="0"/>
          <w:bCs w:val="0"/>
          <w:color w:val="auto"/>
          <w:sz w:val="32"/>
          <w:szCs w:val="32"/>
          <w:highlight w:val="none"/>
          <w:u w:val="none" w:color="auto"/>
          <w:lang w:eastAsia="zh-CN"/>
        </w:rPr>
        <w:t>培育</w:t>
      </w:r>
      <w:r>
        <w:rPr>
          <w:rFonts w:hint="default" w:ascii="Times New Roman" w:hAnsi="Times New Roman" w:eastAsia="仿宋_GB2312" w:cs="Times New Roman"/>
          <w:b w:val="0"/>
          <w:bCs w:val="0"/>
          <w:color w:val="auto"/>
          <w:sz w:val="32"/>
          <w:szCs w:val="32"/>
          <w:highlight w:val="none"/>
          <w:u w:val="none" w:color="auto"/>
        </w:rPr>
        <w:t>同城车货匹配、智慧共配、运力众包等新业态。</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right="0" w:rightChars="0" w:firstLine="642" w:firstLineChars="200"/>
        <w:jc w:val="left"/>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681" w:name="_Toc18560"/>
      <w:bookmarkStart w:id="682" w:name="_Toc1768"/>
      <w:bookmarkStart w:id="683" w:name="_Toc14040"/>
      <w:bookmarkStart w:id="684" w:name="_Toc9621"/>
      <w:bookmarkStart w:id="685" w:name="_Toc5410"/>
      <w:bookmarkStart w:id="686" w:name="_Toc25964"/>
      <w:bookmarkStart w:id="687" w:name="_Toc14236"/>
      <w:bookmarkStart w:id="688" w:name="_Toc9999"/>
      <w:bookmarkStart w:id="689" w:name="_Toc3909"/>
      <w:bookmarkStart w:id="690" w:name="_Toc7074"/>
      <w:bookmarkStart w:id="691" w:name="_Toc4061"/>
      <w:bookmarkStart w:id="692" w:name="_Toc3734"/>
      <w:bookmarkStart w:id="693" w:name="_Toc19"/>
      <w:bookmarkStart w:id="694" w:name="_Toc1204"/>
      <w:bookmarkStart w:id="695" w:name="_Toc11796"/>
      <w:bookmarkStart w:id="696" w:name="_Toc32357"/>
      <w:bookmarkStart w:id="697" w:name="_Toc17416"/>
      <w:bookmarkStart w:id="698" w:name="_Toc20542"/>
      <w:bookmarkStart w:id="699" w:name="_Toc21069"/>
      <w:bookmarkStart w:id="700" w:name="_Toc2522"/>
      <w:bookmarkStart w:id="701" w:name="_Toc30821"/>
      <w:bookmarkStart w:id="702" w:name="_Toc26348"/>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（三）促进物流业制造业融合</w:t>
      </w:r>
      <w:bookmarkEnd w:id="681"/>
      <w:bookmarkEnd w:id="682"/>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创新</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u w:val="none" w:color="auto"/>
          <w:lang w:val="en-US" w:eastAsia="zh-CN" w:bidi="ar-SA"/>
        </w:rPr>
      </w:pPr>
      <w:r>
        <w:rPr>
          <w:rFonts w:hint="eastAsia" w:ascii="仿宋_GB2312" w:hAnsi="仿宋_GB2312" w:eastAsia="仿宋_GB2312" w:cs="仿宋_GB2312"/>
          <w:sz w:val="32"/>
          <w:szCs w:val="40"/>
        </w:rPr>
        <w:t>鼓励物流业制造业融合发展，构建“收储、加工、物流、销售”绿色物流循环全产业链。</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做大做强制造业物流，支持有色、装备制造、新材料等企业</w:t>
      </w:r>
      <w:r>
        <w:rPr>
          <w:rFonts w:hint="default" w:ascii="Times New Roman" w:hAnsi="Times New Roman" w:eastAsia="仿宋_GB2312" w:cs="Times New Roman"/>
          <w:color w:val="auto"/>
          <w:kern w:val="2"/>
          <w:sz w:val="32"/>
          <w:szCs w:val="32"/>
          <w:highlight w:val="none"/>
          <w:u w:val="none" w:color="auto"/>
          <w:lang w:val="en-US" w:eastAsia="zh-CN" w:bidi="ar-SA"/>
        </w:rPr>
        <w:t>逐步将原材料采购、运输、仓储等物流服务业务分离，成立物流独立部门。</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鼓励传统货运向第三方物流转化，</w:t>
      </w:r>
      <w:r>
        <w:rPr>
          <w:rFonts w:hint="default" w:ascii="Times New Roman" w:hAnsi="Times New Roman" w:eastAsia="仿宋_GB2312" w:cs="Times New Roman"/>
          <w:color w:val="auto"/>
          <w:kern w:val="2"/>
          <w:sz w:val="32"/>
          <w:szCs w:val="32"/>
          <w:highlight w:val="none"/>
          <w:u w:val="none" w:color="auto"/>
          <w:lang w:val="en-US" w:eastAsia="zh-CN" w:bidi="ar-SA"/>
        </w:rPr>
        <w:t>积极发展专用运输、厢式货车运输、单元化装载等专业运输方式</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w:t>
      </w:r>
      <w:r>
        <w:rPr>
          <w:rFonts w:hint="default" w:ascii="Times New Roman" w:hAnsi="Times New Roman" w:eastAsia="仿宋_GB2312" w:cs="Times New Roman"/>
          <w:i w:val="0"/>
          <w:caps w:val="0"/>
          <w:color w:val="auto"/>
          <w:spacing w:val="0"/>
          <w:sz w:val="32"/>
          <w:szCs w:val="32"/>
          <w:highlight w:val="none"/>
          <w:shd w:val="clear" w:fill="auto"/>
          <w:lang w:val="en-US" w:eastAsia="zh-CN"/>
        </w:rPr>
        <w:t>支持工业园区新建或改扩建铁路专用线、仓储、配送等物流基础设施，吸引第三方物流企业进驻并提供专业化物流服务。</w:t>
      </w:r>
      <w:r>
        <w:rPr>
          <w:rFonts w:hint="default" w:ascii="Times New Roman" w:hAnsi="Times New Roman" w:eastAsia="仿宋_GB2312" w:cs="Times New Roman"/>
          <w:color w:val="auto"/>
          <w:kern w:val="2"/>
          <w:sz w:val="32"/>
          <w:szCs w:val="32"/>
          <w:highlight w:val="none"/>
          <w:u w:val="none" w:color="auto"/>
          <w:lang w:val="en-US" w:eastAsia="zh-CN" w:bidi="ar-SA"/>
        </w:rPr>
        <w:t>推动制造企业将</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物流活动以合同方式委托给第三方物流、快递企业，</w:t>
      </w:r>
      <w:r>
        <w:rPr>
          <w:rFonts w:hint="default" w:ascii="Times New Roman" w:hAnsi="Times New Roman" w:eastAsia="仿宋_GB2312" w:cs="Times New Roman"/>
          <w:color w:val="auto"/>
          <w:kern w:val="2"/>
          <w:sz w:val="32"/>
          <w:szCs w:val="32"/>
          <w:highlight w:val="none"/>
          <w:u w:val="none" w:color="auto"/>
          <w:lang w:val="en-US" w:eastAsia="zh-CN" w:bidi="ar-SA"/>
        </w:rPr>
        <w:t>在厂内设施布局、销售渠道建设等方面引入供应链库存管理、线边物流、供应链一体化服务等专业化物流解决方案，</w:t>
      </w:r>
      <w:r>
        <w:rPr>
          <w:rFonts w:hint="default" w:ascii="Times New Roman" w:hAnsi="Times New Roman" w:eastAsia="仿宋_GB2312" w:cs="Times New Roman"/>
          <w:i w:val="0"/>
          <w:iCs w:val="0"/>
          <w:caps w:val="0"/>
          <w:color w:val="auto"/>
          <w:spacing w:val="0"/>
          <w:sz w:val="32"/>
          <w:szCs w:val="32"/>
          <w:highlight w:val="none"/>
          <w:shd w:val="clear" w:fill="auto"/>
        </w:rPr>
        <w:t>拓展物流方案设计、智能包装、设备租赁等增值服务。</w:t>
      </w: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积极引导华阳新材料科技集团依托现有生产、运输</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、销售等环节的物流服务能力和铁路专用线、仓储、配送等存量设施资源，为社会提供公共物流服务。</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pPr>
              <w:pStyle w:val="8"/>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rPr>
                <w:rFonts w:hint="default" w:ascii="Times New Roman" w:hAnsi="Times New Roman" w:eastAsia="宋体" w:cs="Times New Roman"/>
                <w:color w:val="auto"/>
                <w:sz w:val="28"/>
                <w:szCs w:val="28"/>
                <w:highlight w:val="none"/>
                <w:lang w:val="en-US" w:eastAsia="zh-CN"/>
              </w:rPr>
            </w:pPr>
            <w:bookmarkStart w:id="703" w:name="_Toc12271"/>
            <w:bookmarkStart w:id="704" w:name="_Toc28719"/>
            <w:bookmarkStart w:id="705" w:name="_Toc3214"/>
            <w:bookmarkStart w:id="706" w:name="_Toc8375"/>
            <w:r>
              <w:rPr>
                <w:rFonts w:hint="default" w:ascii="Times New Roman" w:hAnsi="Times New Roman" w:eastAsia="宋体" w:cs="Times New Roman"/>
                <w:b/>
                <w:bCs/>
                <w:color w:val="auto"/>
                <w:sz w:val="28"/>
                <w:szCs w:val="28"/>
                <w:highlight w:val="none"/>
                <w:lang w:val="en-US" w:eastAsia="zh-CN"/>
              </w:rPr>
              <w:t>专栏5-1  制造业物流发展重点工程</w:t>
            </w:r>
            <w:bookmarkEnd w:id="703"/>
            <w:bookmarkEnd w:id="704"/>
            <w:bookmarkEnd w:id="705"/>
            <w:bookmarkEnd w:id="7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tcPr>
          <w:p>
            <w:pPr>
              <w:pStyle w:val="8"/>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cs="Times New Roman"/>
                <w:color w:val="auto"/>
                <w:sz w:val="24"/>
                <w:szCs w:val="21"/>
                <w:highlight w:val="none"/>
                <w:lang w:val="en-US" w:eastAsia="zh-CN"/>
              </w:rPr>
            </w:pPr>
            <w:bookmarkStart w:id="707" w:name="_Toc32048"/>
            <w:bookmarkStart w:id="708" w:name="_Toc28968"/>
            <w:bookmarkStart w:id="709" w:name="_Toc11648"/>
            <w:bookmarkStart w:id="710" w:name="_Toc21900"/>
            <w:r>
              <w:rPr>
                <w:rFonts w:hint="default" w:ascii="Times New Roman" w:hAnsi="Times New Roman" w:cs="Times New Roman"/>
                <w:b/>
                <w:bCs/>
                <w:color w:val="auto"/>
                <w:sz w:val="24"/>
                <w:szCs w:val="21"/>
                <w:highlight w:val="none"/>
                <w:lang w:val="en-US" w:eastAsia="zh-CN"/>
              </w:rPr>
              <w:t>装备制造物流。</w:t>
            </w:r>
            <w:r>
              <w:rPr>
                <w:rFonts w:hint="default" w:ascii="Times New Roman" w:hAnsi="Times New Roman" w:cs="Times New Roman"/>
                <w:color w:val="auto"/>
                <w:sz w:val="24"/>
                <w:szCs w:val="21"/>
                <w:highlight w:val="none"/>
                <w:lang w:val="en-US" w:eastAsia="zh-CN"/>
              </w:rPr>
              <w:t>鼓励华鑫采矿运输设备、鑫阳盛机械制造、天工智造矿山设备、雪鹏机械制造、盂县汇锋钢构等煤矿机械、煤矿电气整机和零部件制造龙头企业加快物流流程再造，探索生产零部件库存外移，推行供应商寄售模式，加快形成保障生产和售后供应的零部件产业链物流体系。</w:t>
            </w:r>
            <w:bookmarkEnd w:id="707"/>
            <w:bookmarkEnd w:id="708"/>
            <w:bookmarkEnd w:id="709"/>
            <w:bookmarkEnd w:id="710"/>
          </w:p>
          <w:p>
            <w:pPr>
              <w:pStyle w:val="8"/>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cs="Times New Roman"/>
                <w:color w:val="auto"/>
                <w:sz w:val="24"/>
                <w:szCs w:val="21"/>
                <w:highlight w:val="none"/>
                <w:lang w:val="en-US" w:eastAsia="zh-CN"/>
              </w:rPr>
            </w:pPr>
            <w:bookmarkStart w:id="711" w:name="_Toc15803"/>
            <w:bookmarkStart w:id="712" w:name="_Toc3702"/>
            <w:bookmarkStart w:id="713" w:name="_Toc23621"/>
            <w:bookmarkStart w:id="714" w:name="_Toc5943"/>
            <w:r>
              <w:rPr>
                <w:rFonts w:hint="default" w:ascii="Times New Roman" w:hAnsi="Times New Roman" w:cs="Times New Roman"/>
                <w:b/>
                <w:bCs/>
                <w:color w:val="auto"/>
                <w:sz w:val="24"/>
                <w:szCs w:val="21"/>
                <w:highlight w:val="none"/>
                <w:lang w:val="en-US" w:eastAsia="zh-CN"/>
              </w:rPr>
              <w:t>有色金属物流。</w:t>
            </w:r>
            <w:r>
              <w:rPr>
                <w:rFonts w:hint="default" w:ascii="Times New Roman" w:hAnsi="Times New Roman" w:cs="Times New Roman"/>
                <w:color w:val="auto"/>
                <w:sz w:val="24"/>
                <w:szCs w:val="21"/>
                <w:highlight w:val="none"/>
                <w:lang w:val="en-US" w:eastAsia="zh-CN"/>
              </w:rPr>
              <w:t>加强物流企业与兆丰铝电、天成铝材等有色金属优势产业的发展联动，优化矿石供应调配物流节点网络，提高有色金属原材料生产供应配送效率和可靠性。</w:t>
            </w:r>
            <w:bookmarkEnd w:id="711"/>
            <w:bookmarkEnd w:id="712"/>
            <w:bookmarkEnd w:id="713"/>
            <w:bookmarkEnd w:id="714"/>
          </w:p>
          <w:p>
            <w:pPr>
              <w:pStyle w:val="8"/>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cs="Times New Roman"/>
                <w:color w:val="auto"/>
                <w:sz w:val="24"/>
                <w:szCs w:val="21"/>
                <w:highlight w:val="none"/>
                <w:lang w:val="en-US" w:eastAsia="zh-CN"/>
              </w:rPr>
            </w:pPr>
            <w:bookmarkStart w:id="715" w:name="_Toc12708"/>
            <w:bookmarkStart w:id="716" w:name="_Toc16792"/>
            <w:bookmarkStart w:id="717" w:name="_Toc352"/>
            <w:bookmarkStart w:id="718" w:name="_Toc2138"/>
            <w:r>
              <w:rPr>
                <w:rFonts w:hint="default" w:ascii="Times New Roman" w:hAnsi="Times New Roman" w:cs="Times New Roman"/>
                <w:b/>
                <w:bCs/>
                <w:color w:val="auto"/>
                <w:sz w:val="24"/>
                <w:szCs w:val="21"/>
                <w:highlight w:val="none"/>
                <w:lang w:val="en-US" w:eastAsia="zh-CN"/>
              </w:rPr>
              <w:t>新材料物流。</w:t>
            </w:r>
            <w:r>
              <w:rPr>
                <w:rFonts w:hint="default" w:ascii="Times New Roman" w:hAnsi="Times New Roman" w:cs="Times New Roman"/>
                <w:color w:val="auto"/>
                <w:sz w:val="24"/>
                <w:szCs w:val="21"/>
                <w:highlight w:val="none"/>
                <w:lang w:val="en-US" w:eastAsia="zh-CN"/>
              </w:rPr>
              <w:t>支持平定经开区做强新材料产业，配套建设大型综合物流园区，大力发展纤维新材料，打造中国纤维新材料产业示范基地。鼓励龙川工业园利用有利的原材料、土地等要素优势，整合企业销售网络物流资源，建设以石油压裂支撑剂和碳基新材料等供应基地为核心的销售物流网络，确保新材料优质产品供销渠道安全可控。</w:t>
            </w:r>
            <w:bookmarkEnd w:id="715"/>
            <w:bookmarkEnd w:id="716"/>
            <w:bookmarkEnd w:id="717"/>
            <w:bookmarkEnd w:id="718"/>
          </w:p>
          <w:p>
            <w:pPr>
              <w:pStyle w:val="8"/>
              <w:keepNext w:val="0"/>
              <w:keepLines w:val="0"/>
              <w:pageBreakBefore w:val="0"/>
              <w:widowControl w:val="0"/>
              <w:kinsoku/>
              <w:wordWrap/>
              <w:overflowPunct/>
              <w:topLinePunct w:val="0"/>
              <w:autoSpaceDE/>
              <w:autoSpaceDN/>
              <w:bidi w:val="0"/>
              <w:adjustRightInd/>
              <w:snapToGrid/>
              <w:spacing w:line="600" w:lineRule="exact"/>
              <w:rPr>
                <w:rFonts w:hint="default" w:ascii="Times New Roman" w:hAnsi="Times New Roman" w:cs="Times New Roman"/>
                <w:color w:val="auto"/>
                <w:highlight w:val="none"/>
                <w:lang w:val="en-US" w:eastAsia="zh-CN"/>
              </w:rPr>
            </w:pPr>
            <w:bookmarkStart w:id="719" w:name="_Toc12479"/>
            <w:bookmarkStart w:id="720" w:name="_Toc8764"/>
            <w:bookmarkStart w:id="721" w:name="_Toc8533"/>
            <w:bookmarkStart w:id="722" w:name="_Toc21344"/>
            <w:r>
              <w:rPr>
                <w:rFonts w:hint="default" w:ascii="Times New Roman" w:hAnsi="Times New Roman" w:cs="Times New Roman"/>
                <w:b/>
                <w:bCs/>
                <w:color w:val="auto"/>
                <w:sz w:val="24"/>
                <w:szCs w:val="21"/>
                <w:highlight w:val="none"/>
                <w:lang w:val="en-US" w:eastAsia="zh-CN"/>
              </w:rPr>
              <w:t>煤炭能源物流。</w:t>
            </w:r>
            <w:r>
              <w:rPr>
                <w:rFonts w:hint="default" w:ascii="Times New Roman" w:hAnsi="Times New Roman" w:cs="Times New Roman"/>
                <w:color w:val="auto"/>
                <w:sz w:val="24"/>
                <w:szCs w:val="21"/>
                <w:highlight w:val="none"/>
                <w:lang w:val="en-US" w:eastAsia="zh-CN"/>
              </w:rPr>
              <w:t>优化煤炭运输结构，完善煤炭储备体系，</w:t>
            </w:r>
            <w:r>
              <w:rPr>
                <w:rFonts w:ascii="Times New Roman" w:hAnsi="Times New Roman" w:cs="Times New Roman"/>
                <w:color w:val="auto"/>
                <w:sz w:val="24"/>
                <w:szCs w:val="21"/>
                <w:highlight w:val="none"/>
              </w:rPr>
              <w:t>扩大面向大型</w:t>
            </w:r>
            <w:r>
              <w:rPr>
                <w:rFonts w:hint="default" w:ascii="Times New Roman" w:hAnsi="Times New Roman" w:cs="Times New Roman"/>
                <w:color w:val="auto"/>
                <w:sz w:val="24"/>
                <w:szCs w:val="21"/>
                <w:highlight w:val="none"/>
                <w:lang w:eastAsia="zh-CN"/>
              </w:rPr>
              <w:t>煤</w:t>
            </w:r>
            <w:r>
              <w:rPr>
                <w:rFonts w:ascii="Times New Roman" w:hAnsi="Times New Roman" w:cs="Times New Roman"/>
                <w:color w:val="auto"/>
                <w:sz w:val="24"/>
                <w:szCs w:val="21"/>
                <w:highlight w:val="none"/>
              </w:rPr>
              <w:t>矿地的</w:t>
            </w:r>
            <w:r>
              <w:rPr>
                <w:rFonts w:hint="default" w:ascii="Times New Roman" w:hAnsi="Times New Roman" w:cs="Times New Roman"/>
                <w:color w:val="auto"/>
                <w:sz w:val="24"/>
                <w:szCs w:val="21"/>
                <w:highlight w:val="none"/>
                <w:lang w:eastAsia="zh-CN"/>
              </w:rPr>
              <w:t>“</w:t>
            </w:r>
            <w:r>
              <w:rPr>
                <w:rFonts w:ascii="Times New Roman" w:hAnsi="Times New Roman" w:cs="Times New Roman"/>
                <w:color w:val="auto"/>
                <w:sz w:val="24"/>
                <w:szCs w:val="21"/>
                <w:highlight w:val="none"/>
              </w:rPr>
              <w:t>点对点</w:t>
            </w:r>
            <w:r>
              <w:rPr>
                <w:rFonts w:hint="default" w:ascii="Times New Roman" w:hAnsi="Times New Roman" w:cs="Times New Roman"/>
                <w:color w:val="auto"/>
                <w:sz w:val="24"/>
                <w:szCs w:val="21"/>
                <w:highlight w:val="none"/>
                <w:lang w:eastAsia="zh-CN"/>
              </w:rPr>
              <w:t>”</w:t>
            </w:r>
            <w:r>
              <w:rPr>
                <w:rFonts w:ascii="Times New Roman" w:hAnsi="Times New Roman" w:cs="Times New Roman"/>
                <w:color w:val="auto"/>
                <w:sz w:val="24"/>
                <w:szCs w:val="21"/>
                <w:highlight w:val="none"/>
              </w:rPr>
              <w:t>直达货运列车开行范围</w:t>
            </w:r>
            <w:r>
              <w:rPr>
                <w:rFonts w:hint="default" w:ascii="Times New Roman" w:hAnsi="Times New Roman" w:cs="Times New Roman"/>
                <w:color w:val="auto"/>
                <w:sz w:val="24"/>
                <w:szCs w:val="21"/>
                <w:highlight w:val="none"/>
                <w:lang w:eastAsia="zh-CN"/>
              </w:rPr>
              <w:t>，鼓励煤炭物流企业积极申报省级物流业与制造业融合联动发展企业试点，率先</w:t>
            </w:r>
            <w:r>
              <w:rPr>
                <w:rFonts w:ascii="Times New Roman" w:hAnsi="Times New Roman" w:cs="Times New Roman"/>
                <w:color w:val="auto"/>
                <w:sz w:val="24"/>
                <w:szCs w:val="21"/>
                <w:highlight w:val="none"/>
              </w:rPr>
              <w:t>形成一批物流业制造业融合发展标杆企业</w:t>
            </w:r>
            <w:r>
              <w:rPr>
                <w:rFonts w:hint="default" w:ascii="Times New Roman" w:hAnsi="Times New Roman" w:cs="Times New Roman"/>
                <w:color w:val="auto"/>
                <w:sz w:val="24"/>
                <w:szCs w:val="21"/>
                <w:highlight w:val="none"/>
                <w:lang w:eastAsia="zh-CN"/>
              </w:rPr>
              <w:t>。</w:t>
            </w:r>
            <w:bookmarkEnd w:id="719"/>
            <w:bookmarkEnd w:id="720"/>
            <w:bookmarkEnd w:id="721"/>
            <w:bookmarkEnd w:id="722"/>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仿宋_GB2312" w:cs="Times New Roman"/>
          <w:i w:val="0"/>
          <w:iCs w:val="0"/>
          <w:caps w:val="0"/>
          <w:color w:val="auto"/>
          <w:spacing w:val="0"/>
          <w:kern w:val="0"/>
          <w:sz w:val="32"/>
          <w:szCs w:val="32"/>
          <w:highlight w:val="none"/>
          <w:shd w:val="clear"/>
          <w:lang w:val="en-US" w:eastAsia="zh-CN" w:bidi="ar"/>
        </w:rPr>
      </w:pPr>
      <w:bookmarkStart w:id="723" w:name="_Toc22605"/>
      <w:bookmarkStart w:id="724" w:name="_Toc18486"/>
      <w:bookmarkStart w:id="725" w:name="_Toc28823"/>
      <w:bookmarkStart w:id="726" w:name="_Toc9211"/>
      <w:bookmarkStart w:id="727" w:name="_Toc8000"/>
      <w:bookmarkStart w:id="728" w:name="_Toc23341"/>
      <w:bookmarkStart w:id="729" w:name="_Toc16067"/>
      <w:bookmarkStart w:id="730" w:name="_Toc19151"/>
      <w:bookmarkStart w:id="731" w:name="_Toc11615"/>
      <w:bookmarkStart w:id="732" w:name="_Toc10932"/>
      <w:bookmarkStart w:id="733" w:name="_Toc27027"/>
      <w:bookmarkStart w:id="734" w:name="_Toc12067"/>
      <w:bookmarkStart w:id="735" w:name="_Toc6117"/>
      <w:bookmarkStart w:id="736" w:name="_Toc11603"/>
      <w:bookmarkStart w:id="737" w:name="_Toc1686"/>
      <w:bookmarkStart w:id="738" w:name="_Toc15114"/>
      <w:bookmarkStart w:id="739" w:name="_Toc32267"/>
      <w:bookmarkStart w:id="740" w:name="_Toc167"/>
      <w:bookmarkStart w:id="741" w:name="_Toc15415"/>
      <w:bookmarkStart w:id="742" w:name="_Toc11366"/>
      <w:bookmarkStart w:id="743" w:name="_Toc32008"/>
      <w:bookmarkStart w:id="744" w:name="_Toc9208"/>
      <w:r>
        <w:rPr>
          <w:rFonts w:hint="default" w:ascii="Times New Roman" w:hAnsi="Times New Roman" w:eastAsia="黑体" w:cs="Times New Roman"/>
          <w:b w:val="0"/>
          <w:bCs w:val="0"/>
          <w:color w:val="auto"/>
          <w:sz w:val="32"/>
          <w:szCs w:val="32"/>
          <w:highlight w:val="none"/>
          <w:lang w:val="en-US" w:eastAsia="zh-CN"/>
        </w:rPr>
        <w:t>六、加快发展现代农业物流</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ascii="Times New Roman" w:hAnsi="Times New Roman" w:eastAsia="仿宋_GB2312" w:cs="Times New Roman"/>
          <w:i w:val="0"/>
          <w:iCs w:val="0"/>
          <w:caps w:val="0"/>
          <w:color w:val="auto"/>
          <w:spacing w:val="0"/>
          <w:kern w:val="0"/>
          <w:sz w:val="32"/>
          <w:szCs w:val="32"/>
          <w:highlight w:val="none"/>
          <w:shd w:val="clear" w:fill="auto"/>
          <w:lang w:bidi="ar"/>
        </w:rPr>
      </w:pPr>
      <w:r>
        <w:rPr>
          <w:rFonts w:hint="default" w:ascii="Times New Roman" w:hAnsi="Times New Roman" w:eastAsia="仿宋_GB2312" w:cs="Times New Roman"/>
          <w:i w:val="0"/>
          <w:iCs w:val="0"/>
          <w:caps w:val="0"/>
          <w:color w:val="auto"/>
          <w:spacing w:val="0"/>
          <w:kern w:val="0"/>
          <w:sz w:val="32"/>
          <w:szCs w:val="32"/>
          <w:highlight w:val="none"/>
          <w:shd w:val="clear"/>
          <w:lang w:val="en-US" w:eastAsia="zh-CN" w:bidi="ar"/>
        </w:rPr>
        <w:t>稳步推进</w:t>
      </w:r>
      <w:r>
        <w:rPr>
          <w:rFonts w:ascii="Times New Roman" w:hAnsi="Times New Roman" w:eastAsia="仿宋_GB2312" w:cs="Times New Roman"/>
          <w:b w:val="0"/>
          <w:bCs w:val="0"/>
          <w:i w:val="0"/>
          <w:iCs w:val="0"/>
          <w:caps w:val="0"/>
          <w:color w:val="auto"/>
          <w:spacing w:val="0"/>
          <w:kern w:val="0"/>
          <w:sz w:val="32"/>
          <w:szCs w:val="32"/>
          <w:highlight w:val="none"/>
          <w:shd w:val="clear"/>
          <w:lang w:bidi="ar"/>
        </w:rPr>
        <w:t>农产品冷链物流设施</w:t>
      </w:r>
      <w:r>
        <w:rPr>
          <w:rFonts w:hint="default" w:ascii="Times New Roman" w:hAnsi="Times New Roman" w:eastAsia="仿宋_GB2312" w:cs="Times New Roman"/>
          <w:i w:val="0"/>
          <w:iCs w:val="0"/>
          <w:caps w:val="0"/>
          <w:color w:val="auto"/>
          <w:spacing w:val="0"/>
          <w:kern w:val="0"/>
          <w:sz w:val="32"/>
          <w:szCs w:val="32"/>
          <w:highlight w:val="none"/>
          <w:shd w:val="clear"/>
          <w:lang w:val="en-US" w:eastAsia="zh-CN" w:bidi="ar"/>
        </w:rPr>
        <w:t>建设，</w:t>
      </w:r>
      <w:r>
        <w:rPr>
          <w:rFonts w:ascii="Times New Roman" w:hAnsi="Times New Roman" w:eastAsia="仿宋_GB2312" w:cs="Times New Roman"/>
          <w:i w:val="0"/>
          <w:iCs w:val="0"/>
          <w:caps w:val="0"/>
          <w:color w:val="auto"/>
          <w:spacing w:val="0"/>
          <w:kern w:val="0"/>
          <w:sz w:val="32"/>
          <w:szCs w:val="32"/>
          <w:highlight w:val="none"/>
          <w:shd w:val="clear" w:fill="auto"/>
          <w:lang w:bidi="ar"/>
        </w:rPr>
        <w:t>改造提升农村物流基础设施，深入推进电子商务进农村和农产品出村进城，</w:t>
      </w:r>
      <w:r>
        <w:rPr>
          <w:rFonts w:hint="default" w:ascii="Times New Roman" w:hAnsi="Times New Roman" w:eastAsia="仿宋_GB2312" w:cs="Times New Roman"/>
          <w:i w:val="0"/>
          <w:iCs w:val="0"/>
          <w:caps w:val="0"/>
          <w:color w:val="auto"/>
          <w:spacing w:val="0"/>
          <w:kern w:val="0"/>
          <w:sz w:val="32"/>
          <w:szCs w:val="32"/>
          <w:highlight w:val="none"/>
          <w:shd w:val="clear" w:fill="auto"/>
          <w:lang w:val="en-US" w:eastAsia="zh-CN" w:bidi="ar"/>
        </w:rPr>
        <w:t>提高生鲜农产品</w:t>
      </w:r>
      <w:r>
        <w:rPr>
          <w:rFonts w:hint="default" w:ascii="Times New Roman" w:hAnsi="Times New Roman" w:eastAsia="仿宋_GB2312" w:cs="Times New Roman"/>
          <w:i w:val="0"/>
          <w:iCs w:val="0"/>
          <w:caps w:val="0"/>
          <w:color w:val="auto"/>
          <w:spacing w:val="0"/>
          <w:kern w:val="0"/>
          <w:sz w:val="32"/>
          <w:szCs w:val="32"/>
          <w:highlight w:val="none"/>
          <w:shd w:val="clear"/>
          <w:lang w:val="en-US" w:eastAsia="zh-CN" w:bidi="ar"/>
        </w:rPr>
        <w:t>和加工农产品</w:t>
      </w:r>
      <w:r>
        <w:rPr>
          <w:rFonts w:hint="default" w:ascii="Times New Roman" w:hAnsi="Times New Roman" w:eastAsia="仿宋_GB2312" w:cs="Times New Roman"/>
          <w:i w:val="0"/>
          <w:iCs w:val="0"/>
          <w:caps w:val="0"/>
          <w:color w:val="auto"/>
          <w:spacing w:val="0"/>
          <w:kern w:val="0"/>
          <w:sz w:val="32"/>
          <w:szCs w:val="32"/>
          <w:highlight w:val="none"/>
          <w:shd w:val="clear" w:fill="auto"/>
          <w:lang w:val="en-US" w:eastAsia="zh-CN" w:bidi="ar"/>
        </w:rPr>
        <w:t>产业化发展水平</w:t>
      </w:r>
      <w:r>
        <w:rPr>
          <w:rFonts w:ascii="Times New Roman" w:hAnsi="Times New Roman" w:eastAsia="仿宋_GB2312" w:cs="Times New Roman"/>
          <w:i w:val="0"/>
          <w:iCs w:val="0"/>
          <w:caps w:val="0"/>
          <w:color w:val="auto"/>
          <w:spacing w:val="0"/>
          <w:kern w:val="0"/>
          <w:sz w:val="32"/>
          <w:szCs w:val="32"/>
          <w:highlight w:val="none"/>
          <w:shd w:val="clear" w:fill="auto"/>
          <w:lang w:bidi="ar"/>
        </w:rPr>
        <w:t>。</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left"/>
        <w:outlineLvl w:val="1"/>
        <w:rPr>
          <w:rFonts w:ascii="Times New Roman" w:hAnsi="Times New Roman" w:eastAsia="楷体_GB2312" w:cs="Times New Roman"/>
          <w:b/>
          <w:bCs/>
          <w:i w:val="0"/>
          <w:iCs w:val="0"/>
          <w:caps w:val="0"/>
          <w:color w:val="auto"/>
          <w:spacing w:val="0"/>
          <w:sz w:val="32"/>
          <w:szCs w:val="32"/>
          <w:highlight w:val="none"/>
          <w:u w:val="none"/>
          <w:shd w:val="clear"/>
        </w:rPr>
      </w:pPr>
      <w:bookmarkStart w:id="745" w:name="_Toc12243"/>
      <w:bookmarkStart w:id="746" w:name="_Toc23493"/>
      <w:bookmarkStart w:id="747" w:name="_Toc14760"/>
      <w:bookmarkStart w:id="748" w:name="_Toc12252"/>
      <w:bookmarkStart w:id="749" w:name="_Toc17802"/>
      <w:bookmarkStart w:id="750" w:name="_Toc18957"/>
      <w:bookmarkStart w:id="751" w:name="_Toc20563"/>
      <w:bookmarkStart w:id="752" w:name="_Toc24789"/>
      <w:bookmarkStart w:id="753" w:name="_Toc1506"/>
      <w:bookmarkStart w:id="754" w:name="_Toc14899"/>
      <w:bookmarkStart w:id="755" w:name="_Toc12763"/>
      <w:bookmarkStart w:id="756" w:name="_Toc22805"/>
      <w:bookmarkStart w:id="757" w:name="_Toc20611"/>
      <w:bookmarkStart w:id="758" w:name="_Toc12988"/>
      <w:bookmarkStart w:id="759" w:name="_Toc17691"/>
      <w:bookmarkStart w:id="760" w:name="_Toc22162"/>
      <w:bookmarkStart w:id="761" w:name="_Toc10476"/>
      <w:bookmarkStart w:id="762" w:name="_Toc27747"/>
      <w:r>
        <w:rPr>
          <w:rFonts w:hint="default" w:ascii="Times New Roman" w:hAnsi="Times New Roman" w:eastAsia="楷体_GB2312" w:cs="Times New Roman"/>
          <w:b/>
          <w:bCs/>
          <w:i w:val="0"/>
          <w:iCs w:val="0"/>
          <w:caps w:val="0"/>
          <w:color w:val="auto"/>
          <w:spacing w:val="0"/>
          <w:sz w:val="32"/>
          <w:szCs w:val="32"/>
          <w:highlight w:val="none"/>
          <w:u w:val="none"/>
          <w:shd w:val="clear"/>
          <w:lang w:eastAsia="zh-CN"/>
        </w:rPr>
        <w:t>（一）</w:t>
      </w:r>
      <w:r>
        <w:rPr>
          <w:rFonts w:ascii="Times New Roman" w:hAnsi="Times New Roman" w:eastAsia="楷体_GB2312" w:cs="Times New Roman"/>
          <w:b/>
          <w:bCs/>
          <w:i w:val="0"/>
          <w:iCs w:val="0"/>
          <w:caps w:val="0"/>
          <w:color w:val="auto"/>
          <w:spacing w:val="0"/>
          <w:sz w:val="32"/>
          <w:szCs w:val="32"/>
          <w:highlight w:val="none"/>
          <w:u w:val="none"/>
          <w:shd w:val="clear"/>
        </w:rPr>
        <w:t>实施农产品仓储保鲜冷链物流设施建设工程</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outlineLvl w:val="9"/>
        <w:rPr>
          <w:rFonts w:hint="default" w:ascii="Times New Roman" w:hAnsi="Times New Roman" w:eastAsia="仿宋_GB2312" w:cs="Times New Roman"/>
          <w:b w:val="0"/>
          <w:bCs w:val="0"/>
          <w:color w:val="auto"/>
          <w:kern w:val="2"/>
          <w:sz w:val="32"/>
          <w:szCs w:val="32"/>
          <w:highlight w:val="none"/>
          <w:u w:val="none"/>
          <w:shd w:val="clear" w:fill="FFFFFF"/>
          <w:lang w:val="en-US" w:eastAsia="zh-CN" w:bidi="ar-SA"/>
        </w:rPr>
      </w:pPr>
      <w:r>
        <w:rPr>
          <w:rFonts w:hint="default" w:ascii="Times New Roman" w:hAnsi="Times New Roman" w:eastAsia="仿宋_GB2312" w:cs="Times New Roman"/>
          <w:color w:val="auto"/>
          <w:sz w:val="32"/>
          <w:szCs w:val="32"/>
          <w:highlight w:val="none"/>
          <w:shd w:val="clear" w:fill="FFFFFF"/>
          <w:lang w:eastAsia="zh-CN"/>
        </w:rPr>
        <w:t>针对性补齐平定、盂县和郊区城乡冷链物流设施短板，</w:t>
      </w:r>
      <w:r>
        <w:rPr>
          <w:rFonts w:hint="default" w:ascii="Times New Roman" w:hAnsi="Times New Roman" w:eastAsia="仿宋_GB2312" w:cs="Times New Roman"/>
          <w:b w:val="0"/>
          <w:bCs w:val="0"/>
          <w:color w:val="auto"/>
          <w:kern w:val="2"/>
          <w:sz w:val="32"/>
          <w:szCs w:val="32"/>
          <w:highlight w:val="none"/>
          <w:shd w:val="clear" w:fill="FFFFFF"/>
          <w:lang w:val="en-US" w:eastAsia="zh-CN" w:bidi="ar-SA"/>
        </w:rPr>
        <w:t>改造提升重点农产品物流集散、批发中心，</w:t>
      </w:r>
      <w:r>
        <w:rPr>
          <w:rFonts w:ascii="Times New Roman" w:hAnsi="Times New Roman" w:eastAsia="仿宋_GB2312" w:cs="Times New Roman"/>
          <w:i w:val="0"/>
          <w:iCs w:val="0"/>
          <w:caps w:val="0"/>
          <w:color w:val="auto"/>
          <w:spacing w:val="0"/>
          <w:sz w:val="32"/>
          <w:szCs w:val="32"/>
          <w:highlight w:val="none"/>
          <w:shd w:val="clear" w:fill="FFFFFF"/>
        </w:rPr>
        <w:t>推进</w:t>
      </w:r>
      <w:r>
        <w:rPr>
          <w:rFonts w:hint="default" w:ascii="Times New Roman" w:hAnsi="Times New Roman" w:eastAsia="仿宋_GB2312" w:cs="Times New Roman"/>
          <w:b w:val="0"/>
          <w:bCs w:val="0"/>
          <w:color w:val="auto"/>
          <w:kern w:val="2"/>
          <w:sz w:val="32"/>
          <w:szCs w:val="32"/>
          <w:highlight w:val="none"/>
          <w:u w:val="none"/>
          <w:shd w:val="clear" w:fill="FFFFFF"/>
          <w:lang w:val="en-US" w:eastAsia="zh-CN" w:bidi="ar-SA"/>
        </w:rPr>
        <w:t>农产品产地</w:t>
      </w:r>
      <w:r>
        <w:rPr>
          <w:rFonts w:ascii="Times New Roman" w:hAnsi="Times New Roman" w:eastAsia="仿宋_GB2312" w:cs="Times New Roman"/>
          <w:i w:val="0"/>
          <w:iCs w:val="0"/>
          <w:caps w:val="0"/>
          <w:color w:val="auto"/>
          <w:spacing w:val="0"/>
          <w:sz w:val="32"/>
          <w:szCs w:val="32"/>
          <w:highlight w:val="none"/>
          <w:shd w:val="clear" w:fill="FFFFFF"/>
        </w:rPr>
        <w:t>田头小型仓储保鲜冷链设施</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和</w:t>
      </w:r>
      <w:r>
        <w:rPr>
          <w:rFonts w:hint="default" w:ascii="Times New Roman" w:hAnsi="Times New Roman" w:eastAsia="仿宋_GB2312" w:cs="Times New Roman"/>
          <w:b w:val="0"/>
          <w:bCs w:val="0"/>
          <w:color w:val="auto"/>
          <w:kern w:val="2"/>
          <w:sz w:val="32"/>
          <w:szCs w:val="32"/>
          <w:highlight w:val="none"/>
          <w:u w:val="none"/>
          <w:shd w:val="clear" w:fill="FFFFFF"/>
          <w:lang w:val="en-US" w:eastAsia="zh-CN" w:bidi="ar-SA"/>
        </w:rPr>
        <w:t>面向城市消费者</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的</w:t>
      </w:r>
      <w:r>
        <w:rPr>
          <w:rFonts w:ascii="Times New Roman" w:hAnsi="Times New Roman" w:eastAsia="仿宋_GB2312" w:cs="Times New Roman"/>
          <w:i w:val="0"/>
          <w:iCs w:val="0"/>
          <w:caps w:val="0"/>
          <w:color w:val="auto"/>
          <w:spacing w:val="0"/>
          <w:sz w:val="32"/>
          <w:szCs w:val="32"/>
          <w:highlight w:val="none"/>
          <w:shd w:val="clear" w:fill="FFFFFF"/>
        </w:rPr>
        <w:t>低温直销配送中心建设。</w:t>
      </w:r>
      <w:r>
        <w:rPr>
          <w:rFonts w:hint="default" w:ascii="Times New Roman" w:hAnsi="Times New Roman" w:eastAsia="仿宋_GB2312" w:cs="Times New Roman"/>
          <w:i w:val="0"/>
          <w:iCs w:val="0"/>
          <w:caps w:val="0"/>
          <w:color w:val="auto"/>
          <w:spacing w:val="0"/>
          <w:sz w:val="32"/>
          <w:szCs w:val="32"/>
          <w:highlight w:val="none"/>
          <w:shd w:val="clear" w:fill="FFFFFF"/>
        </w:rPr>
        <w:t>鼓励冷链物流企业购置冷藏运输车辆，提高生鲜农产品冷链运输率</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鼓励肉类和水产品加工、流通和销售企业购置冷链设施设备，提高冷链处理能力，逐步减少“断链”现象发生。</w:t>
      </w:r>
      <w:r>
        <w:rPr>
          <w:rFonts w:hint="default" w:ascii="Times New Roman" w:hAnsi="Times New Roman" w:eastAsia="仿宋_GB2312" w:cs="Times New Roman"/>
          <w:i w:val="0"/>
          <w:iCs w:val="0"/>
          <w:caps w:val="0"/>
          <w:color w:val="auto"/>
          <w:spacing w:val="0"/>
          <w:sz w:val="32"/>
          <w:szCs w:val="32"/>
          <w:highlight w:val="none"/>
          <w:u w:val="none"/>
          <w:shd w:val="clear" w:fill="FFFFFF"/>
        </w:rPr>
        <w:t>加强冷链物流产品品质管理</w:t>
      </w:r>
      <w:r>
        <w:rPr>
          <w:rFonts w:hint="default" w:ascii="Times New Roman" w:hAnsi="Times New Roman" w:eastAsia="仿宋_GB2312" w:cs="Times New Roman"/>
          <w:i w:val="0"/>
          <w:iCs w:val="0"/>
          <w:caps w:val="0"/>
          <w:color w:val="auto"/>
          <w:spacing w:val="0"/>
          <w:sz w:val="32"/>
          <w:szCs w:val="32"/>
          <w:highlight w:val="none"/>
          <w:u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u w:val="none"/>
          <w:shd w:val="clear" w:fill="FFFFFF"/>
        </w:rPr>
        <w:t>鼓励</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合作社、新型农村经营主体、</w:t>
      </w:r>
      <w:r>
        <w:rPr>
          <w:rFonts w:hint="default" w:ascii="Times New Roman" w:hAnsi="Times New Roman" w:eastAsia="仿宋_GB2312" w:cs="Times New Roman"/>
          <w:i w:val="0"/>
          <w:iCs w:val="0"/>
          <w:caps w:val="0"/>
          <w:color w:val="auto"/>
          <w:spacing w:val="0"/>
          <w:sz w:val="32"/>
          <w:szCs w:val="32"/>
          <w:highlight w:val="none"/>
          <w:u w:val="none"/>
          <w:shd w:val="clear" w:fill="FFFFFF"/>
        </w:rPr>
        <w:t>物流企业推广</w:t>
      </w:r>
      <w:r>
        <w:rPr>
          <w:rFonts w:hint="default" w:ascii="Times New Roman" w:hAnsi="Times New Roman" w:eastAsia="仿宋_GB2312" w:cs="Times New Roman"/>
          <w:i w:val="0"/>
          <w:iCs w:val="0"/>
          <w:caps w:val="0"/>
          <w:color w:val="auto"/>
          <w:spacing w:val="0"/>
          <w:sz w:val="32"/>
          <w:szCs w:val="32"/>
          <w:highlight w:val="none"/>
          <w:u w:val="none"/>
          <w:shd w:val="clear" w:fill="FFFFFF"/>
          <w:lang w:eastAsia="zh-CN"/>
        </w:rPr>
        <w:t>应用</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公用型预冷库、</w:t>
      </w:r>
      <w:r>
        <w:rPr>
          <w:rFonts w:hint="default" w:ascii="Times New Roman" w:hAnsi="Times New Roman" w:eastAsia="仿宋_GB2312" w:cs="Times New Roman"/>
          <w:i w:val="0"/>
          <w:iCs w:val="0"/>
          <w:caps w:val="0"/>
          <w:color w:val="auto"/>
          <w:spacing w:val="0"/>
          <w:sz w:val="32"/>
          <w:szCs w:val="32"/>
          <w:highlight w:val="none"/>
          <w:u w:val="none"/>
          <w:shd w:val="clear" w:fill="FFFFFF"/>
        </w:rPr>
        <w:t>多温带冷链运输车辆</w:t>
      </w:r>
      <w:r>
        <w:rPr>
          <w:rFonts w:hint="default" w:ascii="Times New Roman" w:hAnsi="Times New Roman" w:eastAsia="仿宋_GB2312" w:cs="Times New Roman"/>
          <w:i w:val="0"/>
          <w:iCs w:val="0"/>
          <w:caps w:val="0"/>
          <w:color w:val="auto"/>
          <w:spacing w:val="0"/>
          <w:sz w:val="32"/>
          <w:szCs w:val="32"/>
          <w:highlight w:val="none"/>
          <w:u w:val="none"/>
          <w:shd w:val="clear" w:fill="FFFFFF"/>
          <w:lang w:eastAsia="zh-CN"/>
        </w:rPr>
        <w:t>和</w:t>
      </w:r>
      <w:r>
        <w:rPr>
          <w:rFonts w:hint="default" w:ascii="Times New Roman" w:hAnsi="Times New Roman" w:eastAsia="仿宋_GB2312" w:cs="Times New Roman"/>
          <w:i w:val="0"/>
          <w:iCs w:val="0"/>
          <w:caps w:val="0"/>
          <w:color w:val="auto"/>
          <w:spacing w:val="0"/>
          <w:sz w:val="32"/>
          <w:szCs w:val="32"/>
          <w:highlight w:val="none"/>
          <w:u w:val="none"/>
          <w:shd w:val="clear" w:fill="FFFFFF"/>
        </w:rPr>
        <w:t>移动式冷柜、便携式冷藏箱等末端冷链设备。</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13"/>
              <w:keepNext w:val="0"/>
              <w:keepLines w:val="0"/>
              <w:pageBreakBefore w:val="0"/>
              <w:widowControl w:val="0"/>
              <w:numPr>
                <w:ilvl w:val="0"/>
                <w:numId w:val="0"/>
              </w:numPr>
              <w:tabs>
                <w:tab w:val="right" w:leader="dot" w:pos="8296"/>
              </w:tabs>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楷体_GB2312" w:cs="Times New Roman"/>
                <w:b/>
                <w:bCs/>
                <w:color w:val="auto"/>
                <w:kern w:val="2"/>
                <w:sz w:val="32"/>
                <w:szCs w:val="32"/>
                <w:highlight w:val="none"/>
                <w:vertAlign w:val="baseline"/>
                <w:lang w:val="en-US" w:eastAsia="zh-CN" w:bidi="ar-SA"/>
              </w:rPr>
            </w:pPr>
            <w:r>
              <w:rPr>
                <w:rFonts w:hint="default" w:ascii="Times New Roman" w:hAnsi="Times New Roman" w:eastAsia="宋体" w:cs="Times New Roman"/>
                <w:b/>
                <w:bCs/>
                <w:color w:val="auto"/>
                <w:kern w:val="2"/>
                <w:sz w:val="28"/>
                <w:szCs w:val="28"/>
                <w:highlight w:val="none"/>
                <w:vertAlign w:val="baseline"/>
                <w:lang w:val="en-US" w:eastAsia="zh-CN" w:bidi="ar-SA"/>
              </w:rPr>
              <w:t xml:space="preserve">专栏6-1  </w:t>
            </w:r>
            <w:r>
              <w:rPr>
                <w:rFonts w:hint="default" w:ascii="Times New Roman" w:hAnsi="Times New Roman" w:eastAsia="宋体" w:cs="Times New Roman"/>
                <w:b/>
                <w:bCs/>
                <w:i w:val="0"/>
                <w:caps w:val="0"/>
                <w:color w:val="auto"/>
                <w:spacing w:val="0"/>
                <w:sz w:val="28"/>
                <w:szCs w:val="28"/>
                <w:highlight w:val="none"/>
                <w:shd w:val="clear"/>
              </w:rPr>
              <w:t>冷链物流</w:t>
            </w:r>
            <w:r>
              <w:rPr>
                <w:rFonts w:hint="default" w:ascii="Times New Roman" w:hAnsi="Times New Roman" w:eastAsia="宋体" w:cs="Times New Roman"/>
                <w:b/>
                <w:bCs/>
                <w:color w:val="auto"/>
                <w:kern w:val="2"/>
                <w:sz w:val="28"/>
                <w:szCs w:val="28"/>
                <w:highlight w:val="none"/>
                <w:vertAlign w:val="baseline"/>
                <w:lang w:val="en-US" w:eastAsia="zh-CN" w:bidi="ar-SA"/>
              </w:rPr>
              <w:t>建设重点项目</w:t>
            </w:r>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keepNext w:val="0"/>
              <w:keepLines w:val="0"/>
              <w:pageBreakBefore w:val="0"/>
              <w:widowControl w:val="0"/>
              <w:numPr>
                <w:ilvl w:val="0"/>
                <w:numId w:val="0"/>
              </w:numPr>
              <w:tabs>
                <w:tab w:val="right" w:leader="dot" w:pos="8296"/>
              </w:tabs>
              <w:kinsoku/>
              <w:wordWrap/>
              <w:overflowPunct/>
              <w:topLinePunct w:val="0"/>
              <w:autoSpaceDE/>
              <w:autoSpaceDN/>
              <w:bidi w:val="0"/>
              <w:adjustRightInd/>
              <w:snapToGrid/>
              <w:spacing w:line="600" w:lineRule="exact"/>
              <w:ind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i w:val="0"/>
                <w:caps w:val="0"/>
                <w:color w:val="auto"/>
                <w:spacing w:val="0"/>
                <w:sz w:val="24"/>
                <w:szCs w:val="24"/>
                <w:highlight w:val="none"/>
                <w:shd w:val="clear"/>
                <w:lang w:eastAsia="zh-CN"/>
              </w:rPr>
              <w:t>重点推进</w:t>
            </w:r>
            <w:r>
              <w:rPr>
                <w:rFonts w:hint="eastAsia" w:ascii="Times New Roman" w:hAnsi="Times New Roman" w:eastAsia="宋体" w:cs="Times New Roman"/>
                <w:i w:val="0"/>
                <w:caps w:val="0"/>
                <w:color w:val="auto"/>
                <w:spacing w:val="0"/>
                <w:sz w:val="24"/>
                <w:szCs w:val="24"/>
                <w:highlight w:val="none"/>
                <w:shd w:val="clear"/>
                <w:lang w:eastAsia="zh-CN"/>
              </w:rPr>
              <w:t>阳泉城南冷链物流园项目、</w:t>
            </w:r>
            <w:r>
              <w:rPr>
                <w:rFonts w:hint="default" w:ascii="Times New Roman" w:hAnsi="Times New Roman" w:eastAsia="宋体" w:cs="Times New Roman"/>
                <w:color w:val="auto"/>
                <w:sz w:val="24"/>
                <w:szCs w:val="24"/>
                <w:highlight w:val="none"/>
                <w:lang w:eastAsia="zh-CN"/>
              </w:rPr>
              <w:t>阳泉农产品批发市场冷链物流库、阳泉桃林沟农产品冷链仓储、山西玉泉冷链物流等项目建设。</w:t>
            </w:r>
          </w:p>
        </w:tc>
      </w:tr>
    </w:tbl>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kern w:val="2"/>
          <w:sz w:val="32"/>
          <w:szCs w:val="32"/>
          <w:highlight w:val="none"/>
          <w:u w:val="none"/>
          <w:lang w:val="en-US" w:eastAsia="zh-CN" w:bidi="ar-SA"/>
        </w:rPr>
      </w:pPr>
      <w:bookmarkStart w:id="763" w:name="_Toc3961"/>
      <w:bookmarkStart w:id="764" w:name="_Toc10081"/>
      <w:bookmarkStart w:id="765" w:name="_Toc25324"/>
      <w:bookmarkStart w:id="766" w:name="_Toc21719"/>
      <w:bookmarkStart w:id="767" w:name="_Toc20726"/>
      <w:bookmarkStart w:id="768" w:name="_Toc18490"/>
      <w:bookmarkStart w:id="769" w:name="_Toc23255"/>
      <w:bookmarkStart w:id="770" w:name="_Toc12004"/>
      <w:bookmarkStart w:id="771" w:name="_Toc3967"/>
      <w:bookmarkStart w:id="772" w:name="_Toc12484"/>
      <w:bookmarkStart w:id="773" w:name="_Toc21191"/>
      <w:bookmarkStart w:id="774" w:name="_Toc22188"/>
      <w:bookmarkStart w:id="775" w:name="_Toc3222"/>
      <w:bookmarkStart w:id="776" w:name="_Toc3114"/>
      <w:bookmarkStart w:id="777" w:name="_Toc22268"/>
      <w:bookmarkStart w:id="778" w:name="_Toc3472"/>
      <w:bookmarkStart w:id="779" w:name="_Toc14908"/>
      <w:bookmarkStart w:id="780" w:name="_Toc29424"/>
      <w:r>
        <w:rPr>
          <w:rFonts w:hint="default" w:ascii="Times New Roman" w:hAnsi="Times New Roman" w:eastAsia="楷体_GB2312" w:cs="Times New Roman"/>
          <w:b/>
          <w:bCs/>
          <w:color w:val="auto"/>
          <w:kern w:val="2"/>
          <w:sz w:val="32"/>
          <w:szCs w:val="32"/>
          <w:highlight w:val="none"/>
          <w:u w:val="none"/>
          <w:lang w:val="en-US" w:eastAsia="zh-CN" w:bidi="ar-SA"/>
        </w:rPr>
        <w:t>（二）畅通农产品电商快递物流渠道</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rPr>
          <w:rFonts w:hint="default" w:ascii="Times New Roman" w:hAnsi="Times New Roman" w:eastAsia="仿宋_GB2312" w:cs="Times New Roman"/>
          <w:color w:val="auto"/>
          <w:kern w:val="0"/>
          <w:sz w:val="32"/>
          <w:szCs w:val="32"/>
          <w:highlight w:val="none"/>
          <w:lang w:bidi="ar"/>
        </w:rPr>
      </w:pPr>
      <w:r>
        <w:rPr>
          <w:rFonts w:hint="default" w:ascii="Times New Roman" w:hAnsi="Times New Roman" w:eastAsia="仿宋_GB2312" w:cs="Times New Roman"/>
          <w:color w:val="auto"/>
          <w:kern w:val="0"/>
          <w:sz w:val="32"/>
          <w:szCs w:val="32"/>
          <w:highlight w:val="none"/>
          <w:lang w:val="en-US" w:eastAsia="zh-CN" w:bidi="ar"/>
        </w:rPr>
        <w:t>依托郊区城郊农业省级现代农业产业园、盂县现代农业产业园等建设载体，完善配套农产品物流基础设施和服务网络。</w:t>
      </w:r>
      <w:r>
        <w:rPr>
          <w:rFonts w:hint="eastAsia" w:ascii="Times New Roman" w:hAnsi="Times New Roman" w:eastAsia="仿宋_GB2312" w:cs="Times New Roman"/>
          <w:color w:val="auto"/>
          <w:kern w:val="0"/>
          <w:sz w:val="32"/>
          <w:szCs w:val="32"/>
          <w:highlight w:val="none"/>
          <w:lang w:eastAsia="zh-CN" w:bidi="ar"/>
        </w:rPr>
        <w:t>推进</w:t>
      </w:r>
      <w:r>
        <w:rPr>
          <w:rFonts w:hint="default" w:ascii="Times New Roman" w:hAnsi="Times New Roman" w:eastAsia="仿宋_GB2312" w:cs="Times New Roman"/>
          <w:color w:val="auto"/>
          <w:kern w:val="0"/>
          <w:sz w:val="32"/>
          <w:szCs w:val="32"/>
          <w:highlight w:val="none"/>
          <w:lang w:bidi="ar"/>
        </w:rPr>
        <w:t>华远陆港一亩田农村商品物流配送阳泉运营中心</w:t>
      </w:r>
      <w:r>
        <w:rPr>
          <w:rFonts w:hint="eastAsia" w:ascii="Times New Roman" w:hAnsi="Times New Roman" w:eastAsia="仿宋_GB2312" w:cs="Times New Roman"/>
          <w:color w:val="auto"/>
          <w:kern w:val="0"/>
          <w:sz w:val="32"/>
          <w:szCs w:val="32"/>
          <w:highlight w:val="none"/>
          <w:lang w:eastAsia="zh-CN" w:bidi="ar"/>
        </w:rPr>
        <w:t>建设</w:t>
      </w:r>
      <w:r>
        <w:rPr>
          <w:rFonts w:hint="default" w:ascii="Times New Roman" w:hAnsi="Times New Roman" w:eastAsia="仿宋_GB2312" w:cs="Times New Roman"/>
          <w:color w:val="auto"/>
          <w:kern w:val="0"/>
          <w:sz w:val="32"/>
          <w:szCs w:val="32"/>
          <w:highlight w:val="none"/>
          <w:lang w:bidi="ar"/>
        </w:rPr>
        <w:t>，开展农产品展示、销售、仓储、中转等业务，</w:t>
      </w:r>
      <w:r>
        <w:rPr>
          <w:rFonts w:hint="eastAsia" w:ascii="Times New Roman" w:hAnsi="Times New Roman" w:eastAsia="仿宋_GB2312" w:cs="Times New Roman"/>
          <w:color w:val="auto"/>
          <w:kern w:val="0"/>
          <w:sz w:val="32"/>
          <w:szCs w:val="32"/>
          <w:highlight w:val="none"/>
          <w:lang w:eastAsia="zh-CN" w:bidi="ar"/>
        </w:rPr>
        <w:t>依托</w:t>
      </w:r>
      <w:r>
        <w:rPr>
          <w:rFonts w:hint="default" w:ascii="Times New Roman" w:hAnsi="Times New Roman" w:eastAsia="仿宋_GB2312" w:cs="Times New Roman"/>
          <w:color w:val="auto"/>
          <w:kern w:val="0"/>
          <w:sz w:val="32"/>
          <w:szCs w:val="32"/>
          <w:highlight w:val="none"/>
          <w:lang w:bidi="ar"/>
        </w:rPr>
        <w:t>大数据</w:t>
      </w:r>
      <w:r>
        <w:rPr>
          <w:rFonts w:hint="eastAsia" w:ascii="Times New Roman" w:hAnsi="Times New Roman" w:eastAsia="仿宋_GB2312" w:cs="Times New Roman"/>
          <w:color w:val="auto"/>
          <w:kern w:val="0"/>
          <w:sz w:val="32"/>
          <w:szCs w:val="32"/>
          <w:highlight w:val="none"/>
          <w:lang w:eastAsia="zh-CN" w:bidi="ar"/>
        </w:rPr>
        <w:t>技术</w:t>
      </w:r>
      <w:r>
        <w:rPr>
          <w:rFonts w:hint="default" w:ascii="Times New Roman" w:hAnsi="Times New Roman" w:eastAsia="仿宋_GB2312" w:cs="Times New Roman"/>
          <w:color w:val="auto"/>
          <w:kern w:val="0"/>
          <w:sz w:val="32"/>
          <w:szCs w:val="32"/>
          <w:highlight w:val="none"/>
          <w:lang w:bidi="ar"/>
        </w:rPr>
        <w:t>助力农产品流通。</w:t>
      </w:r>
      <w:r>
        <w:rPr>
          <w:rFonts w:hint="default" w:ascii="Times New Roman" w:hAnsi="Times New Roman" w:eastAsia="仿宋_GB2312" w:cs="Times New Roman"/>
          <w:color w:val="auto"/>
          <w:kern w:val="0"/>
          <w:sz w:val="32"/>
          <w:szCs w:val="32"/>
          <w:highlight w:val="none"/>
          <w:lang w:val="en-US" w:eastAsia="zh-CN" w:bidi="ar"/>
        </w:rPr>
        <w:t>加快发展农村电商物流，支持邮政、供销社等企业与农村淘宝、京东、苏宁等重点平台开展合作，引导</w:t>
      </w:r>
      <w:r>
        <w:rPr>
          <w:rFonts w:hint="default" w:ascii="Times New Roman" w:hAnsi="Times New Roman" w:eastAsia="仿宋_GB2312" w:cs="Times New Roman"/>
          <w:color w:val="auto"/>
          <w:sz w:val="32"/>
          <w:szCs w:val="32"/>
          <w:highlight w:val="none"/>
          <w:shd w:val="clear" w:color="auto" w:fill="FFFFFF"/>
        </w:rPr>
        <w:t>“阳泉压饼”“阳泉蜂蜜”“阳泉小米”“阳泉连翘茶”等核心品牌</w:t>
      </w:r>
      <w:r>
        <w:rPr>
          <w:rFonts w:hint="default" w:ascii="Times New Roman" w:hAnsi="Times New Roman" w:eastAsia="仿宋_GB2312" w:cs="Times New Roman"/>
          <w:color w:val="auto"/>
          <w:kern w:val="0"/>
          <w:sz w:val="32"/>
          <w:szCs w:val="32"/>
          <w:highlight w:val="none"/>
          <w:lang w:val="en-US" w:eastAsia="zh-CN" w:bidi="ar"/>
        </w:rPr>
        <w:t>产品上线销售。规划建设特色农产品电商展示中心，改造提升一批具有一定规模的农产品物流中心和农产品批发市场，</w:t>
      </w:r>
      <w:r>
        <w:rPr>
          <w:rFonts w:hint="default" w:ascii="Times New Roman" w:hAnsi="Times New Roman" w:eastAsia="仿宋_GB2312" w:cs="Times New Roman"/>
          <w:color w:val="auto"/>
          <w:kern w:val="0"/>
          <w:sz w:val="32"/>
          <w:szCs w:val="32"/>
          <w:highlight w:val="none"/>
          <w:lang w:bidi="ar"/>
        </w:rPr>
        <w:t>保障农产品</w:t>
      </w:r>
      <w:r>
        <w:rPr>
          <w:rFonts w:hint="default" w:ascii="Times New Roman" w:hAnsi="Times New Roman" w:eastAsia="仿宋_GB2312" w:cs="Times New Roman"/>
          <w:color w:val="auto"/>
          <w:kern w:val="0"/>
          <w:sz w:val="32"/>
          <w:szCs w:val="32"/>
          <w:highlight w:val="none"/>
          <w:lang w:eastAsia="zh-CN" w:bidi="ar"/>
        </w:rPr>
        <w:t>线上线下</w:t>
      </w:r>
      <w:r>
        <w:rPr>
          <w:rFonts w:hint="default" w:ascii="Times New Roman" w:hAnsi="Times New Roman" w:eastAsia="仿宋_GB2312" w:cs="Times New Roman"/>
          <w:color w:val="auto"/>
          <w:kern w:val="0"/>
          <w:sz w:val="32"/>
          <w:szCs w:val="32"/>
          <w:highlight w:val="none"/>
          <w:lang w:bidi="ar"/>
        </w:rPr>
        <w:t>渠道畅通。</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781" w:name="_Toc29059"/>
      <w:bookmarkStart w:id="782" w:name="_Toc20070"/>
      <w:bookmarkStart w:id="783" w:name="_Toc14724"/>
      <w:bookmarkStart w:id="784" w:name="_Toc16486"/>
      <w:bookmarkStart w:id="785" w:name="_Toc27183"/>
      <w:bookmarkStart w:id="786" w:name="_Toc21005"/>
      <w:bookmarkStart w:id="787" w:name="_Toc25459"/>
      <w:bookmarkStart w:id="788" w:name="_Toc3192"/>
      <w:bookmarkStart w:id="789" w:name="_Toc29117"/>
      <w:bookmarkStart w:id="790" w:name="_Toc19970"/>
      <w:bookmarkStart w:id="791" w:name="_Toc5446"/>
      <w:bookmarkStart w:id="792" w:name="_Toc8427"/>
      <w:bookmarkStart w:id="793" w:name="_Toc30879"/>
      <w:bookmarkStart w:id="794" w:name="_Toc32157"/>
      <w:bookmarkStart w:id="795" w:name="_Toc30441"/>
      <w:bookmarkStart w:id="796" w:name="_Toc21891"/>
      <w:bookmarkStart w:id="797" w:name="_Toc1050"/>
      <w:bookmarkStart w:id="798" w:name="_Toc13107"/>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（三）促进现代物流业与农业融合发展</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b w:val="0"/>
          <w:bCs w:val="0"/>
          <w:color w:val="auto"/>
          <w:spacing w:val="0"/>
          <w:kern w:val="0"/>
          <w:sz w:val="32"/>
          <w:szCs w:val="32"/>
          <w:highlight w:val="none"/>
          <w:u w:val="none" w:color="auto"/>
          <w:lang w:val="en-US" w:eastAsia="zh-CN" w:bidi="ar"/>
        </w:rPr>
      </w:pP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搭建</w:t>
      </w:r>
      <w:r>
        <w:rPr>
          <w:rFonts w:hint="default" w:ascii="Times New Roman" w:hAnsi="Times New Roman" w:eastAsia="仿宋_GB2312" w:cs="Times New Roman"/>
          <w:b w:val="0"/>
          <w:bCs w:val="0"/>
          <w:color w:val="auto"/>
          <w:spacing w:val="0"/>
          <w:kern w:val="0"/>
          <w:sz w:val="32"/>
          <w:szCs w:val="32"/>
          <w:highlight w:val="none"/>
          <w:u w:val="none" w:color="auto"/>
          <w:lang w:val="en-US" w:eastAsia="zh-CN" w:bidi="ar"/>
        </w:rPr>
        <w:t>农产品物流信息</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公共服务</w:t>
      </w:r>
      <w:r>
        <w:rPr>
          <w:rFonts w:hint="default" w:ascii="Times New Roman" w:hAnsi="Times New Roman" w:eastAsia="仿宋_GB2312" w:cs="Times New Roman"/>
          <w:b w:val="0"/>
          <w:bCs w:val="0"/>
          <w:color w:val="auto"/>
          <w:spacing w:val="0"/>
          <w:kern w:val="0"/>
          <w:sz w:val="32"/>
          <w:szCs w:val="32"/>
          <w:highlight w:val="none"/>
          <w:u w:val="none" w:color="auto"/>
          <w:lang w:val="en-US" w:eastAsia="zh-CN" w:bidi="ar"/>
        </w:rPr>
        <w:t>平台，推进农产品产销地、批发市场线上线下融合发展，拓展产销对接、安全检测、加工包装、统仓统配、溯源查询等功能。推广以标准托盘、周转箱</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（筐）</w:t>
      </w:r>
      <w:r>
        <w:rPr>
          <w:rFonts w:hint="default" w:ascii="Times New Roman" w:hAnsi="Times New Roman" w:eastAsia="仿宋_GB2312" w:cs="Times New Roman"/>
          <w:b w:val="0"/>
          <w:bCs w:val="0"/>
          <w:color w:val="auto"/>
          <w:spacing w:val="0"/>
          <w:kern w:val="0"/>
          <w:sz w:val="32"/>
          <w:szCs w:val="32"/>
          <w:highlight w:val="none"/>
          <w:u w:val="none" w:color="auto"/>
          <w:lang w:val="en-US" w:eastAsia="zh-CN" w:bidi="ar"/>
        </w:rPr>
        <w:t>为单元</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的</w:t>
      </w:r>
      <w:r>
        <w:rPr>
          <w:rFonts w:hint="default" w:ascii="Times New Roman" w:hAnsi="Times New Roman" w:eastAsia="仿宋_GB2312" w:cs="Times New Roman"/>
          <w:b w:val="0"/>
          <w:bCs w:val="0"/>
          <w:color w:val="auto"/>
          <w:spacing w:val="0"/>
          <w:kern w:val="0"/>
          <w:sz w:val="32"/>
          <w:szCs w:val="32"/>
          <w:highlight w:val="none"/>
          <w:u w:val="none" w:color="auto"/>
          <w:lang w:val="en-US" w:eastAsia="zh-CN" w:bidi="ar"/>
        </w:rPr>
        <w:t>全程货物监控、“不倒托、不倒箱</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（筐）</w:t>
      </w:r>
      <w:r>
        <w:rPr>
          <w:rFonts w:hint="default" w:ascii="Times New Roman" w:hAnsi="Times New Roman" w:eastAsia="仿宋_GB2312" w:cs="Times New Roman"/>
          <w:b w:val="0"/>
          <w:bCs w:val="0"/>
          <w:color w:val="auto"/>
          <w:spacing w:val="0"/>
          <w:kern w:val="0"/>
          <w:sz w:val="32"/>
          <w:szCs w:val="32"/>
          <w:highlight w:val="none"/>
          <w:u w:val="none" w:color="auto"/>
          <w:lang w:val="en-US" w:eastAsia="zh-CN" w:bidi="ar"/>
        </w:rPr>
        <w:t>”标准化</w:t>
      </w:r>
      <w:r>
        <w:rPr>
          <w:rFonts w:hint="default" w:ascii="Times New Roman" w:hAnsi="Times New Roman" w:eastAsia="仿宋_GB2312" w:cs="Times New Roman"/>
          <w:b w:val="0"/>
          <w:bCs w:val="0"/>
          <w:color w:val="auto"/>
          <w:spacing w:val="0"/>
          <w:kern w:val="0"/>
          <w:sz w:val="32"/>
          <w:szCs w:val="32"/>
          <w:highlight w:val="none"/>
          <w:u w:val="none"/>
          <w:lang w:val="en-US" w:eastAsia="zh-CN" w:bidi="ar"/>
        </w:rPr>
        <w:t>运输。</w:t>
      </w:r>
      <w:r>
        <w:rPr>
          <w:rFonts w:hint="default" w:ascii="Times New Roman" w:hAnsi="Times New Roman" w:eastAsia="仿宋_GB2312" w:cs="Times New Roman"/>
          <w:b w:val="0"/>
          <w:bCs w:val="0"/>
          <w:color w:val="auto"/>
          <w:kern w:val="2"/>
          <w:sz w:val="32"/>
          <w:szCs w:val="32"/>
          <w:highlight w:val="none"/>
          <w:u w:val="none"/>
          <w:shd w:val="clear" w:fill="FFFFFF"/>
          <w:lang w:val="en-US" w:eastAsia="zh-CN" w:bidi="ar-SA"/>
        </w:rPr>
        <w:t>构建区域性冷链物流信息平台，</w:t>
      </w:r>
      <w:r>
        <w:rPr>
          <w:rFonts w:hint="default" w:ascii="Times New Roman" w:hAnsi="Times New Roman" w:eastAsia="仿宋_GB2312" w:cs="Times New Roman"/>
          <w:i w:val="0"/>
          <w:iCs w:val="0"/>
          <w:caps w:val="0"/>
          <w:color w:val="auto"/>
          <w:spacing w:val="0"/>
          <w:sz w:val="32"/>
          <w:szCs w:val="32"/>
          <w:highlight w:val="none"/>
          <w:shd w:val="clear" w:fill="FFFFFF"/>
        </w:rPr>
        <w:t>加强果蔬、肉类、水产品等</w:t>
      </w:r>
      <w:r>
        <w:rPr>
          <w:rFonts w:hint="default" w:ascii="Times New Roman" w:hAnsi="Times New Roman" w:eastAsia="仿宋_GB2312" w:cs="Times New Roman"/>
          <w:b w:val="0"/>
          <w:bCs w:val="0"/>
          <w:color w:val="auto"/>
          <w:kern w:val="2"/>
          <w:sz w:val="32"/>
          <w:szCs w:val="32"/>
          <w:highlight w:val="none"/>
          <w:u w:val="none"/>
          <w:shd w:val="clear" w:fill="FFFFFF"/>
          <w:lang w:val="en-US" w:eastAsia="zh-CN" w:bidi="ar-SA"/>
        </w:rPr>
        <w:t>企业和</w:t>
      </w:r>
      <w:r>
        <w:rPr>
          <w:rFonts w:hint="default" w:ascii="Times New Roman" w:hAnsi="Times New Roman" w:eastAsia="仿宋_GB2312" w:cs="Times New Roman"/>
          <w:i w:val="0"/>
          <w:iCs w:val="0"/>
          <w:caps w:val="0"/>
          <w:color w:val="auto"/>
          <w:spacing w:val="0"/>
          <w:sz w:val="32"/>
          <w:szCs w:val="32"/>
          <w:highlight w:val="none"/>
          <w:shd w:val="clear" w:fill="FFFFFF"/>
        </w:rPr>
        <w:t>贸易市场、分拨中心</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w:t>
      </w:r>
      <w:r>
        <w:rPr>
          <w:rFonts w:hint="default" w:ascii="Times New Roman" w:hAnsi="Times New Roman" w:eastAsia="仿宋_GB2312" w:cs="Times New Roman"/>
          <w:i w:val="0"/>
          <w:iCs w:val="0"/>
          <w:caps w:val="0"/>
          <w:color w:val="auto"/>
          <w:spacing w:val="0"/>
          <w:sz w:val="32"/>
          <w:szCs w:val="32"/>
          <w:highlight w:val="none"/>
          <w:shd w:val="clear" w:fill="FFFFFF"/>
        </w:rPr>
        <w:t>配送中心</w:t>
      </w:r>
      <w:r>
        <w:rPr>
          <w:rFonts w:hint="default" w:ascii="Times New Roman" w:hAnsi="Times New Roman" w:eastAsia="仿宋_GB2312" w:cs="Times New Roman"/>
          <w:i w:val="0"/>
          <w:iCs w:val="0"/>
          <w:caps w:val="0"/>
          <w:color w:val="auto"/>
          <w:spacing w:val="0"/>
          <w:sz w:val="32"/>
          <w:szCs w:val="32"/>
          <w:highlight w:val="none"/>
          <w:shd w:val="clear" w:fill="FFFFFF"/>
          <w:lang w:eastAsia="zh-CN"/>
        </w:rPr>
        <w:t>的</w:t>
      </w:r>
      <w:r>
        <w:rPr>
          <w:rFonts w:hint="default" w:ascii="Times New Roman" w:hAnsi="Times New Roman" w:eastAsia="仿宋_GB2312" w:cs="Times New Roman"/>
          <w:i w:val="0"/>
          <w:iCs w:val="0"/>
          <w:caps w:val="0"/>
          <w:color w:val="auto"/>
          <w:spacing w:val="0"/>
          <w:sz w:val="32"/>
          <w:szCs w:val="32"/>
          <w:highlight w:val="none"/>
          <w:shd w:val="clear" w:fill="FFFFFF"/>
        </w:rPr>
        <w:t>联动，</w:t>
      </w:r>
      <w:r>
        <w:rPr>
          <w:rFonts w:hint="default" w:ascii="Times New Roman" w:hAnsi="Times New Roman" w:eastAsia="仿宋_GB2312" w:cs="Times New Roman"/>
          <w:b w:val="0"/>
          <w:bCs w:val="0"/>
          <w:i w:val="0"/>
          <w:iCs w:val="0"/>
          <w:caps w:val="0"/>
          <w:color w:val="auto"/>
          <w:spacing w:val="0"/>
          <w:sz w:val="32"/>
          <w:szCs w:val="32"/>
          <w:highlight w:val="none"/>
          <w:shd w:val="clear" w:fill="FFFFFF"/>
          <w:lang w:val="en-US" w:eastAsia="zh-CN"/>
        </w:rPr>
        <w:t>有效降低生鲜产品商品化处理、干线运输、库房存储和终端消费等环节损失，</w:t>
      </w:r>
      <w:r>
        <w:rPr>
          <w:rFonts w:hint="default" w:ascii="Times New Roman" w:hAnsi="Times New Roman" w:eastAsia="仿宋_GB2312" w:cs="Times New Roman"/>
          <w:b w:val="0"/>
          <w:bCs w:val="0"/>
          <w:color w:val="auto"/>
          <w:kern w:val="2"/>
          <w:sz w:val="32"/>
          <w:szCs w:val="32"/>
          <w:highlight w:val="none"/>
          <w:u w:val="none"/>
          <w:shd w:val="clear" w:fill="FFFFFF"/>
          <w:lang w:val="en-US" w:eastAsia="zh-CN" w:bidi="ar-SA"/>
        </w:rPr>
        <w:t>逐步实现冷链信息全程透明化和可追溯。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pacing w:val="0"/>
          <w:kern w:val="2"/>
          <w:sz w:val="32"/>
          <w:szCs w:val="32"/>
          <w:highlight w:val="none"/>
          <w:u w:val="none" w:color="auto"/>
          <w:lang w:val="en-US" w:eastAsia="zh-CN" w:bidi="ar-SA"/>
        </w:rPr>
      </w:pPr>
      <w:bookmarkStart w:id="799" w:name="_Toc7421"/>
      <w:bookmarkStart w:id="800" w:name="_Toc27368"/>
      <w:bookmarkStart w:id="801" w:name="_Toc32478"/>
      <w:bookmarkStart w:id="802" w:name="_Toc25090"/>
      <w:bookmarkStart w:id="803" w:name="_Toc17369"/>
      <w:bookmarkStart w:id="804" w:name="_Toc3395"/>
      <w:bookmarkStart w:id="805" w:name="_Toc23795"/>
      <w:bookmarkStart w:id="806" w:name="_Toc16402"/>
      <w:bookmarkStart w:id="807" w:name="_Toc11561"/>
      <w:bookmarkStart w:id="808" w:name="_Toc14492"/>
      <w:bookmarkStart w:id="809" w:name="_Toc2749"/>
      <w:bookmarkStart w:id="810" w:name="_Toc7653"/>
      <w:bookmarkStart w:id="811" w:name="_Toc22522"/>
      <w:bookmarkStart w:id="812" w:name="_Toc26261"/>
      <w:bookmarkStart w:id="813" w:name="_Toc22074"/>
      <w:bookmarkStart w:id="814" w:name="_Toc16174"/>
      <w:bookmarkStart w:id="815" w:name="_Toc20458"/>
      <w:bookmarkStart w:id="816" w:name="_Toc14020"/>
      <w:r>
        <w:rPr>
          <w:rFonts w:hint="default" w:ascii="Times New Roman" w:hAnsi="Times New Roman" w:eastAsia="黑体" w:cs="Times New Roman"/>
          <w:b w:val="0"/>
          <w:bCs w:val="0"/>
          <w:color w:val="auto"/>
          <w:spacing w:val="0"/>
          <w:kern w:val="2"/>
          <w:sz w:val="32"/>
          <w:szCs w:val="32"/>
          <w:highlight w:val="none"/>
          <w:u w:val="none" w:color="auto"/>
          <w:lang w:val="en-US" w:eastAsia="zh-CN" w:bidi="ar-SA"/>
        </w:rPr>
        <w:t>七、推进商贸物流转型升级</w:t>
      </w:r>
      <w:bookmarkEnd w:id="741"/>
      <w:bookmarkEnd w:id="742"/>
      <w:bookmarkEnd w:id="743"/>
      <w:bookmarkEnd w:id="744"/>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outlineLvl w:val="9"/>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Cs/>
          <w:color w:val="auto"/>
          <w:sz w:val="32"/>
          <w:szCs w:val="32"/>
          <w:highlight w:val="none"/>
          <w:lang w:val="en-US" w:eastAsia="zh-CN"/>
        </w:rPr>
        <w:t>以提升居民消费水平和生活品质为目标，</w:t>
      </w:r>
      <w:r>
        <w:rPr>
          <w:rFonts w:hint="default" w:ascii="Times New Roman" w:hAnsi="Times New Roman" w:eastAsia="仿宋_GB2312" w:cs="Times New Roman"/>
          <w:b w:val="0"/>
          <w:bCs w:val="0"/>
          <w:color w:val="auto"/>
          <w:spacing w:val="0"/>
          <w:kern w:val="2"/>
          <w:sz w:val="32"/>
          <w:szCs w:val="32"/>
          <w:highlight w:val="none"/>
          <w:u w:val="none" w:color="auto"/>
          <w:shd w:val="clear" w:fill="auto"/>
          <w:lang w:val="en-US" w:eastAsia="zh-CN" w:bidi="ar"/>
        </w:rPr>
        <w:t>加快构建便民、便捷、高效的生活性物流集疏系统，促进商贸物流优质高效运作，</w:t>
      </w:r>
      <w:r>
        <w:rPr>
          <w:rFonts w:hint="default" w:ascii="Times New Roman" w:hAnsi="Times New Roman" w:eastAsia="仿宋_GB2312" w:cs="Times New Roman"/>
          <w:i w:val="0"/>
          <w:caps w:val="0"/>
          <w:color w:val="auto"/>
          <w:spacing w:val="0"/>
          <w:sz w:val="32"/>
          <w:szCs w:val="32"/>
          <w:highlight w:val="none"/>
          <w:u w:val="none" w:color="auto"/>
          <w:shd w:val="clear" w:fill="auto"/>
          <w:lang w:bidi="ar"/>
        </w:rPr>
        <w:t>提升消费物流服务效能</w:t>
      </w:r>
      <w:r>
        <w:rPr>
          <w:rFonts w:hint="default" w:ascii="Times New Roman" w:hAnsi="Times New Roman" w:eastAsia="仿宋_GB2312" w:cs="Times New Roman"/>
          <w:i w:val="0"/>
          <w:caps w:val="0"/>
          <w:color w:val="auto"/>
          <w:spacing w:val="0"/>
          <w:sz w:val="32"/>
          <w:szCs w:val="32"/>
          <w:highlight w:val="none"/>
          <w:u w:val="none" w:color="auto"/>
          <w:shd w:val="clear" w:fill="auto"/>
          <w:lang w:eastAsia="zh-CN" w:bidi="ar"/>
        </w:rPr>
        <w:t>。</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817" w:name="_Toc4709"/>
      <w:bookmarkStart w:id="818" w:name="_Toc14635"/>
      <w:bookmarkStart w:id="819" w:name="_Toc17516"/>
      <w:bookmarkStart w:id="820" w:name="_Toc30147"/>
      <w:bookmarkStart w:id="821" w:name="_Toc15593"/>
      <w:bookmarkStart w:id="822" w:name="_Toc17825"/>
      <w:bookmarkStart w:id="823" w:name="_Toc3035"/>
      <w:bookmarkStart w:id="824" w:name="_Toc16987"/>
      <w:bookmarkStart w:id="825" w:name="_Toc7617"/>
      <w:bookmarkStart w:id="826" w:name="_Toc24674"/>
      <w:bookmarkStart w:id="827" w:name="_Toc24958"/>
      <w:bookmarkStart w:id="828" w:name="_Toc3065"/>
      <w:bookmarkStart w:id="829" w:name="_Toc22712"/>
      <w:bookmarkStart w:id="830" w:name="_Toc14316"/>
      <w:bookmarkStart w:id="831" w:name="_Toc1797"/>
      <w:bookmarkStart w:id="832" w:name="_Toc18448"/>
      <w:bookmarkStart w:id="833" w:name="_Toc887"/>
      <w:bookmarkStart w:id="834" w:name="_Toc16597"/>
      <w:bookmarkStart w:id="835" w:name="_Toc10763"/>
      <w:bookmarkStart w:id="836" w:name="_Toc29445"/>
      <w:bookmarkStart w:id="837" w:name="_Toc12948"/>
      <w:bookmarkStart w:id="838" w:name="_Toc31113"/>
      <w:r>
        <w:rPr>
          <w:rFonts w:hint="default" w:ascii="Times New Roman" w:hAnsi="Times New Roman" w:eastAsia="楷体_GB2312" w:cs="Times New Roman"/>
          <w:b/>
          <w:bCs/>
          <w:color w:val="auto"/>
          <w:spacing w:val="0"/>
          <w:kern w:val="2"/>
          <w:sz w:val="32"/>
          <w:szCs w:val="32"/>
          <w:highlight w:val="none"/>
          <w:u w:val="none"/>
          <w:lang w:val="en-US" w:eastAsia="zh-CN" w:bidi="ar-SA"/>
        </w:rPr>
        <w:t>（一）提升改造商贸物流设施</w:t>
      </w:r>
      <w:bookmarkEnd w:id="671"/>
      <w:bookmarkEnd w:id="672"/>
      <w:bookmarkEnd w:id="673"/>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pP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鼓励华龙超市集团公司配送中心、天元绿色家电物流配送中心等商贸物流中心加大对物流基础设施、信息系统建设、零售供应链流程等方面的资金投入。</w:t>
      </w:r>
      <w:r>
        <w:rPr>
          <w:rFonts w:hint="default" w:ascii="Times New Roman" w:hAnsi="Times New Roman" w:eastAsia="仿宋_GB2312" w:cs="Times New Roman"/>
          <w:i w:val="0"/>
          <w:iCs w:val="0"/>
          <w:caps w:val="0"/>
          <w:color w:val="auto"/>
          <w:spacing w:val="0"/>
          <w:sz w:val="32"/>
          <w:szCs w:val="32"/>
          <w:highlight w:val="none"/>
          <w:u w:val="none" w:color="auto"/>
          <w:shd w:val="clear" w:fill="auto"/>
        </w:rPr>
        <w:t>推进配送中心</w:t>
      </w:r>
      <w:r>
        <w:rPr>
          <w:rFonts w:hint="default" w:ascii="Times New Roman" w:hAnsi="Times New Roman" w:eastAsia="仿宋_GB2312" w:cs="Times New Roman"/>
          <w:i w:val="0"/>
          <w:iCs w:val="0"/>
          <w:caps w:val="0"/>
          <w:color w:val="auto"/>
          <w:spacing w:val="0"/>
          <w:sz w:val="32"/>
          <w:szCs w:val="32"/>
          <w:highlight w:val="none"/>
          <w:u w:val="none" w:color="auto"/>
          <w:shd w:val="clear" w:fill="auto"/>
          <w:lang w:eastAsia="zh-CN"/>
        </w:rPr>
        <w:t>、</w:t>
      </w:r>
      <w:r>
        <w:rPr>
          <w:rFonts w:hint="default" w:ascii="Times New Roman" w:hAnsi="Times New Roman" w:eastAsia="仿宋_GB2312" w:cs="Times New Roman"/>
          <w:i w:val="0"/>
          <w:iCs w:val="0"/>
          <w:caps w:val="0"/>
          <w:color w:val="auto"/>
          <w:spacing w:val="0"/>
          <w:sz w:val="32"/>
          <w:szCs w:val="32"/>
          <w:highlight w:val="none"/>
          <w:u w:val="none" w:color="auto"/>
          <w:shd w:val="clear" w:fill="auto"/>
        </w:rPr>
        <w:t>大型城市综合体、特色商业街区和专业批发市场建设</w:t>
      </w:r>
      <w:r>
        <w:rPr>
          <w:rFonts w:hint="default" w:ascii="Times New Roman" w:hAnsi="Times New Roman" w:eastAsia="仿宋_GB2312" w:cs="Times New Roman"/>
          <w:i w:val="0"/>
          <w:iCs w:val="0"/>
          <w:caps w:val="0"/>
          <w:color w:val="auto"/>
          <w:spacing w:val="0"/>
          <w:sz w:val="32"/>
          <w:szCs w:val="32"/>
          <w:highlight w:val="none"/>
          <w:u w:val="none" w:color="auto"/>
          <w:shd w:val="clear" w:fill="auto"/>
          <w:lang w:eastAsia="zh-CN"/>
        </w:rPr>
        <w:t>，</w:t>
      </w: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完善商贸集聚街区和大型批发市场物流服务功能，建设一批集展示交易、现代仓储、加工配送等功能于一体的商贸物流中心，合理布局连锁配送网点，推广商业连锁配送、网购快递物流。</w:t>
      </w:r>
      <w:r>
        <w:rPr>
          <w:rFonts w:hint="default" w:ascii="Times New Roman" w:hAnsi="Times New Roman" w:eastAsia="仿宋_GB2312" w:cs="Times New Roman"/>
          <w:b w:val="0"/>
          <w:bCs/>
          <w:i w:val="0"/>
          <w:caps w:val="0"/>
          <w:color w:val="auto"/>
          <w:spacing w:val="0"/>
          <w:kern w:val="2"/>
          <w:sz w:val="32"/>
          <w:szCs w:val="24"/>
          <w:highlight w:val="none"/>
          <w:shd w:val="clear" w:color="auto" w:fill="auto"/>
          <w:lang w:bidi="ar-SA"/>
        </w:rPr>
        <w:t>以</w:t>
      </w:r>
      <w:r>
        <w:rPr>
          <w:rFonts w:hint="default" w:ascii="Times New Roman" w:hAnsi="Times New Roman" w:eastAsia="仿宋_GB2312" w:cs="Times New Roman"/>
          <w:b w:val="0"/>
          <w:bCs/>
          <w:i w:val="0"/>
          <w:caps w:val="0"/>
          <w:color w:val="auto"/>
          <w:spacing w:val="0"/>
          <w:kern w:val="2"/>
          <w:sz w:val="32"/>
          <w:szCs w:val="24"/>
          <w:highlight w:val="none"/>
          <w:shd w:val="clear" w:color="auto" w:fill="auto"/>
          <w:lang w:eastAsia="zh-CN" w:bidi="ar-SA"/>
        </w:rPr>
        <w:t>“城市大脑”</w:t>
      </w:r>
      <w:r>
        <w:rPr>
          <w:rFonts w:hint="default" w:ascii="Times New Roman" w:hAnsi="Times New Roman" w:eastAsia="仿宋_GB2312" w:cs="Times New Roman"/>
          <w:b w:val="0"/>
          <w:bCs/>
          <w:i w:val="0"/>
          <w:caps w:val="0"/>
          <w:color w:val="auto"/>
          <w:spacing w:val="0"/>
          <w:kern w:val="2"/>
          <w:sz w:val="32"/>
          <w:szCs w:val="24"/>
          <w:highlight w:val="none"/>
          <w:shd w:val="clear" w:color="auto" w:fill="auto"/>
          <w:lang w:bidi="ar-SA"/>
        </w:rPr>
        <w:t>建设为纽带，</w:t>
      </w:r>
      <w:r>
        <w:rPr>
          <w:rFonts w:hint="default" w:ascii="Times New Roman" w:hAnsi="Times New Roman" w:eastAsia="仿宋_GB2312" w:cs="Times New Roman"/>
          <w:b w:val="0"/>
          <w:bCs/>
          <w:color w:val="auto"/>
          <w:spacing w:val="0"/>
          <w:kern w:val="2"/>
          <w:sz w:val="32"/>
          <w:szCs w:val="32"/>
          <w:highlight w:val="none"/>
          <w:u w:val="none" w:color="auto"/>
          <w:lang w:val="en-US" w:eastAsia="zh-CN" w:bidi="ar-SA"/>
        </w:rPr>
        <w:t>依托盂县现代化物流电子商务产业园、山西通宝鑫能仓储物流园等，建立一批“虚拟仓库”，协同调配使用。</w:t>
      </w: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复制推广顺康商贸承接广东中山区“洁柔纸业”仓储发运成功模式，鼓励本土物流企业主动对接大型制造厂商，承接电商商品“仓储+加工+包装+发运”业务，扩大市域物流企业业务范围，解决快递车辆空载问题。</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i w:val="0"/>
          <w:iCs w:val="0"/>
          <w:caps w:val="0"/>
          <w:color w:val="auto"/>
          <w:spacing w:val="0"/>
          <w:sz w:val="32"/>
          <w:szCs w:val="32"/>
          <w:highlight w:val="none"/>
          <w:u w:val="none"/>
          <w:shd w:val="clear"/>
          <w:lang w:eastAsia="zh-CN"/>
        </w:rPr>
      </w:pPr>
      <w:bookmarkStart w:id="839" w:name="_Toc10042"/>
      <w:bookmarkStart w:id="840" w:name="_Toc32254"/>
      <w:bookmarkStart w:id="841" w:name="_Toc19951"/>
      <w:bookmarkStart w:id="842" w:name="_Toc30114"/>
      <w:bookmarkStart w:id="843" w:name="_Toc29759"/>
      <w:bookmarkStart w:id="844" w:name="_Toc246"/>
      <w:bookmarkStart w:id="845" w:name="_Toc24963"/>
      <w:bookmarkStart w:id="846" w:name="_Toc1316"/>
      <w:bookmarkStart w:id="847" w:name="_Toc6424"/>
      <w:bookmarkStart w:id="848" w:name="_Toc18548"/>
      <w:bookmarkStart w:id="849" w:name="_Toc11021"/>
      <w:bookmarkStart w:id="850" w:name="_Toc30070"/>
      <w:bookmarkStart w:id="851" w:name="_Toc991"/>
      <w:bookmarkStart w:id="852" w:name="_Toc2744"/>
      <w:bookmarkStart w:id="853" w:name="_Toc3593"/>
      <w:bookmarkStart w:id="854" w:name="_Toc9145"/>
      <w:bookmarkStart w:id="855" w:name="_Toc32107"/>
      <w:bookmarkStart w:id="856" w:name="_Toc6440"/>
      <w:bookmarkStart w:id="857" w:name="_Toc6782"/>
      <w:bookmarkStart w:id="858" w:name="_Toc97"/>
      <w:bookmarkStart w:id="859" w:name="_Toc14986"/>
      <w:bookmarkStart w:id="860" w:name="_Toc17857"/>
      <w:bookmarkStart w:id="861" w:name="_Toc22559"/>
      <w:bookmarkStart w:id="862" w:name="_Toc25509"/>
      <w:bookmarkStart w:id="863" w:name="_Toc17280"/>
      <w:r>
        <w:rPr>
          <w:rFonts w:hint="default" w:ascii="Times New Roman" w:hAnsi="Times New Roman" w:eastAsia="楷体_GB2312" w:cs="Times New Roman"/>
          <w:b/>
          <w:bCs/>
          <w:i w:val="0"/>
          <w:iCs w:val="0"/>
          <w:caps w:val="0"/>
          <w:color w:val="auto"/>
          <w:spacing w:val="0"/>
          <w:sz w:val="32"/>
          <w:szCs w:val="32"/>
          <w:highlight w:val="none"/>
          <w:u w:val="none"/>
          <w:shd w:val="clear"/>
          <w:lang w:eastAsia="zh-CN"/>
        </w:rPr>
        <w:t>（二）促进现代物流业与商贸业深度融合</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bookmarkEnd w:id="859"/>
    <w:bookmarkEnd w:id="860"/>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探索具有“同城”特色的物流商业模式，整合华联、天利等商贸中心，推广线上购买线下实时配送模式，解决全市购买力严重外流现象。</w:t>
      </w: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积极引导商贸企业</w:t>
      </w:r>
      <w:r>
        <w:rPr>
          <w:rFonts w:hint="default" w:ascii="Times New Roman" w:hAnsi="Times New Roman" w:eastAsia="仿宋_GB2312" w:cs="Times New Roman"/>
          <w:b w:val="0"/>
          <w:bCs/>
          <w:i w:val="0"/>
          <w:caps w:val="0"/>
          <w:color w:val="auto"/>
          <w:spacing w:val="0"/>
          <w:kern w:val="2"/>
          <w:sz w:val="32"/>
          <w:szCs w:val="24"/>
          <w:highlight w:val="none"/>
          <w:shd w:val="clear" w:color="auto" w:fill="auto"/>
          <w:lang w:bidi="ar-SA"/>
        </w:rPr>
        <w:t>发展信息咨询、商品交易等领域平台经济</w:t>
      </w:r>
      <w:r>
        <w:rPr>
          <w:rFonts w:hint="default" w:ascii="Times New Roman" w:hAnsi="Times New Roman" w:eastAsia="仿宋_GB2312" w:cs="Times New Roman"/>
          <w:b w:val="0"/>
          <w:bCs/>
          <w:i w:val="0"/>
          <w:caps w:val="0"/>
          <w:color w:val="auto"/>
          <w:spacing w:val="0"/>
          <w:kern w:val="2"/>
          <w:sz w:val="32"/>
          <w:szCs w:val="24"/>
          <w:highlight w:val="none"/>
          <w:shd w:val="clear" w:color="auto" w:fill="auto"/>
          <w:lang w:eastAsia="zh-CN" w:bidi="ar-SA"/>
        </w:rPr>
        <w:t>和</w:t>
      </w:r>
      <w:r>
        <w:rPr>
          <w:rFonts w:hint="default" w:ascii="Times New Roman" w:hAnsi="Times New Roman" w:eastAsia="仿宋_GB2312" w:cs="Times New Roman"/>
          <w:color w:val="auto"/>
          <w:sz w:val="32"/>
          <w:szCs w:val="32"/>
          <w:highlight w:val="none"/>
          <w:u w:val="none" w:color="auto"/>
        </w:rPr>
        <w:t>集中仓储、共同配送、仓配一体等消费物流新模式</w:t>
      </w:r>
      <w:r>
        <w:rPr>
          <w:rFonts w:hint="default" w:ascii="Times New Roman" w:hAnsi="Times New Roman" w:eastAsia="仿宋_GB2312" w:cs="Times New Roman"/>
          <w:color w:val="auto"/>
          <w:sz w:val="32"/>
          <w:szCs w:val="32"/>
          <w:highlight w:val="none"/>
          <w:u w:val="none" w:color="auto"/>
          <w:lang w:eastAsia="zh-CN"/>
        </w:rPr>
        <w:t>。</w:t>
      </w:r>
      <w:r>
        <w:rPr>
          <w:rFonts w:hint="default" w:ascii="Times New Roman" w:hAnsi="Times New Roman" w:eastAsia="仿宋_GB2312" w:cs="Times New Roman"/>
          <w:color w:val="auto"/>
          <w:sz w:val="32"/>
          <w:szCs w:val="32"/>
          <w:highlight w:val="none"/>
          <w:u w:val="none" w:color="auto"/>
        </w:rPr>
        <w:t>大力发展智慧商店、智慧商圈、智慧集市、智慧零售，鼓励发展“无人销售”商店、自助提货柜、自动回收机等自助设备，构建快速送达生活物流圈，满足城乡居民小批量、多批次、个性化生活物流需求。</w:t>
      </w:r>
      <w:r>
        <w:rPr>
          <w:rFonts w:hint="default" w:ascii="Times New Roman" w:hAnsi="Times New Roman" w:eastAsia="仿宋_GB2312" w:cs="Times New Roman"/>
          <w:b w:val="0"/>
          <w:bCs w:val="0"/>
          <w:i w:val="0"/>
          <w:iCs w:val="0"/>
          <w:caps w:val="0"/>
          <w:color w:val="auto"/>
          <w:spacing w:val="0"/>
          <w:sz w:val="32"/>
          <w:szCs w:val="32"/>
          <w:highlight w:val="none"/>
          <w:u w:val="none" w:color="auto"/>
          <w:shd w:val="clear"/>
          <w:lang w:eastAsia="zh-CN"/>
        </w:rPr>
        <w:t>完善商贸供应链，推动快消品、药品、电商等领域品牌连锁企业发展分销型供应链，推广使用标准化单元技术，提高供应链自动补货、快速响应及资源共享能力。</w:t>
      </w:r>
    </w:p>
    <w:bookmarkEnd w:id="861"/>
    <w:bookmarkEnd w:id="862"/>
    <w:bookmarkEnd w:id="863"/>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864" w:name="_Toc13664"/>
      <w:bookmarkStart w:id="865" w:name="_Toc15550"/>
      <w:bookmarkStart w:id="866" w:name="_Toc17324"/>
      <w:bookmarkStart w:id="867" w:name="_Toc11476"/>
      <w:bookmarkStart w:id="868" w:name="_Toc31309"/>
      <w:bookmarkStart w:id="869" w:name="_Toc19316"/>
      <w:bookmarkStart w:id="870" w:name="_Toc24727"/>
      <w:bookmarkStart w:id="871" w:name="_Toc30099"/>
      <w:bookmarkStart w:id="872" w:name="_Toc30945"/>
      <w:bookmarkStart w:id="873" w:name="_Toc32708"/>
      <w:bookmarkStart w:id="874" w:name="_Toc10341"/>
      <w:bookmarkStart w:id="875" w:name="_Toc21800"/>
      <w:bookmarkStart w:id="876" w:name="_Toc5106"/>
      <w:bookmarkStart w:id="877" w:name="_Toc12657"/>
      <w:bookmarkStart w:id="878" w:name="_Toc27498"/>
      <w:bookmarkStart w:id="879" w:name="_Toc18670"/>
      <w:bookmarkStart w:id="880" w:name="_Toc11411"/>
      <w:bookmarkStart w:id="881" w:name="_Toc29908"/>
      <w:bookmarkStart w:id="882" w:name="_Toc638"/>
      <w:bookmarkStart w:id="883" w:name="_Toc23055"/>
      <w:bookmarkStart w:id="884" w:name="_Toc18525"/>
      <w:bookmarkStart w:id="885" w:name="_Toc32514"/>
      <w:bookmarkStart w:id="886" w:name="_Toc4777"/>
      <w:bookmarkStart w:id="887" w:name="_Toc32334"/>
      <w:bookmarkStart w:id="888" w:name="_Toc8216"/>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w:t>
      </w:r>
      <w:r>
        <w:rPr>
          <w:rFonts w:hint="default" w:ascii="Times New Roman" w:hAnsi="Times New Roman" w:eastAsia="楷体_GB2312" w:cs="Times New Roman"/>
          <w:b/>
          <w:bCs/>
          <w:color w:val="auto"/>
          <w:spacing w:val="0"/>
          <w:kern w:val="2"/>
          <w:sz w:val="32"/>
          <w:szCs w:val="32"/>
          <w:highlight w:val="none"/>
          <w:u w:val="none"/>
          <w:lang w:val="en-US" w:eastAsia="zh-CN" w:bidi="ar-SA"/>
        </w:rPr>
        <w:t>三</w:t>
      </w:r>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）全面推广“邮快结合”模式</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15"/>
        <w:keepNext w:val="0"/>
        <w:keepLines w:val="0"/>
        <w:pageBreakBefore w:val="0"/>
        <w:widowControl w:val="0"/>
        <w:numPr>
          <w:ilvl w:val="-1"/>
          <w:numId w:val="0"/>
        </w:numPr>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pP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推广“公交+”物流配送模式，充分发挥邮政快递网络和小件快运网络基础作用，提质扩容现有邮件快件分拣处理场地，同步在郊区、盂县谋划建设邮政快递物流园区，统筹区域邮件快件分拣处理投递。</w:t>
      </w:r>
      <w:r>
        <w:rPr>
          <w:rFonts w:hint="eastAsia" w:ascii="Times New Roman" w:hAnsi="Times New Roman" w:eastAsia="仿宋_GB2312" w:cs="仿宋_GB2312"/>
          <w:kern w:val="2"/>
          <w:sz w:val="32"/>
          <w:szCs w:val="32"/>
          <w:highlight w:val="none"/>
          <w:lang w:val="en-US" w:eastAsia="zh-CN" w:bidi="ar-SA"/>
        </w:rPr>
        <w:t>加快推动农村物流创新模式试点工作，支持盂县、平定县建设</w:t>
      </w:r>
      <w:r>
        <w:rPr>
          <w:rFonts w:hint="eastAsia" w:ascii="仿宋_GB2312" w:hAnsi="仿宋_GB2312" w:eastAsia="仿宋_GB2312" w:cs="仿宋_GB2312"/>
          <w:b w:val="0"/>
          <w:bCs w:val="0"/>
          <w:kern w:val="2"/>
          <w:sz w:val="32"/>
          <w:szCs w:val="32"/>
          <w:lang w:val="en-US" w:eastAsia="zh-CN" w:bidi="ar-SA"/>
        </w:rPr>
        <w:t>县级物流仓配中心和村级物流服务网点，实现农村寄递物流体系全覆盖</w:t>
      </w:r>
      <w:r>
        <w:rPr>
          <w:rFonts w:hint="eastAsia" w:ascii="仿宋_GB2312" w:hAnsi="仿宋_GB2312" w:eastAsia="仿宋_GB2312" w:cs="仿宋_GB2312"/>
          <w:kern w:val="2"/>
          <w:sz w:val="32"/>
          <w:szCs w:val="32"/>
          <w:lang w:val="en-US" w:eastAsia="zh-CN" w:bidi="ar-SA"/>
        </w:rPr>
        <w:t>。</w:t>
      </w:r>
      <w:r>
        <w:rPr>
          <w:rFonts w:hint="default" w:ascii="Times New Roman" w:hAnsi="Times New Roman" w:eastAsia="仿宋_GB2312" w:cs="Times New Roman"/>
          <w:b w:val="0"/>
          <w:bCs w:val="0"/>
          <w:color w:val="auto"/>
          <w:kern w:val="2"/>
          <w:sz w:val="32"/>
          <w:szCs w:val="32"/>
          <w:highlight w:val="none"/>
          <w:u w:val="none" w:color="auto"/>
          <w:shd w:val="clear" w:fill="auto"/>
          <w:lang w:val="en-US" w:eastAsia="zh-CN" w:bidi="ar-SA"/>
        </w:rPr>
        <w:t>在平定经济技术开发区建设电商物流园区，搭建电商、物流、快递、下单、揽收、分拣、派送一站式办公和仓储服务平台，</w:t>
      </w:r>
      <w:r>
        <w:rPr>
          <w:rFonts w:hint="default" w:ascii="Times New Roman" w:hAnsi="Times New Roman" w:eastAsia="仿宋_GB2312" w:cs="Times New Roman"/>
          <w:b w:val="0"/>
          <w:bCs w:val="0"/>
          <w:color w:val="auto"/>
          <w:sz w:val="32"/>
          <w:szCs w:val="32"/>
          <w:highlight w:val="none"/>
          <w:u w:val="none" w:color="auto"/>
          <w:lang w:val="en-US" w:eastAsia="zh-CN"/>
        </w:rPr>
        <w:t>吸引全国大规模电商落户投资，形成电商企业、物流企业、快递企业、传媒企业聚集效应，推广“平定模式”。</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u w:val="none" w:color="auto"/>
          <w:lang w:val="en-US" w:eastAsia="zh-CN"/>
        </w:rPr>
      </w:pPr>
      <w:bookmarkStart w:id="889" w:name="_Toc31535"/>
      <w:bookmarkStart w:id="890" w:name="_Toc32679"/>
      <w:bookmarkStart w:id="891" w:name="_Toc23734"/>
      <w:bookmarkStart w:id="892" w:name="_Toc24361"/>
      <w:bookmarkStart w:id="893" w:name="_Toc853"/>
      <w:bookmarkStart w:id="894" w:name="_Toc15465"/>
      <w:bookmarkStart w:id="895" w:name="_Toc25026"/>
      <w:bookmarkStart w:id="896" w:name="_Toc28956"/>
      <w:bookmarkStart w:id="897" w:name="_Toc18820"/>
      <w:bookmarkStart w:id="898" w:name="_Toc9028"/>
      <w:bookmarkStart w:id="899" w:name="_Toc4911"/>
      <w:bookmarkStart w:id="900" w:name="_Toc15643"/>
      <w:bookmarkStart w:id="901" w:name="_Toc27721"/>
      <w:bookmarkStart w:id="902" w:name="_Toc2783"/>
      <w:bookmarkStart w:id="903" w:name="_Toc19429"/>
      <w:bookmarkStart w:id="904" w:name="_Toc20139"/>
      <w:bookmarkStart w:id="905" w:name="_Toc1576"/>
      <w:bookmarkStart w:id="906" w:name="_Toc31842"/>
      <w:bookmarkStart w:id="907" w:name="_Toc2073"/>
      <w:bookmarkStart w:id="908" w:name="_Toc14395"/>
      <w:r>
        <w:rPr>
          <w:rFonts w:hint="default" w:ascii="Times New Roman" w:hAnsi="Times New Roman" w:eastAsia="黑体" w:cs="Times New Roman"/>
          <w:b w:val="0"/>
          <w:bCs w:val="0"/>
          <w:color w:val="auto"/>
          <w:sz w:val="32"/>
          <w:szCs w:val="32"/>
          <w:highlight w:val="none"/>
          <w:u w:val="none" w:color="auto"/>
          <w:lang w:val="en-US" w:eastAsia="zh-CN"/>
        </w:rPr>
        <w:t>八、拓展枢纽经济发展空间</w:t>
      </w:r>
      <w:bookmarkEnd w:id="884"/>
      <w:bookmarkEnd w:id="885"/>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放大山西东大门的区位优势，</w:t>
      </w:r>
      <w:r>
        <w:rPr>
          <w:rFonts w:ascii="Times New Roman" w:hAnsi="Times New Roman" w:eastAsia="仿宋_GB2312" w:cs="Times New Roman"/>
          <w:b w:val="0"/>
          <w:bCs w:val="0"/>
          <w:i w:val="0"/>
          <w:iCs w:val="0"/>
          <w:caps w:val="0"/>
          <w:color w:val="auto"/>
          <w:spacing w:val="0"/>
          <w:sz w:val="32"/>
          <w:szCs w:val="32"/>
          <w:highlight w:val="none"/>
          <w:shd w:val="clear" w:fill="auto"/>
        </w:rPr>
        <w:t>聚能建设</w:t>
      </w:r>
      <w:r>
        <w:rPr>
          <w:rFonts w:hint="default" w:ascii="Times New Roman" w:hAnsi="Times New Roman" w:eastAsia="仿宋_GB2312" w:cs="Times New Roman"/>
          <w:b w:val="0"/>
          <w:bCs w:val="0"/>
          <w:color w:val="auto"/>
          <w:kern w:val="2"/>
          <w:sz w:val="32"/>
          <w:szCs w:val="32"/>
          <w:highlight w:val="none"/>
          <w:u w:val="none"/>
          <w:lang w:val="en-US" w:eastAsia="zh-CN" w:bidi="ar-SA"/>
        </w:rPr>
        <w:t>物流大平台和</w:t>
      </w:r>
      <w:r>
        <w:rPr>
          <w:rFonts w:ascii="Times New Roman" w:hAnsi="Times New Roman" w:eastAsia="仿宋_GB2312" w:cs="Times New Roman"/>
          <w:b w:val="0"/>
          <w:bCs w:val="0"/>
          <w:i w:val="0"/>
          <w:iCs w:val="0"/>
          <w:caps w:val="0"/>
          <w:color w:val="auto"/>
          <w:spacing w:val="0"/>
          <w:sz w:val="32"/>
          <w:szCs w:val="32"/>
          <w:highlight w:val="none"/>
          <w:shd w:val="clear" w:fill="auto"/>
        </w:rPr>
        <w:t>大进大出“陆港型”大通道，发展开放型枢纽经济</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aps w:val="0"/>
          <w:smallCaps w:val="0"/>
          <w:color w:val="auto"/>
          <w:kern w:val="2"/>
          <w:sz w:val="32"/>
          <w:szCs w:val="32"/>
          <w:highlight w:val="none"/>
          <w:u w:val="none" w:color="auto"/>
          <w:lang w:val="en-US" w:eastAsia="zh-CN" w:bidi="ar-SA"/>
        </w:rPr>
        <w:t>推进区域物流高效化</w:t>
      </w:r>
      <w:r>
        <w:rPr>
          <w:rFonts w:hint="default" w:ascii="Times New Roman" w:hAnsi="Times New Roman" w:eastAsia="仿宋_GB2312" w:cs="Times New Roman"/>
          <w:b w:val="0"/>
          <w:bCs w:val="0"/>
          <w:color w:val="auto"/>
          <w:sz w:val="32"/>
          <w:szCs w:val="32"/>
          <w:highlight w:val="none"/>
          <w:lang w:val="en-US" w:eastAsia="zh-CN"/>
        </w:rPr>
        <w:t>运行。</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909" w:name="_Toc12521"/>
      <w:bookmarkStart w:id="910" w:name="_Toc19094"/>
      <w:bookmarkStart w:id="911" w:name="_Toc5700"/>
      <w:bookmarkStart w:id="912" w:name="_Toc18249"/>
      <w:bookmarkStart w:id="913" w:name="_Toc13513"/>
      <w:bookmarkStart w:id="914" w:name="_Toc9381"/>
      <w:bookmarkStart w:id="915" w:name="_Toc24909"/>
      <w:bookmarkStart w:id="916" w:name="_Toc9753"/>
      <w:bookmarkStart w:id="917" w:name="_Toc10434"/>
      <w:bookmarkStart w:id="918" w:name="_Toc22785"/>
      <w:bookmarkStart w:id="919" w:name="_Toc22842"/>
      <w:bookmarkStart w:id="920" w:name="_Toc6384"/>
      <w:bookmarkStart w:id="921" w:name="_Toc3987"/>
      <w:bookmarkStart w:id="922" w:name="_Toc19614"/>
      <w:bookmarkStart w:id="923" w:name="_Toc17390"/>
      <w:bookmarkStart w:id="924" w:name="_Toc32626"/>
      <w:bookmarkStart w:id="925" w:name="_Toc5225"/>
      <w:bookmarkStart w:id="926" w:name="_Toc3628"/>
      <w:bookmarkStart w:id="927" w:name="_Toc16725"/>
      <w:bookmarkStart w:id="928" w:name="_Toc21292"/>
      <w:bookmarkStart w:id="929" w:name="_Toc11443"/>
      <w:bookmarkStart w:id="930" w:name="_Toc16488"/>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（一）全面提升平台载体功能</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keepNext w:val="0"/>
        <w:keepLines w:val="0"/>
        <w:pageBreakBefore w:val="0"/>
        <w:widowControl w:val="0"/>
        <w:kinsoku/>
        <w:wordWrap/>
        <w:overflowPunct/>
        <w:topLinePunct w:val="0"/>
        <w:autoSpaceDE/>
        <w:autoSpaceDN/>
        <w:bidi w:val="0"/>
        <w:adjustRightInd/>
        <w:snapToGrid/>
        <w:spacing w:line="600" w:lineRule="exact"/>
        <w:ind w:firstLine="641"/>
        <w:rPr>
          <w:rFonts w:hint="default" w:ascii="Times New Roman" w:hAnsi="Times New Roman" w:eastAsia="宋体" w:cs="Times New Roman"/>
          <w:b w:val="0"/>
          <w:bCs w:val="0"/>
          <w:color w:val="auto"/>
          <w:kern w:val="2"/>
          <w:sz w:val="21"/>
          <w:szCs w:val="24"/>
          <w:highlight w:val="none"/>
          <w:u w:val="none" w:color="auto"/>
          <w:lang w:val="en-US" w:eastAsia="zh-CN" w:bidi="ar-SA"/>
        </w:rPr>
      </w:pPr>
      <w:r>
        <w:rPr>
          <w:rFonts w:hint="default" w:ascii="Times New Roman" w:hAnsi="Times New Roman" w:eastAsia="仿宋_GB2312" w:cs="Times New Roman"/>
          <w:b w:val="0"/>
          <w:bCs w:val="0"/>
          <w:color w:val="auto"/>
          <w:kern w:val="2"/>
          <w:sz w:val="32"/>
          <w:szCs w:val="32"/>
          <w:highlight w:val="none"/>
          <w:u w:val="none" w:color="auto"/>
          <w:lang w:val="en-US" w:eastAsia="zh-CN" w:bidi="ar-SA"/>
        </w:rPr>
        <w:t>加快申建综合保税物流中心（B型），建设晋东地区第一个海关保税监管场所，充分发挥保税区在免税、保税、退税等方面的优势，大力发展综合保税物流，探索开展跨境电子商务、融资租赁、期货保税交割等服务外包业务，为复制自贸区先进经验、开展跨境电商业务提前谋篇布局。抢抓我省申建中国（山西）自由贸易试验区机遇，加强与山西转型综合改革示范区的交流合作，推动平定经开区依托纤维新材料产业示范基地率先建设自贸试验区协同发展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Layout w:type="autofit"/>
        <w:tblCellMar>
          <w:top w:w="0" w:type="dxa"/>
          <w:left w:w="108" w:type="dxa"/>
          <w:bottom w:w="0" w:type="dxa"/>
          <w:right w:w="108" w:type="dxa"/>
        </w:tblCellMar>
      </w:tblPr>
      <w:tblGrid>
        <w:gridCol w:w="8516"/>
      </w:tblGrid>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rPr>
                <w:rFonts w:hint="default" w:ascii="Times New Roman" w:hAnsi="Times New Roman" w:eastAsia="宋体" w:cs="Times New Roman"/>
                <w:b/>
                <w:bCs/>
                <w:color w:val="auto"/>
                <w:sz w:val="28"/>
                <w:szCs w:val="18"/>
                <w:highlight w:val="none"/>
              </w:rPr>
            </w:pPr>
            <w:bookmarkStart w:id="931" w:name="_Toc16645"/>
            <w:bookmarkStart w:id="932" w:name="_Toc10152"/>
            <w:bookmarkStart w:id="933" w:name="_Toc2524"/>
            <w:bookmarkStart w:id="934" w:name="_Toc20136"/>
            <w:bookmarkStart w:id="935" w:name="_Toc23084"/>
            <w:r>
              <w:rPr>
                <w:rFonts w:hint="default" w:ascii="Times New Roman" w:hAnsi="Times New Roman" w:eastAsia="宋体" w:cs="Times New Roman"/>
                <w:b/>
                <w:bCs/>
                <w:color w:val="auto"/>
                <w:sz w:val="28"/>
                <w:szCs w:val="28"/>
                <w:highlight w:val="none"/>
              </w:rPr>
              <w:t>专栏</w:t>
            </w:r>
            <w:r>
              <w:rPr>
                <w:rFonts w:hint="default" w:ascii="Times New Roman" w:hAnsi="Times New Roman" w:eastAsia="宋体" w:cs="Times New Roman"/>
                <w:b/>
                <w:bCs/>
                <w:color w:val="auto"/>
                <w:sz w:val="28"/>
                <w:szCs w:val="28"/>
                <w:highlight w:val="none"/>
                <w:lang w:val="en-US" w:eastAsia="zh-CN"/>
              </w:rPr>
              <w:t>8-1</w:t>
            </w:r>
            <w:r>
              <w:rPr>
                <w:rFonts w:hint="default" w:ascii="Times New Roman" w:hAnsi="Times New Roman" w:eastAsia="宋体" w:cs="Times New Roman"/>
                <w:b/>
                <w:bCs/>
                <w:color w:val="auto"/>
                <w:sz w:val="28"/>
                <w:szCs w:val="28"/>
                <w:highlight w:val="none"/>
              </w:rPr>
              <w:t xml:space="preserve">  平台</w:t>
            </w:r>
            <w:r>
              <w:rPr>
                <w:rFonts w:hint="default" w:ascii="Times New Roman" w:hAnsi="Times New Roman" w:eastAsia="宋体" w:cs="Times New Roman"/>
                <w:b/>
                <w:bCs/>
                <w:color w:val="auto"/>
                <w:sz w:val="28"/>
                <w:szCs w:val="28"/>
                <w:highlight w:val="none"/>
                <w:lang w:eastAsia="zh-CN"/>
              </w:rPr>
              <w:t>载体</w:t>
            </w:r>
            <w:r>
              <w:rPr>
                <w:rFonts w:hint="default" w:ascii="Times New Roman" w:hAnsi="Times New Roman" w:eastAsia="宋体" w:cs="Times New Roman"/>
                <w:b/>
                <w:bCs/>
                <w:color w:val="auto"/>
                <w:sz w:val="28"/>
                <w:szCs w:val="28"/>
                <w:highlight w:val="none"/>
                <w:lang w:val="en-US" w:eastAsia="zh-CN"/>
              </w:rPr>
              <w:t>建设</w:t>
            </w:r>
            <w:r>
              <w:rPr>
                <w:rFonts w:hint="default" w:ascii="Times New Roman" w:hAnsi="Times New Roman" w:eastAsia="宋体" w:cs="Times New Roman"/>
                <w:b/>
                <w:bCs/>
                <w:color w:val="auto"/>
                <w:sz w:val="28"/>
                <w:szCs w:val="28"/>
                <w:highlight w:val="none"/>
              </w:rPr>
              <w:t>重点项目</w:t>
            </w:r>
            <w:bookmarkEnd w:id="931"/>
          </w:p>
        </w:tc>
      </w:tr>
      <w:tr>
        <w:tblPrEx>
          <w:tblBorders>
            <w:top w:val="single" w:color="auto" w:sz="8" w:space="0"/>
            <w:left w:val="single" w:color="auto" w:sz="8" w:space="0"/>
            <w:bottom w:val="single" w:color="auto" w:sz="8" w:space="0"/>
            <w:right w:val="single" w:color="auto" w:sz="8" w:space="0"/>
            <w:insideH w:val="single" w:color="auto" w:sz="4" w:space="0"/>
            <w:insideV w:val="none" w:color="auto" w:sz="0" w:space="0"/>
          </w:tblBorders>
          <w:tblCellMar>
            <w:top w:w="0" w:type="dxa"/>
            <w:left w:w="108" w:type="dxa"/>
            <w:bottom w:w="0" w:type="dxa"/>
            <w:right w:w="108" w:type="dxa"/>
          </w:tblCellMar>
        </w:tblPrEx>
        <w:trPr>
          <w:jc w:val="center"/>
        </w:trPr>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32"/>
              </w:rPr>
            </w:pPr>
            <w:r>
              <w:rPr>
                <w:rFonts w:hint="default" w:ascii="Times New Roman" w:hAnsi="Times New Roman" w:cs="Times New Roman"/>
                <w:b/>
                <w:bCs/>
                <w:sz w:val="24"/>
                <w:szCs w:val="32"/>
              </w:rPr>
              <w:t>保税物流中心（B型）</w:t>
            </w:r>
            <w:r>
              <w:rPr>
                <w:rFonts w:hint="default" w:ascii="Times New Roman" w:hAnsi="Times New Roman" w:cs="Times New Roman"/>
                <w:b/>
                <w:bCs/>
                <w:sz w:val="24"/>
                <w:szCs w:val="32"/>
                <w:lang w:val="en-US" w:eastAsia="zh-CN"/>
              </w:rPr>
              <w:t>。</w:t>
            </w:r>
            <w:r>
              <w:rPr>
                <w:rFonts w:hint="default" w:ascii="Times New Roman" w:hAnsi="Times New Roman" w:cs="Times New Roman"/>
                <w:sz w:val="24"/>
                <w:szCs w:val="32"/>
                <w:lang w:val="en-US" w:eastAsia="zh-CN"/>
              </w:rPr>
              <w:t>支持有实力的企业建设保税物流中心（B型）等保税</w:t>
            </w:r>
            <w:r>
              <w:rPr>
                <w:rFonts w:hint="default" w:ascii="Times New Roman" w:hAnsi="Times New Roman" w:cs="Times New Roman"/>
                <w:sz w:val="24"/>
                <w:szCs w:val="32"/>
              </w:rPr>
              <w:t>监管</w:t>
            </w:r>
            <w:r>
              <w:rPr>
                <w:rFonts w:hint="default" w:ascii="Times New Roman" w:hAnsi="Times New Roman" w:cs="Times New Roman"/>
                <w:sz w:val="24"/>
                <w:szCs w:val="32"/>
                <w:lang w:val="en-US" w:eastAsia="zh-CN"/>
              </w:rPr>
              <w:t>场所</w:t>
            </w:r>
            <w:r>
              <w:rPr>
                <w:rFonts w:hint="default" w:ascii="Times New Roman" w:hAnsi="Times New Roman" w:cs="Times New Roman"/>
                <w:sz w:val="24"/>
                <w:szCs w:val="32"/>
              </w:rPr>
              <w:t>，为我市开展跨境电商等新业务布局平台。</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b/>
                <w:bCs/>
                <w:sz w:val="24"/>
                <w:szCs w:val="32"/>
                <w:lang w:val="en-US" w:eastAsia="zh-CN"/>
              </w:rPr>
              <w:t>对外贸易孵化基地。</w:t>
            </w:r>
            <w:r>
              <w:rPr>
                <w:rFonts w:hint="default" w:ascii="Times New Roman" w:hAnsi="Times New Roman" w:cs="Times New Roman"/>
                <w:sz w:val="24"/>
                <w:szCs w:val="32"/>
                <w:lang w:val="en-US" w:eastAsia="zh-CN"/>
              </w:rPr>
              <w:t>依托阳泉</w:t>
            </w:r>
            <w:r>
              <w:rPr>
                <w:rFonts w:hint="eastAsia" w:ascii="Times New Roman" w:hAnsi="Times New Roman" w:cs="Times New Roman"/>
                <w:sz w:val="24"/>
                <w:szCs w:val="32"/>
                <w:lang w:val="en-US" w:eastAsia="zh-CN"/>
              </w:rPr>
              <w:t>高新</w:t>
            </w:r>
            <w:r>
              <w:rPr>
                <w:rFonts w:hint="default" w:ascii="Times New Roman" w:hAnsi="Times New Roman" w:cs="Times New Roman"/>
                <w:sz w:val="24"/>
                <w:szCs w:val="32"/>
                <w:lang w:val="en-US" w:eastAsia="zh-CN"/>
              </w:rPr>
              <w:t>区“双创”基地，建设集各类外贸服务为一体的外贸孵化基地，培育外贸企业关键载体。</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b/>
                <w:bCs/>
                <w:sz w:val="24"/>
                <w:szCs w:val="32"/>
              </w:rPr>
              <w:t>华远陆港一亩田</w:t>
            </w:r>
            <w:r>
              <w:rPr>
                <w:rFonts w:hint="default" w:ascii="Times New Roman" w:hAnsi="Times New Roman" w:cs="Times New Roman"/>
                <w:b/>
                <w:bCs/>
                <w:sz w:val="24"/>
                <w:szCs w:val="32"/>
                <w:lang w:eastAsia="zh-CN"/>
              </w:rPr>
              <w:t>平台。</w:t>
            </w:r>
            <w:r>
              <w:rPr>
                <w:rFonts w:hint="default" w:ascii="Times New Roman" w:hAnsi="Times New Roman" w:cs="Times New Roman"/>
                <w:sz w:val="24"/>
                <w:szCs w:val="32"/>
              </w:rPr>
              <w:t>开展农产品展示、销售、仓储、中转等业务，依托大数据技术助力农产品流通。</w:t>
            </w:r>
          </w:p>
          <w:p>
            <w:pPr>
              <w:keepNext w:val="0"/>
              <w:keepLines w:val="0"/>
              <w:pageBreakBefore w:val="0"/>
              <w:widowControl w:val="0"/>
              <w:kinsoku/>
              <w:wordWrap/>
              <w:overflowPunct/>
              <w:topLinePunct w:val="0"/>
              <w:autoSpaceDE/>
              <w:autoSpaceDN/>
              <w:bidi w:val="0"/>
              <w:adjustRightInd/>
              <w:snapToGrid/>
              <w:spacing w:line="600" w:lineRule="exact"/>
              <w:ind w:firstLine="481" w:firstLineChars="200"/>
              <w:textAlignment w:val="auto"/>
              <w:rPr>
                <w:rFonts w:hint="default" w:ascii="Times New Roman" w:hAnsi="Times New Roman" w:cs="Times New Roman"/>
                <w:color w:val="auto"/>
                <w:highlight w:val="none"/>
              </w:rPr>
            </w:pPr>
            <w:r>
              <w:rPr>
                <w:rFonts w:hint="default" w:ascii="Times New Roman" w:hAnsi="Times New Roman" w:cs="Times New Roman"/>
                <w:b/>
                <w:bCs/>
                <w:sz w:val="24"/>
                <w:szCs w:val="32"/>
                <w:lang w:val="en-US" w:eastAsia="zh-CN"/>
              </w:rPr>
              <w:t>外贸转型基地。</w:t>
            </w:r>
            <w:r>
              <w:rPr>
                <w:rFonts w:hint="default" w:ascii="Times New Roman" w:hAnsi="Times New Roman" w:cs="Times New Roman"/>
                <w:sz w:val="24"/>
                <w:szCs w:val="32"/>
                <w:lang w:val="en-US" w:eastAsia="zh-CN"/>
              </w:rPr>
              <w:t>发挥新型高档耐火材料外贸转型基地、陶粒砂外贸转型基地内龙头企业引领作用，推动企业集聚发展，提升耐火、陶粒砂行业外贸竞争力。</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spacing w:val="0"/>
          <w:sz w:val="32"/>
          <w:szCs w:val="32"/>
          <w:highlight w:val="none"/>
          <w:u w:val="none" w:color="auto"/>
          <w:lang w:val="en-US" w:eastAsia="zh-CN"/>
        </w:rPr>
      </w:pPr>
      <w:bookmarkStart w:id="936" w:name="_Toc12584"/>
      <w:bookmarkStart w:id="937" w:name="_Toc10432"/>
      <w:bookmarkStart w:id="938" w:name="_Toc5524"/>
      <w:bookmarkStart w:id="939" w:name="_Toc972"/>
      <w:bookmarkStart w:id="940" w:name="_Toc27274"/>
      <w:bookmarkStart w:id="941" w:name="_Toc23594"/>
      <w:bookmarkStart w:id="942" w:name="_Toc28456"/>
      <w:bookmarkStart w:id="943" w:name="_Toc248"/>
      <w:bookmarkStart w:id="944" w:name="_Toc12839"/>
      <w:bookmarkStart w:id="945" w:name="_Toc13470"/>
      <w:bookmarkStart w:id="946" w:name="_Toc13592"/>
      <w:bookmarkStart w:id="947" w:name="_Toc9873"/>
      <w:bookmarkStart w:id="948" w:name="_Toc17453"/>
      <w:bookmarkStart w:id="949" w:name="_Toc7356"/>
      <w:bookmarkStart w:id="950" w:name="_Toc736"/>
      <w:bookmarkStart w:id="951" w:name="_Toc24860"/>
      <w:bookmarkStart w:id="952" w:name="_Toc5068"/>
      <w:bookmarkStart w:id="953" w:name="_Toc19170"/>
      <w:r>
        <w:rPr>
          <w:rFonts w:hint="default" w:ascii="Times New Roman" w:hAnsi="Times New Roman" w:eastAsia="楷体_GB2312" w:cs="Times New Roman"/>
          <w:b/>
          <w:bCs/>
          <w:color w:val="auto"/>
          <w:spacing w:val="0"/>
          <w:sz w:val="32"/>
          <w:szCs w:val="32"/>
          <w:highlight w:val="none"/>
          <w:u w:val="none" w:color="auto"/>
          <w:lang w:val="en-US" w:eastAsia="zh-CN"/>
        </w:rPr>
        <w:t>（二）强化区域交流协作</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ind w:firstLine="640" w:firstLineChars="200"/>
        <w:jc w:val="both"/>
        <w:outlineLvl w:val="9"/>
        <w:rPr>
          <w:rFonts w:hint="default" w:ascii="Times New Roman" w:hAnsi="Times New Roman" w:eastAsia="仿宋_GB2312" w:cs="Times New Roman"/>
          <w:color w:val="auto"/>
          <w:sz w:val="32"/>
          <w:szCs w:val="32"/>
          <w:highlight w:val="none"/>
          <w:u w:val="none" w:color="auto"/>
        </w:rPr>
      </w:pPr>
      <w:r>
        <w:rPr>
          <w:rFonts w:hint="default" w:ascii="Times New Roman" w:hAnsi="Times New Roman" w:eastAsia="仿宋_GB2312" w:cs="Times New Roman"/>
          <w:b w:val="0"/>
          <w:bCs w:val="0"/>
          <w:color w:val="auto"/>
          <w:kern w:val="2"/>
          <w:sz w:val="32"/>
          <w:szCs w:val="32"/>
          <w:highlight w:val="none"/>
          <w:u w:val="none" w:color="auto"/>
          <w:lang w:val="en-US" w:eastAsia="zh-CN" w:bidi="ar-SA"/>
        </w:rPr>
        <w:t>积极</w:t>
      </w:r>
      <w:r>
        <w:rPr>
          <w:rFonts w:hint="default" w:ascii="Times New Roman" w:hAnsi="Times New Roman" w:eastAsia="仿宋_GB2312" w:cs="Times New Roman"/>
          <w:color w:val="auto"/>
          <w:sz w:val="32"/>
          <w:szCs w:val="32"/>
          <w:highlight w:val="none"/>
          <w:lang w:val="en-US" w:eastAsia="zh-CN"/>
        </w:rPr>
        <w:t>参与京津冀协同发展、雄安新区建设</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持续运行好“阳泉—天津港”公铁联运班列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加强与天津、</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黄骅等环渤海港口的合作，大力发展多式联运、平行进口车、物流分拨等业务，实现通关一体化，拓展“双港”非煤疏港业务，加快建设集班列、公铁联运于一体的“一带一路”内陆港。</w:t>
      </w:r>
      <w:r>
        <w:rPr>
          <w:rFonts w:hint="default" w:ascii="Times New Roman" w:hAnsi="Times New Roman" w:eastAsia="仿宋_GB2312" w:cs="Times New Roman"/>
          <w:color w:val="auto"/>
          <w:sz w:val="32"/>
          <w:szCs w:val="32"/>
          <w:highlight w:val="none"/>
          <w:lang w:eastAsia="zh-CN"/>
        </w:rPr>
        <w:t>探索</w:t>
      </w:r>
      <w:r>
        <w:rPr>
          <w:rFonts w:hint="default" w:ascii="Times New Roman" w:hAnsi="Times New Roman" w:eastAsia="仿宋_GB2312" w:cs="Times New Roman"/>
          <w:color w:val="auto"/>
          <w:sz w:val="32"/>
          <w:szCs w:val="32"/>
          <w:highlight w:val="none"/>
        </w:rPr>
        <w:t>与太原、石家庄等</w:t>
      </w:r>
      <w:r>
        <w:rPr>
          <w:rFonts w:hint="default" w:ascii="Times New Roman" w:hAnsi="Times New Roman" w:eastAsia="仿宋_GB2312" w:cs="Times New Roman"/>
          <w:color w:val="auto"/>
          <w:sz w:val="32"/>
          <w:szCs w:val="32"/>
          <w:highlight w:val="none"/>
          <w:lang w:val="en-US" w:eastAsia="zh-CN"/>
        </w:rPr>
        <w:t>周边</w:t>
      </w:r>
      <w:r>
        <w:rPr>
          <w:rFonts w:hint="default" w:ascii="Times New Roman" w:hAnsi="Times New Roman" w:eastAsia="仿宋_GB2312" w:cs="Times New Roman"/>
          <w:color w:val="auto"/>
          <w:sz w:val="32"/>
          <w:szCs w:val="32"/>
          <w:highlight w:val="none"/>
        </w:rPr>
        <w:t>城市联合建立智能物流网络，积极发展第四方物流，</w:t>
      </w:r>
      <w:r>
        <w:rPr>
          <w:rFonts w:hint="default" w:ascii="Times New Roman" w:hAnsi="Times New Roman" w:eastAsia="仿宋_GB2312" w:cs="Times New Roman"/>
          <w:color w:val="auto"/>
          <w:sz w:val="32"/>
          <w:szCs w:val="32"/>
          <w:highlight w:val="none"/>
          <w:lang w:eastAsia="zh-CN"/>
        </w:rPr>
        <w:t>有效</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解决物流资源配置问题，更大范围</w:t>
      </w:r>
      <w:r>
        <w:rPr>
          <w:rFonts w:hint="default" w:ascii="Times New Roman" w:hAnsi="Times New Roman" w:eastAsia="仿宋_GB2312" w:cs="Times New Roman"/>
          <w:color w:val="auto"/>
          <w:sz w:val="32"/>
          <w:szCs w:val="32"/>
          <w:highlight w:val="none"/>
        </w:rPr>
        <w:t>服务于全市、晋东以及京津冀等区域</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强化市域范围内的交流协作，鼓励各县（区）协调扶持政策，实现物流业市场化发展。</w:t>
      </w:r>
    </w:p>
    <w:p>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2" w:firstLineChars="200"/>
        <w:jc w:val="left"/>
        <w:rPr>
          <w:rFonts w:hint="default" w:ascii="Times New Roman" w:hAnsi="Times New Roman" w:eastAsia="楷体_GB2312" w:cs="Times New Roman"/>
          <w:b/>
          <w:bCs/>
          <w:i w:val="0"/>
          <w:iCs w:val="0"/>
          <w:caps w:val="0"/>
          <w:color w:val="auto"/>
          <w:spacing w:val="0"/>
          <w:kern w:val="2"/>
          <w:sz w:val="32"/>
          <w:szCs w:val="32"/>
          <w:highlight w:val="none"/>
          <w:u w:val="none" w:color="auto"/>
          <w:lang w:bidi="ar-SA"/>
        </w:rPr>
      </w:pPr>
      <w:bookmarkStart w:id="954" w:name="_Toc1056"/>
      <w:bookmarkStart w:id="955" w:name="_Toc4358"/>
      <w:bookmarkStart w:id="956" w:name="_Toc32289"/>
      <w:bookmarkStart w:id="957" w:name="_Toc31586"/>
      <w:bookmarkStart w:id="958" w:name="_Toc29376"/>
      <w:bookmarkStart w:id="959" w:name="_Toc8823"/>
      <w:bookmarkStart w:id="960" w:name="_Toc25028"/>
      <w:bookmarkStart w:id="961" w:name="_Toc12998"/>
      <w:bookmarkStart w:id="962" w:name="_Toc17565"/>
      <w:bookmarkStart w:id="963" w:name="_Toc23040"/>
      <w:bookmarkStart w:id="964" w:name="_Toc26104"/>
      <w:bookmarkStart w:id="965" w:name="_Toc23687"/>
      <w:bookmarkStart w:id="966" w:name="_Toc16714"/>
      <w:bookmarkStart w:id="967" w:name="_Toc29783"/>
      <w:bookmarkStart w:id="968" w:name="_Toc6180"/>
      <w:bookmarkStart w:id="969" w:name="_Toc13254"/>
      <w:bookmarkStart w:id="970" w:name="_Toc1188"/>
      <w:bookmarkStart w:id="971" w:name="_Toc2354"/>
      <w:bookmarkStart w:id="972" w:name="_Toc22515"/>
      <w:bookmarkStart w:id="973" w:name="_Toc320"/>
      <w:bookmarkStart w:id="974" w:name="_Toc7098"/>
      <w:bookmarkStart w:id="975" w:name="_Toc16035"/>
      <w:r>
        <w:rPr>
          <w:rFonts w:hint="default" w:ascii="Times New Roman" w:hAnsi="Times New Roman" w:eastAsia="楷体_GB2312" w:cs="Times New Roman"/>
          <w:b/>
          <w:bCs/>
          <w:i w:val="0"/>
          <w:iCs w:val="0"/>
          <w:caps w:val="0"/>
          <w:color w:val="auto"/>
          <w:spacing w:val="0"/>
          <w:kern w:val="2"/>
          <w:sz w:val="32"/>
          <w:szCs w:val="32"/>
          <w:highlight w:val="none"/>
          <w:u w:val="none" w:color="auto"/>
          <w:lang w:bidi="ar-SA"/>
        </w:rPr>
        <w:t>（</w:t>
      </w:r>
      <w:r>
        <w:rPr>
          <w:rFonts w:hint="default" w:ascii="Times New Roman" w:hAnsi="Times New Roman" w:eastAsia="楷体_GB2312" w:cs="Times New Roman"/>
          <w:b/>
          <w:bCs/>
          <w:i w:val="0"/>
          <w:iCs w:val="0"/>
          <w:caps w:val="0"/>
          <w:color w:val="auto"/>
          <w:spacing w:val="0"/>
          <w:kern w:val="2"/>
          <w:sz w:val="32"/>
          <w:szCs w:val="32"/>
          <w:highlight w:val="none"/>
          <w:u w:val="none" w:color="auto"/>
          <w:lang w:eastAsia="zh-CN" w:bidi="ar-SA"/>
        </w:rPr>
        <w:t>三</w:t>
      </w:r>
      <w:r>
        <w:rPr>
          <w:rFonts w:hint="default" w:ascii="Times New Roman" w:hAnsi="Times New Roman" w:eastAsia="楷体_GB2312" w:cs="Times New Roman"/>
          <w:b/>
          <w:bCs/>
          <w:i w:val="0"/>
          <w:iCs w:val="0"/>
          <w:caps w:val="0"/>
          <w:color w:val="auto"/>
          <w:spacing w:val="0"/>
          <w:kern w:val="2"/>
          <w:sz w:val="32"/>
          <w:szCs w:val="32"/>
          <w:highlight w:val="none"/>
          <w:u w:val="none" w:color="auto"/>
          <w:lang w:bidi="ar-SA"/>
        </w:rPr>
        <w:t>）</w:t>
      </w:r>
      <w:r>
        <w:rPr>
          <w:rFonts w:hint="default" w:ascii="Times New Roman" w:hAnsi="Times New Roman" w:eastAsia="楷体_GB2312" w:cs="Times New Roman"/>
          <w:b/>
          <w:bCs/>
          <w:i w:val="0"/>
          <w:iCs w:val="0"/>
          <w:caps w:val="0"/>
          <w:color w:val="auto"/>
          <w:spacing w:val="0"/>
          <w:kern w:val="2"/>
          <w:sz w:val="32"/>
          <w:szCs w:val="32"/>
          <w:highlight w:val="none"/>
          <w:u w:val="none" w:color="auto"/>
          <w:lang w:eastAsia="zh-CN" w:bidi="ar-SA"/>
        </w:rPr>
        <w:t>积极拓宽</w:t>
      </w:r>
      <w:r>
        <w:rPr>
          <w:rFonts w:hint="default" w:ascii="Times New Roman" w:hAnsi="Times New Roman" w:eastAsia="楷体_GB2312" w:cs="Times New Roman"/>
          <w:b/>
          <w:bCs/>
          <w:i w:val="0"/>
          <w:iCs w:val="0"/>
          <w:caps w:val="0"/>
          <w:color w:val="auto"/>
          <w:spacing w:val="0"/>
          <w:kern w:val="2"/>
          <w:sz w:val="32"/>
          <w:szCs w:val="32"/>
          <w:highlight w:val="none"/>
          <w:u w:val="none" w:color="auto"/>
          <w:lang w:bidi="ar-SA"/>
        </w:rPr>
        <w:t>国际物流</w:t>
      </w:r>
      <w:r>
        <w:rPr>
          <w:rFonts w:hint="default" w:ascii="Times New Roman" w:hAnsi="Times New Roman" w:eastAsia="楷体_GB2312" w:cs="Times New Roman"/>
          <w:b/>
          <w:bCs/>
          <w:i w:val="0"/>
          <w:iCs w:val="0"/>
          <w:caps w:val="0"/>
          <w:color w:val="auto"/>
          <w:spacing w:val="0"/>
          <w:kern w:val="2"/>
          <w:sz w:val="32"/>
          <w:szCs w:val="32"/>
          <w:highlight w:val="none"/>
          <w:u w:val="none" w:color="auto"/>
          <w:lang w:eastAsia="zh-CN" w:bidi="ar-SA"/>
        </w:rPr>
        <w:t>渠道</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i w:val="0"/>
          <w:iCs w:val="0"/>
          <w:caps w:val="0"/>
          <w:color w:val="auto"/>
          <w:spacing w:val="0"/>
          <w:sz w:val="32"/>
          <w:szCs w:val="32"/>
          <w:highlight w:val="none"/>
          <w:lang w:eastAsia="zh-CN"/>
        </w:rPr>
      </w:pPr>
      <w:r>
        <w:rPr>
          <w:rFonts w:hint="default" w:ascii="Times New Roman" w:hAnsi="Times New Roman" w:eastAsia="仿宋_GB2312" w:cs="Times New Roman"/>
          <w:i w:val="0"/>
          <w:iCs w:val="0"/>
          <w:caps w:val="0"/>
          <w:color w:val="auto"/>
          <w:spacing w:val="0"/>
          <w:sz w:val="32"/>
          <w:szCs w:val="32"/>
          <w:highlight w:val="none"/>
          <w:u w:val="none" w:color="auto"/>
        </w:rPr>
        <w:t>主动参与“一带一路”大商圈建设</w:t>
      </w:r>
      <w:r>
        <w:rPr>
          <w:rFonts w:hint="default" w:ascii="Times New Roman" w:hAnsi="Times New Roman" w:eastAsia="仿宋_GB2312" w:cs="Times New Roman"/>
          <w:i w:val="0"/>
          <w:iCs w:val="0"/>
          <w:caps w:val="0"/>
          <w:color w:val="auto"/>
          <w:spacing w:val="0"/>
          <w:sz w:val="32"/>
          <w:szCs w:val="32"/>
          <w:highlight w:val="none"/>
          <w:u w:val="none" w:color="auto"/>
          <w:lang w:eastAsia="zh-CN"/>
        </w:rPr>
        <w:t>，</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常态化运行阳泉—蒙古国达尔罕国际联运列车，打造服务全国、辐射全网、联动欧亚的铁路物流集散基地、多式联运创新基地和服务“一带一路”的示范基地。</w:t>
      </w:r>
      <w:r>
        <w:rPr>
          <w:rFonts w:hint="default" w:ascii="Times New Roman" w:hAnsi="Times New Roman" w:eastAsia="仿宋_GB2312" w:cs="Times New Roman"/>
          <w:i w:val="0"/>
          <w:iCs w:val="0"/>
          <w:caps w:val="0"/>
          <w:color w:val="auto"/>
          <w:spacing w:val="0"/>
          <w:sz w:val="32"/>
          <w:szCs w:val="32"/>
          <w:highlight w:val="none"/>
          <w:lang w:eastAsia="zh-CN"/>
        </w:rPr>
        <w:t>建立完善与“一带一路”沿线国家和地区的通关通检合作</w:t>
      </w:r>
      <w:r>
        <w:rPr>
          <w:rFonts w:hint="default" w:ascii="Times New Roman" w:hAnsi="Times New Roman" w:eastAsia="仿宋_GB2312" w:cs="Times New Roman"/>
          <w:i w:val="0"/>
          <w:iCs w:val="0"/>
          <w:caps w:val="0"/>
          <w:color w:val="auto"/>
          <w:spacing w:val="0"/>
          <w:sz w:val="32"/>
          <w:szCs w:val="32"/>
          <w:highlight w:val="none"/>
          <w:u w:val="none" w:color="auto"/>
          <w:lang w:eastAsia="zh-CN"/>
        </w:rPr>
        <w:t>，</w:t>
      </w:r>
      <w:r>
        <w:rPr>
          <w:rFonts w:ascii="Times New Roman" w:hAnsi="Times New Roman" w:eastAsia="仿宋_GB2312" w:cs="Times New Roman"/>
          <w:i w:val="0"/>
          <w:iCs w:val="0"/>
          <w:caps w:val="0"/>
          <w:color w:val="auto"/>
          <w:spacing w:val="0"/>
          <w:sz w:val="32"/>
          <w:szCs w:val="32"/>
          <w:highlight w:val="none"/>
          <w:u w:val="none" w:color="auto"/>
        </w:rPr>
        <w:t>加强与沿线</w:t>
      </w:r>
      <w:r>
        <w:rPr>
          <w:rFonts w:hint="default" w:ascii="Times New Roman" w:hAnsi="Times New Roman" w:eastAsia="仿宋_GB2312" w:cs="Times New Roman"/>
          <w:i w:val="0"/>
          <w:iCs w:val="0"/>
          <w:caps w:val="0"/>
          <w:color w:val="auto"/>
          <w:spacing w:val="0"/>
          <w:sz w:val="32"/>
          <w:szCs w:val="32"/>
          <w:highlight w:val="none"/>
          <w:u w:val="none" w:color="auto"/>
          <w:lang w:eastAsia="zh-CN"/>
        </w:rPr>
        <w:t>国家和地区</w:t>
      </w:r>
      <w:r>
        <w:rPr>
          <w:rFonts w:ascii="Times New Roman" w:hAnsi="Times New Roman" w:eastAsia="仿宋_GB2312" w:cs="Times New Roman"/>
          <w:i w:val="0"/>
          <w:iCs w:val="0"/>
          <w:caps w:val="0"/>
          <w:color w:val="auto"/>
          <w:spacing w:val="0"/>
          <w:sz w:val="32"/>
          <w:szCs w:val="32"/>
          <w:highlight w:val="none"/>
          <w:u w:val="none" w:color="auto"/>
        </w:rPr>
        <w:t>交通物流设施的功能衔接和信息互联，</w:t>
      </w:r>
      <w:r>
        <w:rPr>
          <w:rFonts w:hint="default" w:ascii="Times New Roman" w:hAnsi="Times New Roman" w:eastAsia="仿宋_GB2312" w:cs="Times New Roman"/>
          <w:i w:val="0"/>
          <w:iCs w:val="0"/>
          <w:caps w:val="0"/>
          <w:color w:val="auto"/>
          <w:spacing w:val="0"/>
          <w:sz w:val="32"/>
          <w:szCs w:val="32"/>
          <w:highlight w:val="none"/>
        </w:rPr>
        <w:t>提升跨境物流配送集散能力</w:t>
      </w:r>
      <w:r>
        <w:rPr>
          <w:rFonts w:hint="default" w:ascii="Times New Roman" w:hAnsi="Times New Roman" w:eastAsia="仿宋_GB2312" w:cs="Times New Roman"/>
          <w:i w:val="0"/>
          <w:iCs w:val="0"/>
          <w:caps w:val="0"/>
          <w:color w:val="auto"/>
          <w:spacing w:val="0"/>
          <w:sz w:val="32"/>
          <w:szCs w:val="32"/>
          <w:highlight w:val="none"/>
          <w:lang w:eastAsia="zh-CN"/>
        </w:rPr>
        <w:t>。</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到“十四五”末，全市“一带一路”沿线货物进出口额力争达到5.8亿元，年均增速突破10%。</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976" w:name="_Toc21511"/>
      <w:bookmarkStart w:id="977" w:name="_Toc24620"/>
      <w:bookmarkStart w:id="978" w:name="_Toc16823"/>
      <w:bookmarkStart w:id="979" w:name="_Toc14753"/>
      <w:bookmarkStart w:id="980" w:name="_Toc8450"/>
      <w:bookmarkStart w:id="981" w:name="_Toc21636"/>
      <w:bookmarkStart w:id="982" w:name="_Toc1166"/>
      <w:bookmarkStart w:id="983" w:name="_Toc9970"/>
      <w:bookmarkStart w:id="984" w:name="_Toc13873"/>
      <w:bookmarkStart w:id="985" w:name="_Toc25303"/>
      <w:bookmarkStart w:id="986" w:name="_Toc5985"/>
      <w:bookmarkStart w:id="987" w:name="_Toc24597"/>
      <w:bookmarkStart w:id="988" w:name="_Toc25716"/>
      <w:bookmarkStart w:id="989" w:name="_Toc7118"/>
      <w:bookmarkStart w:id="990" w:name="_Toc8796"/>
      <w:bookmarkStart w:id="991" w:name="_Toc12942"/>
      <w:bookmarkStart w:id="992" w:name="_Toc9057"/>
      <w:bookmarkStart w:id="993" w:name="_Toc20777"/>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（四）深度参与供应链体系重构</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ind w:firstLine="640" w:firstLineChars="200"/>
        <w:jc w:val="both"/>
        <w:outlineLvl w:val="9"/>
        <w:rPr>
          <w:rFonts w:hint="default" w:ascii="Times New Roman" w:hAnsi="Times New Roman" w:eastAsia="仿宋_GB2312" w:cs="Times New Roman"/>
          <w:color w:val="auto"/>
          <w:sz w:val="32"/>
          <w:szCs w:val="32"/>
          <w:highlight w:val="none"/>
          <w:u w:val="none" w:color="auto"/>
        </w:rPr>
      </w:pPr>
      <w:r>
        <w:rPr>
          <w:rFonts w:hint="default" w:ascii="Times New Roman" w:hAnsi="Times New Roman" w:eastAsia="仿宋_GB2312" w:cs="Times New Roman"/>
          <w:b w:val="0"/>
          <w:bCs w:val="0"/>
          <w:color w:val="auto"/>
          <w:kern w:val="2"/>
          <w:sz w:val="32"/>
          <w:szCs w:val="32"/>
          <w:highlight w:val="none"/>
          <w:u w:val="none" w:color="auto"/>
          <w:lang w:val="en-US" w:eastAsia="zh-CN" w:bidi="ar-SA"/>
        </w:rPr>
        <w:t>支持物流企业和制造企业通过市场化方式创新供应链协同共建模式，鼓励</w:t>
      </w:r>
      <w:r>
        <w:rPr>
          <w:rFonts w:hint="default" w:ascii="Times New Roman" w:hAnsi="Times New Roman" w:eastAsia="仿宋_GB2312" w:cs="Times New Roman"/>
          <w:i w:val="0"/>
          <w:iCs w:val="0"/>
          <w:caps w:val="0"/>
          <w:color w:val="auto"/>
          <w:spacing w:val="0"/>
          <w:sz w:val="32"/>
          <w:szCs w:val="32"/>
          <w:highlight w:val="none"/>
          <w:u w:val="none" w:color="auto"/>
          <w:shd w:val="clear" w:fill="auto"/>
        </w:rPr>
        <w:t>具备条件的物流企业发展基于</w:t>
      </w:r>
      <w:r>
        <w:rPr>
          <w:rFonts w:hint="default" w:ascii="Times New Roman" w:hAnsi="Times New Roman" w:eastAsia="仿宋_GB2312" w:cs="Times New Roman"/>
          <w:i w:val="0"/>
          <w:iCs w:val="0"/>
          <w:caps w:val="0"/>
          <w:color w:val="auto"/>
          <w:spacing w:val="0"/>
          <w:sz w:val="32"/>
          <w:szCs w:val="32"/>
          <w:highlight w:val="none"/>
          <w:u w:val="none" w:color="auto"/>
          <w:shd w:val="clear" w:fill="auto"/>
          <w:lang w:eastAsia="zh-CN"/>
        </w:rPr>
        <w:t>制造</w:t>
      </w:r>
      <w:r>
        <w:rPr>
          <w:rFonts w:hint="default" w:ascii="Times New Roman" w:hAnsi="Times New Roman" w:eastAsia="仿宋_GB2312" w:cs="Times New Roman"/>
          <w:i w:val="0"/>
          <w:iCs w:val="0"/>
          <w:caps w:val="0"/>
          <w:color w:val="auto"/>
          <w:spacing w:val="0"/>
          <w:sz w:val="32"/>
          <w:szCs w:val="32"/>
          <w:highlight w:val="none"/>
          <w:u w:val="none" w:color="auto"/>
          <w:shd w:val="clear" w:fill="auto"/>
        </w:rPr>
        <w:t>核心企业的“链主型”供应链</w:t>
      </w:r>
      <w:r>
        <w:rPr>
          <w:rFonts w:hint="default" w:ascii="Times New Roman" w:hAnsi="Times New Roman" w:eastAsia="仿宋_GB2312" w:cs="Times New Roman"/>
          <w:i w:val="0"/>
          <w:iCs w:val="0"/>
          <w:caps w:val="0"/>
          <w:color w:val="auto"/>
          <w:spacing w:val="0"/>
          <w:sz w:val="32"/>
          <w:szCs w:val="32"/>
          <w:highlight w:val="none"/>
          <w:u w:val="none" w:color="auto"/>
          <w:shd w:val="clear" w:fill="auto"/>
          <w:lang w:eastAsia="zh-CN"/>
        </w:rPr>
        <w:t>。</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引导制造、商贸、金融等企业，依托物流通道和枢纽站点，发展供应链库存管理、生产线物流等新模式，满足敏捷制造、准时生产等精益化生产需要。</w:t>
      </w:r>
      <w:r>
        <w:rPr>
          <w:rFonts w:hint="default" w:ascii="Times New Roman" w:hAnsi="Times New Roman" w:eastAsia="仿宋_GB2312" w:cs="Times New Roman"/>
          <w:b w:val="0"/>
          <w:bCs w:val="0"/>
          <w:color w:val="auto"/>
          <w:sz w:val="32"/>
          <w:szCs w:val="32"/>
          <w:highlight w:val="none"/>
          <w:u w:val="none" w:color="auto"/>
          <w:lang w:val="en-US" w:eastAsia="zh-CN"/>
        </w:rPr>
        <w:t>依托阳泉国际陆港集团</w:t>
      </w:r>
      <w:r>
        <w:rPr>
          <w:rFonts w:hint="default" w:ascii="Times New Roman" w:hAnsi="Times New Roman" w:eastAsia="仿宋_GB2312" w:cs="Times New Roman"/>
          <w:color w:val="auto"/>
          <w:kern w:val="2"/>
          <w:sz w:val="32"/>
          <w:szCs w:val="32"/>
          <w:highlight w:val="none"/>
          <w:u w:val="none" w:color="auto"/>
          <w:lang w:val="en-US" w:eastAsia="zh-CN" w:bidi="ar-SA"/>
        </w:rPr>
        <w:t>，开展多式联运示范工程</w:t>
      </w: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default" w:ascii="Times New Roman" w:hAnsi="Times New Roman" w:eastAsia="仿宋_GB2312" w:cs="Times New Roman"/>
          <w:color w:val="auto"/>
          <w:kern w:val="2"/>
          <w:sz w:val="32"/>
          <w:szCs w:val="32"/>
          <w:highlight w:val="none"/>
          <w:u w:val="none" w:color="auto"/>
          <w:lang w:val="en-US" w:eastAsia="zh-CN" w:bidi="ar-SA"/>
        </w:rPr>
        <w:t>引导企业推行全程“一次委托”、运单“一单到底”、结算“一次收取”等服务方式。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lang w:val="en-US" w:eastAsia="zh-CN"/>
        </w:rPr>
      </w:pPr>
      <w:bookmarkStart w:id="994" w:name="_Toc26535"/>
      <w:bookmarkStart w:id="995" w:name="_Toc8051"/>
      <w:bookmarkStart w:id="996" w:name="_Toc11458"/>
      <w:bookmarkStart w:id="997" w:name="_Toc30992"/>
      <w:bookmarkStart w:id="998" w:name="_Toc3053"/>
      <w:bookmarkStart w:id="999" w:name="_Toc8205"/>
      <w:bookmarkStart w:id="1000" w:name="_Toc27086"/>
      <w:bookmarkStart w:id="1001" w:name="_Toc8204"/>
      <w:bookmarkStart w:id="1002" w:name="_Toc32467"/>
      <w:bookmarkStart w:id="1003" w:name="_Toc26447"/>
      <w:bookmarkStart w:id="1004" w:name="_Toc30990"/>
      <w:bookmarkStart w:id="1005" w:name="_Toc6922"/>
      <w:bookmarkStart w:id="1006" w:name="_Toc16830"/>
      <w:bookmarkStart w:id="1007" w:name="_Toc18297"/>
      <w:bookmarkStart w:id="1008" w:name="_Toc2302"/>
      <w:bookmarkStart w:id="1009" w:name="_Toc29160"/>
      <w:bookmarkStart w:id="1010" w:name="_Toc4293"/>
      <w:bookmarkStart w:id="1011" w:name="_Toc2965"/>
      <w:bookmarkStart w:id="1012" w:name="_Toc6760"/>
      <w:bookmarkStart w:id="1013" w:name="_Toc24221"/>
      <w:bookmarkStart w:id="1014" w:name="_Toc8355"/>
      <w:bookmarkStart w:id="1015" w:name="_Toc10961"/>
      <w:r>
        <w:rPr>
          <w:rFonts w:hint="default" w:ascii="Times New Roman" w:hAnsi="Times New Roman" w:eastAsia="黑体" w:cs="Times New Roman"/>
          <w:b w:val="0"/>
          <w:bCs w:val="0"/>
          <w:color w:val="auto"/>
          <w:sz w:val="32"/>
          <w:szCs w:val="32"/>
          <w:highlight w:val="none"/>
          <w:lang w:val="en-US" w:eastAsia="zh-CN"/>
        </w:rPr>
        <w:t>九、大力发展绿色物流</w:t>
      </w:r>
      <w:bookmarkEnd w:id="886"/>
      <w:bookmarkEnd w:id="887"/>
      <w:bookmarkEnd w:id="888"/>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i w:val="0"/>
          <w:caps w:val="0"/>
          <w:color w:val="auto"/>
          <w:spacing w:val="0"/>
          <w:kern w:val="2"/>
          <w:sz w:val="32"/>
          <w:szCs w:val="32"/>
          <w:highlight w:val="none"/>
          <w:shd w:val="clear"/>
          <w:lang w:eastAsia="zh-CN" w:bidi="ar-SA"/>
        </w:rPr>
        <w:t>积极发展绿色运输、绿色包装和逆向物流，推广</w:t>
      </w:r>
      <w:r>
        <w:rPr>
          <w:rFonts w:hint="default" w:ascii="Times New Roman" w:hAnsi="Times New Roman" w:eastAsia="仿宋_GB2312" w:cs="Times New Roman"/>
          <w:i w:val="0"/>
          <w:caps w:val="0"/>
          <w:color w:val="auto"/>
          <w:spacing w:val="0"/>
          <w:kern w:val="2"/>
          <w:sz w:val="32"/>
          <w:szCs w:val="32"/>
          <w:highlight w:val="none"/>
          <w:shd w:val="clear"/>
          <w:lang w:bidi="ar-SA"/>
        </w:rPr>
        <w:t>应用节能环保设施装备和先进高效的运输组织方式，</w:t>
      </w:r>
      <w:r>
        <w:rPr>
          <w:rFonts w:hint="default" w:ascii="Times New Roman" w:hAnsi="Times New Roman" w:eastAsia="仿宋_GB2312" w:cs="Times New Roman"/>
          <w:i w:val="0"/>
          <w:caps w:val="0"/>
          <w:color w:val="auto"/>
          <w:spacing w:val="0"/>
          <w:kern w:val="2"/>
          <w:sz w:val="32"/>
          <w:szCs w:val="32"/>
          <w:highlight w:val="none"/>
          <w:shd w:val="clear"/>
          <w:lang w:eastAsia="zh-CN" w:bidi="ar-SA"/>
        </w:rPr>
        <w:t>推动绿色物流成为现代物流产业发展的内在需要和基本模式，</w:t>
      </w:r>
      <w:r>
        <w:rPr>
          <w:rFonts w:hint="default" w:ascii="Times New Roman" w:hAnsi="Times New Roman" w:eastAsia="仿宋_GB2312" w:cs="Times New Roman"/>
          <w:i w:val="0"/>
          <w:caps w:val="0"/>
          <w:color w:val="auto"/>
          <w:spacing w:val="0"/>
          <w:kern w:val="2"/>
          <w:sz w:val="32"/>
          <w:szCs w:val="32"/>
          <w:highlight w:val="none"/>
          <w:shd w:val="clear" w:fill="auto"/>
          <w:lang w:bidi="ar-SA"/>
        </w:rPr>
        <w:t>不断提升物流产业可持续发展水平。</w:t>
      </w:r>
    </w:p>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42" w:firstLineChars="200"/>
        <w:jc w:val="both"/>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1016" w:name="_Toc3143"/>
      <w:bookmarkStart w:id="1017" w:name="_Toc6814"/>
      <w:bookmarkStart w:id="1018" w:name="_Toc26169"/>
      <w:bookmarkStart w:id="1019" w:name="_Toc30094"/>
      <w:bookmarkStart w:id="1020" w:name="_Toc14126"/>
      <w:bookmarkStart w:id="1021" w:name="_Toc25486"/>
      <w:bookmarkStart w:id="1022" w:name="_Toc8056"/>
      <w:bookmarkStart w:id="1023" w:name="_Toc23648"/>
      <w:bookmarkStart w:id="1024" w:name="_Toc18980"/>
      <w:bookmarkStart w:id="1025" w:name="_Toc722"/>
      <w:bookmarkStart w:id="1026" w:name="_Toc32750"/>
      <w:bookmarkStart w:id="1027" w:name="_Toc16287"/>
      <w:bookmarkStart w:id="1028" w:name="_Toc25357"/>
      <w:bookmarkStart w:id="1029" w:name="_Toc4012"/>
      <w:bookmarkStart w:id="1030" w:name="_Toc2649"/>
      <w:bookmarkStart w:id="1031" w:name="_Toc6862"/>
      <w:bookmarkStart w:id="1032" w:name="_Toc27281"/>
      <w:bookmarkStart w:id="1033" w:name="_Toc550"/>
      <w:bookmarkStart w:id="1034" w:name="_Toc5923"/>
      <w:bookmarkStart w:id="1035" w:name="_Toc366"/>
      <w:bookmarkStart w:id="1036" w:name="_Toc15938"/>
      <w:bookmarkStart w:id="1037" w:name="_Toc6329"/>
      <w:bookmarkStart w:id="1038" w:name="_Toc9590"/>
      <w:bookmarkStart w:id="1039" w:name="_Toc5641"/>
      <w:bookmarkStart w:id="1040" w:name="_Toc3732"/>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（一）创新绿色物流运输模式</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引导天成物流、通宝鑫能、合瑞源等企业对内大力推广电动转运卡车、生物能源车、LNG卡车及电动搬运工具，对外大力</w:t>
      </w:r>
      <w:r>
        <w:rPr>
          <w:rFonts w:hint="default" w:ascii="Times New Roman" w:hAnsi="Times New Roman" w:eastAsia="仿宋_GB2312" w:cs="Times New Roman"/>
          <w:color w:val="auto"/>
          <w:sz w:val="32"/>
          <w:szCs w:val="32"/>
          <w:highlight w:val="none"/>
          <w:lang w:val="en-US" w:eastAsia="zh-CN"/>
        </w:rPr>
        <w:t>发展多式联运、甩挂运输等先进物流运输模式，提高物流储运工具信息化水平。</w:t>
      </w:r>
      <w:r>
        <w:rPr>
          <w:rFonts w:hint="default" w:ascii="Times New Roman" w:hAnsi="Times New Roman" w:eastAsia="仿宋_GB2312" w:cs="Times New Roman"/>
          <w:color w:val="auto"/>
          <w:sz w:val="32"/>
          <w:szCs w:val="32"/>
          <w:highlight w:val="none"/>
          <w:lang w:eastAsia="zh-CN"/>
        </w:rPr>
        <w:t>建设绿色货运配送网络，鼓励邮政快递企业、城市配送企业推广统一配送、集中配送、共同配送、夜间配送等集约化运输组织模式，</w:t>
      </w:r>
      <w:r>
        <w:rPr>
          <w:rFonts w:hint="default" w:ascii="Times New Roman" w:hAnsi="Times New Roman" w:eastAsia="仿宋_GB2312" w:cs="Times New Roman"/>
          <w:color w:val="auto"/>
          <w:kern w:val="2"/>
          <w:sz w:val="32"/>
          <w:szCs w:val="32"/>
          <w:highlight w:val="none"/>
          <w:lang w:val="en-US" w:eastAsia="zh-CN" w:bidi="ar"/>
        </w:rPr>
        <w:t>减少返空率，提高车辆装载率。</w:t>
      </w:r>
      <w:r>
        <w:rPr>
          <w:rFonts w:hint="default" w:ascii="Times New Roman" w:hAnsi="Times New Roman" w:eastAsia="仿宋_GB2312" w:cs="Times New Roman"/>
          <w:color w:val="auto"/>
          <w:sz w:val="32"/>
          <w:szCs w:val="32"/>
          <w:highlight w:val="none"/>
          <w:lang w:eastAsia="zh-CN"/>
        </w:rPr>
        <w:t>鼓励城市配送车辆应用LNG动力系统和清洁能源。持续推进大宗货物运输“公转铁”，深化山西（阳泉）国际陆港、石铁货运白羊墅站与天津港等铁路、港口口岸合作，建立稳定的海铁联运线路。</w:t>
      </w:r>
      <w:r>
        <w:rPr>
          <w:rFonts w:hint="default" w:ascii="Times New Roman" w:hAnsi="Times New Roman" w:eastAsia="仿宋_GB2312" w:cs="Times New Roman"/>
          <w:color w:val="auto"/>
          <w:sz w:val="32"/>
          <w:szCs w:val="32"/>
          <w:highlight w:val="none"/>
        </w:rPr>
        <w:t>建设公路货运领域节能减排能耗远程在线监测、统计与评价系统，合理规划运输线路。</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1041" w:name="_Toc14515"/>
      <w:bookmarkStart w:id="1042" w:name="_Toc9837"/>
      <w:bookmarkStart w:id="1043" w:name="_Toc16272"/>
      <w:bookmarkStart w:id="1044" w:name="_Toc27784"/>
      <w:bookmarkStart w:id="1045" w:name="_Toc4961"/>
      <w:bookmarkStart w:id="1046" w:name="_Toc654"/>
      <w:bookmarkStart w:id="1047" w:name="_Toc25790"/>
      <w:bookmarkStart w:id="1048" w:name="_Toc32425"/>
      <w:bookmarkStart w:id="1049" w:name="_Toc11562"/>
      <w:bookmarkStart w:id="1050" w:name="_Toc29791"/>
      <w:bookmarkStart w:id="1051" w:name="_Toc15931"/>
      <w:bookmarkStart w:id="1052" w:name="_Toc30222"/>
      <w:bookmarkStart w:id="1053" w:name="_Toc12782"/>
      <w:bookmarkStart w:id="1054" w:name="_Toc18565"/>
      <w:bookmarkStart w:id="1055" w:name="_Toc16654"/>
      <w:bookmarkStart w:id="1056" w:name="_Toc30090"/>
      <w:bookmarkStart w:id="1057" w:name="_Toc14218"/>
      <w:bookmarkStart w:id="1058" w:name="_Toc15359"/>
      <w:bookmarkStart w:id="1059" w:name="_Toc25573"/>
      <w:bookmarkStart w:id="1060" w:name="_Toc4937"/>
      <w:bookmarkStart w:id="1061" w:name="_Toc28619"/>
      <w:bookmarkStart w:id="1062" w:name="_Toc6266"/>
      <w:bookmarkStart w:id="1063" w:name="_Toc32345"/>
      <w:bookmarkStart w:id="1064" w:name="_Toc13235"/>
      <w:bookmarkStart w:id="1065" w:name="_Toc25150"/>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（二）积极发展绿色供应链</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鼓励</w:t>
      </w:r>
      <w:r>
        <w:rPr>
          <w:rFonts w:hint="default" w:ascii="Times New Roman" w:hAnsi="Times New Roman" w:eastAsia="仿宋_GB2312" w:cs="Times New Roman"/>
          <w:color w:val="auto"/>
          <w:sz w:val="32"/>
          <w:szCs w:val="32"/>
          <w:highlight w:val="none"/>
          <w:lang w:eastAsia="zh-CN"/>
        </w:rPr>
        <w:t>重点物流园区和企业建设</w:t>
      </w:r>
      <w:r>
        <w:rPr>
          <w:rFonts w:hint="default" w:ascii="Times New Roman" w:hAnsi="Times New Roman" w:eastAsia="仿宋_GB2312" w:cs="Times New Roman"/>
          <w:color w:val="auto"/>
          <w:sz w:val="32"/>
          <w:szCs w:val="32"/>
          <w:highlight w:val="none"/>
        </w:rPr>
        <w:t>节能型</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i w:val="0"/>
          <w:caps w:val="0"/>
          <w:color w:val="auto"/>
          <w:spacing w:val="0"/>
          <w:sz w:val="32"/>
          <w:szCs w:val="32"/>
          <w:highlight w:val="none"/>
          <w:shd w:val="clear" w:fill="auto"/>
        </w:rPr>
        <w:t>智能化</w:t>
      </w:r>
      <w:r>
        <w:rPr>
          <w:rFonts w:hint="default" w:ascii="Times New Roman" w:hAnsi="Times New Roman" w:eastAsia="仿宋_GB2312" w:cs="Times New Roman"/>
          <w:color w:val="auto"/>
          <w:sz w:val="32"/>
          <w:szCs w:val="32"/>
          <w:highlight w:val="none"/>
        </w:rPr>
        <w:t>仓储设施，</w:t>
      </w:r>
      <w:r>
        <w:rPr>
          <w:rFonts w:hint="default" w:ascii="Times New Roman" w:hAnsi="Times New Roman" w:eastAsia="仿宋_GB2312" w:cs="Times New Roman"/>
          <w:color w:val="auto"/>
          <w:sz w:val="32"/>
          <w:szCs w:val="32"/>
          <w:highlight w:val="none"/>
          <w:lang w:eastAsia="zh-CN"/>
        </w:rPr>
        <w:t>应用</w:t>
      </w:r>
      <w:r>
        <w:rPr>
          <w:rFonts w:hint="default" w:ascii="Times New Roman" w:hAnsi="Times New Roman" w:eastAsia="仿宋_GB2312" w:cs="Times New Roman"/>
          <w:i w:val="0"/>
          <w:caps w:val="0"/>
          <w:color w:val="auto"/>
          <w:spacing w:val="0"/>
          <w:sz w:val="32"/>
          <w:szCs w:val="32"/>
          <w:highlight w:val="none"/>
          <w:shd w:val="clear" w:fill="auto"/>
        </w:rPr>
        <w:t>节能环保仓储设备</w:t>
      </w:r>
      <w:r>
        <w:rPr>
          <w:rFonts w:hint="default" w:ascii="Times New Roman" w:hAnsi="Times New Roman" w:eastAsia="仿宋_GB2312" w:cs="Times New Roman"/>
          <w:i w:val="0"/>
          <w:caps w:val="0"/>
          <w:color w:val="auto"/>
          <w:spacing w:val="0"/>
          <w:sz w:val="32"/>
          <w:szCs w:val="32"/>
          <w:highlight w:val="none"/>
          <w:shd w:val="clear" w:fill="auto"/>
          <w:lang w:eastAsia="zh-CN"/>
        </w:rPr>
        <w:t>、</w:t>
      </w:r>
      <w:r>
        <w:rPr>
          <w:rFonts w:hint="default" w:ascii="Times New Roman" w:hAnsi="Times New Roman" w:eastAsia="仿宋_GB2312" w:cs="Times New Roman"/>
          <w:i w:val="0"/>
          <w:caps w:val="0"/>
          <w:color w:val="auto"/>
          <w:spacing w:val="0"/>
          <w:sz w:val="32"/>
          <w:szCs w:val="32"/>
          <w:highlight w:val="none"/>
          <w:shd w:val="clear" w:fill="auto"/>
        </w:rPr>
        <w:t>无线射频、自动分拣等先进技术，提高仓储作业效率。</w:t>
      </w:r>
      <w:r>
        <w:rPr>
          <w:rFonts w:hint="default" w:ascii="Times New Roman" w:hAnsi="Times New Roman" w:eastAsia="仿宋_GB2312" w:cs="Times New Roman"/>
          <w:color w:val="auto"/>
          <w:sz w:val="32"/>
          <w:szCs w:val="32"/>
          <w:highlight w:val="none"/>
        </w:rPr>
        <w:t>深入推动货物包装和物流器具绿色化、减量化，鼓励企业研发使用可循环</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可降解的绿色</w:t>
      </w:r>
      <w:r>
        <w:rPr>
          <w:rFonts w:hint="default" w:ascii="Times New Roman" w:hAnsi="Times New Roman" w:eastAsia="仿宋_GB2312" w:cs="Times New Roman"/>
          <w:color w:val="auto"/>
          <w:sz w:val="32"/>
          <w:szCs w:val="32"/>
          <w:highlight w:val="none"/>
          <w:lang w:eastAsia="zh-CN"/>
        </w:rPr>
        <w:t>包装材料，</w:t>
      </w:r>
      <w:r>
        <w:rPr>
          <w:rFonts w:hint="default" w:ascii="Times New Roman" w:hAnsi="Times New Roman" w:eastAsia="仿宋_GB2312" w:cs="Times New Roman"/>
          <w:color w:val="auto"/>
          <w:sz w:val="32"/>
          <w:szCs w:val="32"/>
          <w:highlight w:val="none"/>
          <w:lang w:val="en-US" w:eastAsia="zh-CN"/>
        </w:rPr>
        <w:t>带动上下游企业发展绿色供应链</w:t>
      </w:r>
      <w:r>
        <w:rPr>
          <w:rFonts w:hint="default" w:ascii="Times New Roman" w:hAnsi="Times New Roman" w:eastAsia="仿宋_GB2312" w:cs="Times New Roman"/>
          <w:color w:val="auto"/>
          <w:sz w:val="32"/>
          <w:szCs w:val="32"/>
          <w:highlight w:val="none"/>
        </w:rPr>
        <w:t>。鼓励物流企业建立电动投递车队，开展电动半挂车、电动三轮车等绿色载具</w:t>
      </w:r>
      <w:r>
        <w:rPr>
          <w:rFonts w:hint="default" w:ascii="Times New Roman" w:hAnsi="Times New Roman" w:eastAsia="仿宋_GB2312" w:cs="Times New Roman"/>
          <w:color w:val="auto"/>
          <w:sz w:val="32"/>
          <w:szCs w:val="32"/>
          <w:highlight w:val="none"/>
          <w:lang w:eastAsia="zh-CN"/>
        </w:rPr>
        <w:t>应用，</w:t>
      </w:r>
      <w:r>
        <w:rPr>
          <w:rFonts w:hint="default" w:ascii="Times New Roman" w:hAnsi="Times New Roman" w:eastAsia="仿宋_GB2312" w:cs="Times New Roman"/>
          <w:color w:val="auto"/>
          <w:sz w:val="32"/>
          <w:szCs w:val="32"/>
          <w:highlight w:val="none"/>
          <w:lang w:val="en-US" w:eastAsia="zh-CN"/>
        </w:rPr>
        <w:t>推广甩挂运输、集装箱运输、托盘化单元装载和智能化管理技术，提高物流效率，降低储运损耗。</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1066" w:name="_Toc26025"/>
      <w:bookmarkStart w:id="1067" w:name="_Toc14984"/>
      <w:bookmarkStart w:id="1068" w:name="_Toc2388"/>
      <w:bookmarkStart w:id="1069" w:name="_Toc18197"/>
      <w:bookmarkStart w:id="1070" w:name="_Toc9462"/>
      <w:bookmarkStart w:id="1071" w:name="_Toc13365"/>
      <w:bookmarkStart w:id="1072" w:name="_Toc23778"/>
      <w:bookmarkStart w:id="1073" w:name="_Toc3504"/>
      <w:bookmarkStart w:id="1074" w:name="_Toc24975"/>
      <w:bookmarkStart w:id="1075" w:name="_Toc26793"/>
      <w:bookmarkStart w:id="1076" w:name="_Toc12862"/>
      <w:bookmarkStart w:id="1077" w:name="_Toc416"/>
      <w:bookmarkStart w:id="1078" w:name="_Toc29386"/>
      <w:bookmarkStart w:id="1079" w:name="_Toc30433"/>
      <w:bookmarkStart w:id="1080" w:name="_Toc9017"/>
      <w:bookmarkStart w:id="1081" w:name="_Toc5462"/>
      <w:bookmarkStart w:id="1082" w:name="_Toc8667"/>
      <w:bookmarkStart w:id="1083" w:name="_Toc11017"/>
      <w:bookmarkStart w:id="1084" w:name="_Toc22553"/>
      <w:bookmarkStart w:id="1085" w:name="_Toc21290"/>
      <w:bookmarkStart w:id="1086" w:name="_Toc18426"/>
      <w:bookmarkStart w:id="1087" w:name="_Toc20054"/>
      <w:bookmarkStart w:id="1088" w:name="_Toc22125"/>
      <w:bookmarkStart w:id="1089" w:name="_Toc24925"/>
      <w:bookmarkStart w:id="1090" w:name="_Toc6311"/>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（三）培育发展回收循环物流</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right="0" w:firstLine="640" w:firstLineChars="200"/>
        <w:jc w:val="both"/>
        <w:textAlignment w:val="auto"/>
        <w:outlineLvl w:val="9"/>
        <w:rPr>
          <w:rFonts w:hint="default" w:ascii="Times New Roman" w:hAnsi="Times New Roman" w:eastAsia="仿宋_GB2312" w:cs="Times New Roman"/>
          <w:color w:val="auto"/>
          <w:kern w:val="2"/>
          <w:sz w:val="32"/>
          <w:szCs w:val="32"/>
          <w:highlight w:val="none"/>
          <w:u w:val="none" w:color="auto"/>
          <w:lang w:val="en-US" w:eastAsia="zh-CN" w:bidi="ar-SA"/>
        </w:rPr>
      </w:pPr>
      <w:r>
        <w:rPr>
          <w:rFonts w:hint="default" w:ascii="Times New Roman" w:hAnsi="Times New Roman" w:eastAsia="仿宋_GB2312" w:cs="Times New Roman"/>
          <w:color w:val="auto"/>
          <w:sz w:val="32"/>
          <w:szCs w:val="32"/>
          <w:highlight w:val="none"/>
          <w:u w:val="none" w:color="auto"/>
        </w:rPr>
        <w:t>创新工业废物循环利用</w:t>
      </w:r>
      <w:r>
        <w:rPr>
          <w:rFonts w:hint="default" w:ascii="Times New Roman" w:hAnsi="Times New Roman" w:eastAsia="仿宋_GB2312" w:cs="Times New Roman"/>
          <w:color w:val="auto"/>
          <w:sz w:val="32"/>
          <w:szCs w:val="32"/>
          <w:highlight w:val="none"/>
          <w:u w:val="none" w:color="auto"/>
          <w:lang w:eastAsia="zh-CN"/>
        </w:rPr>
        <w:t>方式，</w:t>
      </w:r>
      <w:r>
        <w:rPr>
          <w:rFonts w:hint="default" w:ascii="Times New Roman" w:hAnsi="Times New Roman" w:eastAsia="仿宋_GB2312" w:cs="Times New Roman"/>
          <w:color w:val="auto"/>
          <w:kern w:val="2"/>
          <w:sz w:val="32"/>
          <w:szCs w:val="32"/>
          <w:highlight w:val="none"/>
          <w:u w:val="none" w:color="auto"/>
          <w:lang w:bidi="ar-SA"/>
        </w:rPr>
        <w:t>鼓励工业物流企业与冶炼企业、制造企业</w:t>
      </w:r>
      <w:r>
        <w:rPr>
          <w:rFonts w:hint="default" w:ascii="Times New Roman" w:hAnsi="Times New Roman" w:eastAsia="仿宋_GB2312" w:cs="Times New Roman"/>
          <w:color w:val="auto"/>
          <w:sz w:val="32"/>
          <w:szCs w:val="32"/>
          <w:highlight w:val="none"/>
          <w:u w:val="none" w:color="auto"/>
          <w:lang w:eastAsia="zh-CN"/>
        </w:rPr>
        <w:t>开展第三方</w:t>
      </w:r>
      <w:r>
        <w:rPr>
          <w:rFonts w:hint="default" w:ascii="Times New Roman" w:hAnsi="Times New Roman" w:eastAsia="仿宋_GB2312" w:cs="Times New Roman"/>
          <w:color w:val="auto"/>
          <w:sz w:val="32"/>
          <w:szCs w:val="32"/>
          <w:highlight w:val="none"/>
          <w:u w:val="none" w:color="auto"/>
        </w:rPr>
        <w:t>废弃物资回收</w:t>
      </w:r>
      <w:r>
        <w:rPr>
          <w:rFonts w:hint="default" w:ascii="Times New Roman" w:hAnsi="Times New Roman" w:eastAsia="仿宋_GB2312" w:cs="Times New Roman"/>
          <w:color w:val="auto"/>
          <w:sz w:val="32"/>
          <w:szCs w:val="32"/>
          <w:highlight w:val="none"/>
          <w:u w:val="none" w:color="auto"/>
          <w:lang w:eastAsia="zh-CN"/>
        </w:rPr>
        <w:t>利用，</w:t>
      </w:r>
      <w:r>
        <w:rPr>
          <w:rFonts w:hint="default" w:ascii="Times New Roman" w:hAnsi="Times New Roman" w:eastAsia="仿宋_GB2312" w:cs="Times New Roman"/>
          <w:i w:val="0"/>
          <w:caps w:val="0"/>
          <w:color w:val="auto"/>
          <w:spacing w:val="0"/>
          <w:sz w:val="32"/>
          <w:szCs w:val="32"/>
          <w:highlight w:val="none"/>
          <w:shd w:val="clear" w:fill="FFFFFF"/>
        </w:rPr>
        <w:t>形成“回收—转运—加工—循环再利用”的物流体系</w:t>
      </w:r>
      <w:r>
        <w:rPr>
          <w:rFonts w:hint="default" w:ascii="Times New Roman" w:hAnsi="Times New Roman" w:eastAsia="仿宋_GB2312" w:cs="Times New Roman"/>
          <w:color w:val="auto"/>
          <w:sz w:val="32"/>
          <w:szCs w:val="32"/>
          <w:highlight w:val="none"/>
          <w:u w:val="none" w:color="auto"/>
          <w:lang w:eastAsia="zh-CN"/>
        </w:rPr>
        <w:t>。鼓励</w:t>
      </w:r>
      <w:r>
        <w:rPr>
          <w:rFonts w:hint="default" w:ascii="Times New Roman" w:hAnsi="Times New Roman" w:eastAsia="仿宋_GB2312" w:cs="Times New Roman"/>
          <w:color w:val="auto"/>
          <w:sz w:val="32"/>
          <w:szCs w:val="32"/>
          <w:highlight w:val="none"/>
          <w:u w:val="none" w:color="auto"/>
        </w:rPr>
        <w:t>回收物流及加工企业进入工业园区，推进清洁生产，实现集中生产、废水集中处理。</w:t>
      </w:r>
      <w:r>
        <w:rPr>
          <w:rFonts w:hint="default" w:ascii="Times New Roman" w:hAnsi="Times New Roman" w:eastAsia="仿宋_GB2312" w:cs="Times New Roman"/>
          <w:color w:val="auto"/>
          <w:kern w:val="2"/>
          <w:sz w:val="32"/>
          <w:szCs w:val="32"/>
          <w:highlight w:val="none"/>
          <w:u w:val="none" w:color="auto"/>
          <w:lang w:bidi="ar-SA"/>
        </w:rPr>
        <w:t>开展回收物流</w:t>
      </w:r>
      <w:r>
        <w:rPr>
          <w:rFonts w:hint="default" w:ascii="Times New Roman" w:hAnsi="Times New Roman" w:eastAsia="仿宋_GB2312" w:cs="Times New Roman"/>
          <w:color w:val="auto"/>
          <w:kern w:val="2"/>
          <w:sz w:val="32"/>
          <w:szCs w:val="32"/>
          <w:highlight w:val="none"/>
          <w:u w:val="none" w:color="auto"/>
          <w:lang w:eastAsia="zh-CN" w:bidi="ar-SA"/>
        </w:rPr>
        <w:t>示范</w:t>
      </w:r>
      <w:r>
        <w:rPr>
          <w:rFonts w:hint="default" w:ascii="Times New Roman" w:hAnsi="Times New Roman" w:eastAsia="仿宋_GB2312" w:cs="Times New Roman"/>
          <w:color w:val="auto"/>
          <w:kern w:val="2"/>
          <w:sz w:val="32"/>
          <w:szCs w:val="32"/>
          <w:highlight w:val="none"/>
          <w:u w:val="none" w:color="auto"/>
          <w:lang w:bidi="ar-SA"/>
        </w:rPr>
        <w:t>试点</w:t>
      </w:r>
      <w:r>
        <w:rPr>
          <w:rFonts w:hint="default" w:ascii="Times New Roman" w:hAnsi="Times New Roman" w:eastAsia="仿宋_GB2312" w:cs="Times New Roman"/>
          <w:color w:val="auto"/>
          <w:kern w:val="2"/>
          <w:sz w:val="32"/>
          <w:szCs w:val="32"/>
          <w:highlight w:val="none"/>
          <w:u w:val="none" w:color="auto"/>
          <w:lang w:eastAsia="zh-CN" w:bidi="ar-SA"/>
        </w:rPr>
        <w:t>，引导华阳新材料科技集团</w:t>
      </w:r>
      <w:r>
        <w:rPr>
          <w:rFonts w:hint="default" w:ascii="Times New Roman" w:hAnsi="Times New Roman" w:eastAsia="仿宋_GB2312" w:cs="Times New Roman"/>
          <w:color w:val="auto"/>
          <w:kern w:val="2"/>
          <w:sz w:val="32"/>
          <w:szCs w:val="32"/>
          <w:highlight w:val="none"/>
          <w:u w:val="none" w:color="auto"/>
          <w:lang w:bidi="ar-SA"/>
        </w:rPr>
        <w:t>等企业依托先进技术，</w:t>
      </w:r>
      <w:r>
        <w:rPr>
          <w:rFonts w:hint="default" w:ascii="Times New Roman" w:hAnsi="Times New Roman" w:eastAsia="仿宋_GB2312" w:cs="Times New Roman"/>
          <w:color w:val="auto"/>
          <w:kern w:val="2"/>
          <w:sz w:val="32"/>
          <w:szCs w:val="32"/>
          <w:highlight w:val="none"/>
          <w:u w:val="none" w:color="auto"/>
          <w:lang w:eastAsia="zh-CN" w:bidi="ar-SA"/>
        </w:rPr>
        <w:t>开展</w:t>
      </w:r>
      <w:r>
        <w:rPr>
          <w:rFonts w:hint="default" w:ascii="Times New Roman" w:hAnsi="Times New Roman" w:eastAsia="仿宋_GB2312" w:cs="Times New Roman"/>
          <w:color w:val="auto"/>
          <w:kern w:val="2"/>
          <w:sz w:val="32"/>
          <w:szCs w:val="32"/>
          <w:highlight w:val="none"/>
          <w:u w:val="none" w:color="auto"/>
          <w:lang w:bidi="ar-SA"/>
        </w:rPr>
        <w:t>矿业废渣综合利用</w:t>
      </w:r>
      <w:r>
        <w:rPr>
          <w:rFonts w:hint="default" w:ascii="Times New Roman" w:hAnsi="Times New Roman" w:eastAsia="仿宋_GB2312" w:cs="Times New Roman"/>
          <w:color w:val="auto"/>
          <w:kern w:val="2"/>
          <w:sz w:val="32"/>
          <w:szCs w:val="32"/>
          <w:highlight w:val="none"/>
          <w:u w:val="none" w:color="auto"/>
          <w:lang w:eastAsia="zh-CN" w:bidi="ar-SA"/>
        </w:rPr>
        <w:t>和</w:t>
      </w:r>
      <w:r>
        <w:rPr>
          <w:rFonts w:hint="default" w:ascii="Times New Roman" w:hAnsi="Times New Roman" w:eastAsia="仿宋_GB2312" w:cs="Times New Roman"/>
          <w:color w:val="auto"/>
          <w:kern w:val="2"/>
          <w:sz w:val="32"/>
          <w:szCs w:val="32"/>
          <w:highlight w:val="none"/>
          <w:u w:val="none" w:color="auto"/>
          <w:lang w:bidi="ar-SA"/>
        </w:rPr>
        <w:t>回收物流试点</w:t>
      </w:r>
      <w:r>
        <w:rPr>
          <w:rFonts w:hint="default" w:ascii="Times New Roman" w:hAnsi="Times New Roman" w:eastAsia="仿宋_GB2312" w:cs="Times New Roman"/>
          <w:color w:val="auto"/>
          <w:kern w:val="2"/>
          <w:sz w:val="32"/>
          <w:szCs w:val="32"/>
          <w:highlight w:val="none"/>
          <w:u w:val="none" w:color="auto"/>
          <w:lang w:eastAsia="zh-CN" w:bidi="ar-SA"/>
        </w:rPr>
        <w:t>。</w:t>
      </w:r>
      <w:r>
        <w:rPr>
          <w:rFonts w:hint="default" w:ascii="Times New Roman" w:hAnsi="Times New Roman" w:eastAsia="仿宋_GB2312" w:cs="Times New Roman"/>
          <w:color w:val="auto"/>
          <w:sz w:val="32"/>
          <w:szCs w:val="32"/>
          <w:highlight w:val="none"/>
          <w:lang w:eastAsia="zh-CN"/>
        </w:rPr>
        <w:t>支持寄递企业使用低重高强包装箱，全面推广应用“瘦身胶带”，试点应用免胶带纸箱。</w:t>
      </w:r>
      <w:r>
        <w:rPr>
          <w:rFonts w:hint="default" w:ascii="Times New Roman" w:hAnsi="Times New Roman" w:eastAsia="仿宋_GB2312" w:cs="Times New Roman"/>
          <w:color w:val="auto"/>
          <w:kern w:val="2"/>
          <w:sz w:val="32"/>
          <w:szCs w:val="32"/>
          <w:highlight w:val="none"/>
          <w:u w:val="none" w:color="auto"/>
          <w:lang w:bidi="ar-SA"/>
        </w:rPr>
        <w:t>多措并举</w:t>
      </w:r>
      <w:r>
        <w:rPr>
          <w:rFonts w:hint="default" w:ascii="Times New Roman" w:hAnsi="Times New Roman" w:eastAsia="仿宋_GB2312" w:cs="Times New Roman"/>
          <w:color w:val="auto"/>
          <w:kern w:val="2"/>
          <w:sz w:val="32"/>
          <w:szCs w:val="32"/>
          <w:highlight w:val="none"/>
          <w:u w:val="none" w:color="auto"/>
          <w:lang w:eastAsia="zh-CN" w:bidi="ar-SA"/>
        </w:rPr>
        <w:t>推广</w:t>
      </w:r>
      <w:r>
        <w:rPr>
          <w:rFonts w:hint="default" w:ascii="Times New Roman" w:hAnsi="Times New Roman" w:eastAsia="仿宋_GB2312" w:cs="Times New Roman"/>
          <w:color w:val="auto"/>
          <w:kern w:val="2"/>
          <w:sz w:val="32"/>
          <w:szCs w:val="32"/>
          <w:highlight w:val="none"/>
          <w:u w:val="none" w:color="auto"/>
          <w:lang w:bidi="ar-SA"/>
        </w:rPr>
        <w:t>包装物回收“逆向物流”模式，</w:t>
      </w:r>
      <w:r>
        <w:rPr>
          <w:rFonts w:hint="default" w:ascii="Times New Roman" w:hAnsi="Times New Roman" w:eastAsia="仿宋_GB2312" w:cs="Times New Roman"/>
          <w:b w:val="0"/>
          <w:bCs w:val="0"/>
          <w:color w:val="auto"/>
          <w:kern w:val="2"/>
          <w:sz w:val="32"/>
          <w:szCs w:val="32"/>
          <w:highlight w:val="none"/>
          <w:u w:val="none"/>
          <w:lang w:val="en-US" w:eastAsia="zh-CN" w:bidi="ar-SA"/>
        </w:rPr>
        <w:t>支持具备条件的乡镇和制造、商贸企业开展逆向物流试点</w:t>
      </w:r>
      <w:r>
        <w:rPr>
          <w:rFonts w:hint="default" w:ascii="Times New Roman" w:hAnsi="Times New Roman" w:eastAsia="仿宋_GB2312" w:cs="Times New Roman"/>
          <w:color w:val="auto"/>
          <w:kern w:val="2"/>
          <w:sz w:val="32"/>
          <w:szCs w:val="32"/>
          <w:highlight w:val="none"/>
          <w:u w:val="none" w:color="auto"/>
          <w:lang w:eastAsia="zh-CN" w:bidi="ar-SA"/>
        </w:rPr>
        <w:t>。合理</w:t>
      </w:r>
      <w:r>
        <w:rPr>
          <w:rFonts w:hint="default" w:ascii="Times New Roman" w:hAnsi="Times New Roman" w:eastAsia="仿宋_GB2312" w:cs="Times New Roman"/>
          <w:i w:val="0"/>
          <w:caps w:val="0"/>
          <w:color w:val="auto"/>
          <w:spacing w:val="0"/>
          <w:sz w:val="32"/>
          <w:szCs w:val="32"/>
          <w:highlight w:val="none"/>
          <w:u w:val="none" w:color="auto"/>
          <w:shd w:val="clear" w:fill="FFFFFF"/>
        </w:rPr>
        <w:t>布局建设社区回收站，</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鼓励企业针对家用电器、电子产品、汽车等废旧物资构建线上线下融合的逆向物流服务平台和回收网络，</w:t>
      </w:r>
      <w:r>
        <w:rPr>
          <w:rFonts w:hint="default" w:ascii="Times New Roman" w:hAnsi="Times New Roman" w:eastAsia="仿宋_GB2312" w:cs="Times New Roman"/>
          <w:i w:val="0"/>
          <w:caps w:val="0"/>
          <w:color w:val="auto"/>
          <w:spacing w:val="0"/>
          <w:sz w:val="32"/>
          <w:szCs w:val="32"/>
          <w:highlight w:val="none"/>
          <w:u w:val="none" w:color="auto"/>
          <w:shd w:val="clear" w:fill="FFFFFF"/>
          <w:lang w:eastAsia="zh-CN"/>
        </w:rPr>
        <w:t>促进</w:t>
      </w:r>
      <w:r>
        <w:rPr>
          <w:rFonts w:hint="default" w:ascii="Times New Roman" w:hAnsi="Times New Roman" w:eastAsia="仿宋_GB2312" w:cs="Times New Roman"/>
          <w:i w:val="0"/>
          <w:caps w:val="0"/>
          <w:color w:val="auto"/>
          <w:spacing w:val="0"/>
          <w:sz w:val="32"/>
          <w:szCs w:val="32"/>
          <w:highlight w:val="none"/>
          <w:u w:val="none" w:color="auto"/>
          <w:shd w:val="clear" w:fill="FFFFFF"/>
        </w:rPr>
        <w:t>废弃物回收再利用。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lang w:val="en-US" w:eastAsia="zh-CN"/>
        </w:rPr>
      </w:pPr>
      <w:bookmarkStart w:id="1091" w:name="_Toc6231"/>
      <w:bookmarkStart w:id="1092" w:name="_Toc18750"/>
      <w:bookmarkStart w:id="1093" w:name="_Toc14990"/>
      <w:bookmarkStart w:id="1094" w:name="_Toc25739"/>
      <w:bookmarkStart w:id="1095" w:name="_Toc4902"/>
      <w:bookmarkStart w:id="1096" w:name="_Toc32710"/>
      <w:bookmarkStart w:id="1097" w:name="_Toc26148"/>
      <w:bookmarkStart w:id="1098" w:name="_Toc19724"/>
      <w:bookmarkStart w:id="1099" w:name="_Toc31505"/>
      <w:bookmarkStart w:id="1100" w:name="_Toc265"/>
      <w:bookmarkStart w:id="1101" w:name="_Toc23802"/>
      <w:bookmarkStart w:id="1102" w:name="_Toc9044"/>
      <w:bookmarkStart w:id="1103" w:name="_Toc32009"/>
      <w:bookmarkStart w:id="1104" w:name="_Toc2341"/>
      <w:bookmarkStart w:id="1105" w:name="_Toc24176"/>
      <w:bookmarkStart w:id="1106" w:name="_Toc10953"/>
      <w:bookmarkStart w:id="1107" w:name="_Toc13332"/>
      <w:bookmarkStart w:id="1108" w:name="_Toc5671"/>
      <w:bookmarkStart w:id="1109" w:name="_Toc15600"/>
      <w:bookmarkStart w:id="1110" w:name="_Toc1192"/>
      <w:bookmarkStart w:id="1111" w:name="_Toc13984"/>
      <w:bookmarkStart w:id="1112" w:name="_Toc8840"/>
      <w:bookmarkStart w:id="1113" w:name="_Toc13467"/>
      <w:bookmarkStart w:id="1114" w:name="_Toc25876"/>
      <w:bookmarkStart w:id="1115" w:name="_Toc16770"/>
      <w:r>
        <w:rPr>
          <w:rFonts w:hint="default" w:ascii="Times New Roman" w:hAnsi="Times New Roman" w:eastAsia="黑体" w:cs="Times New Roman"/>
          <w:b w:val="0"/>
          <w:bCs w:val="0"/>
          <w:color w:val="auto"/>
          <w:sz w:val="32"/>
          <w:szCs w:val="32"/>
          <w:highlight w:val="none"/>
          <w:lang w:val="en-US" w:eastAsia="zh-CN"/>
        </w:rPr>
        <w:t>十、加强应急物流体系建设</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pacing w:val="0"/>
          <w:kern w:val="2"/>
          <w:sz w:val="32"/>
          <w:szCs w:val="32"/>
          <w:highlight w:val="none"/>
          <w:u w:val="none" w:color="auto"/>
          <w:lang w:val="en-US" w:eastAsia="zh-CN" w:bidi="ar-SA"/>
        </w:rPr>
        <w:t>聚焦保安全，加强应急仓储、中转、配送设施建设，建立制度化的响应机制和协同机制，构建储备充足、反应迅速、抗冲击能力强的应急物流体系，确保应急物流运行迅速、精准、顺畅。</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u w:val="none" w:color="auto"/>
          <w:lang w:val="en-US" w:eastAsia="zh-CN" w:bidi="ar-SA"/>
        </w:rPr>
      </w:pPr>
      <w:bookmarkStart w:id="1116" w:name="_Toc28385"/>
      <w:bookmarkStart w:id="1117" w:name="_Toc32329"/>
      <w:bookmarkStart w:id="1118" w:name="_Toc4703"/>
      <w:bookmarkStart w:id="1119" w:name="_Toc69"/>
      <w:bookmarkStart w:id="1120" w:name="_Toc17232"/>
      <w:bookmarkStart w:id="1121" w:name="_Toc29887"/>
      <w:bookmarkStart w:id="1122" w:name="_Toc32484"/>
      <w:bookmarkStart w:id="1123" w:name="_Toc12747"/>
      <w:bookmarkStart w:id="1124" w:name="_Toc2936"/>
      <w:bookmarkStart w:id="1125" w:name="_Toc8680"/>
      <w:bookmarkStart w:id="1126" w:name="_Toc19324"/>
      <w:bookmarkStart w:id="1127" w:name="_Toc28540"/>
      <w:bookmarkStart w:id="1128" w:name="_Toc17768"/>
      <w:bookmarkStart w:id="1129" w:name="_Toc21247"/>
      <w:bookmarkStart w:id="1130" w:name="_Toc10159"/>
      <w:bookmarkStart w:id="1131" w:name="_Toc6716"/>
      <w:bookmarkStart w:id="1132" w:name="_Toc23431"/>
      <w:bookmarkStart w:id="1133" w:name="_Toc867"/>
      <w:bookmarkStart w:id="1134" w:name="_Toc15024"/>
      <w:bookmarkStart w:id="1135" w:name="_Toc22429"/>
      <w:bookmarkStart w:id="1136" w:name="_Toc11658"/>
      <w:bookmarkStart w:id="1137" w:name="_Toc21348"/>
      <w:bookmarkStart w:id="1138" w:name="_Toc13347"/>
      <w:bookmarkStart w:id="1139" w:name="_Toc7703"/>
      <w:bookmarkStart w:id="1140" w:name="_Toc10077"/>
      <w:r>
        <w:rPr>
          <w:rFonts w:hint="default" w:ascii="Times New Roman" w:hAnsi="Times New Roman" w:eastAsia="楷体_GB2312" w:cs="Times New Roman"/>
          <w:b/>
          <w:bCs/>
          <w:color w:val="auto"/>
          <w:kern w:val="2"/>
          <w:sz w:val="32"/>
          <w:szCs w:val="32"/>
          <w:highlight w:val="none"/>
          <w:u w:val="none" w:color="auto"/>
          <w:lang w:val="en-US" w:eastAsia="zh-CN" w:bidi="ar-SA"/>
        </w:rPr>
        <w:t>（一）</w:t>
      </w:r>
      <w:r>
        <w:rPr>
          <w:rFonts w:hint="default" w:ascii="Times New Roman" w:hAnsi="Times New Roman" w:eastAsia="楷体_GB2312" w:cs="Times New Roman"/>
          <w:b/>
          <w:bCs/>
          <w:color w:val="auto"/>
          <w:kern w:val="2"/>
          <w:sz w:val="32"/>
          <w:szCs w:val="32"/>
          <w:highlight w:val="none"/>
          <w:u w:val="none"/>
          <w:lang w:val="en-US" w:eastAsia="zh-CN" w:bidi="ar-SA"/>
        </w:rPr>
        <w:t>完善应急物流设施</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color w:val="auto"/>
          <w:kern w:val="2"/>
          <w:sz w:val="32"/>
          <w:szCs w:val="32"/>
          <w:highlight w:val="none"/>
          <w:u w:val="none" w:color="auto"/>
          <w:lang w:val="en-US" w:eastAsia="zh-CN" w:bidi="ar"/>
        </w:rPr>
        <w:t>建立完善覆盖各县（区）的应急物流设施网络，提升应急物流设施设备标准化和现代化水平。</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支持物流、快递企业和应急物资制造企业深度合作，研究制定应急保障预案，确保装备制造</w:t>
      </w:r>
      <w:r>
        <w:rPr>
          <w:rFonts w:hint="eastAsia" w:ascii="Times New Roman" w:hAnsi="Times New Roman" w:eastAsia="仿宋_GB2312" w:cs="Times New Roman"/>
          <w:b w:val="0"/>
          <w:bCs w:val="0"/>
          <w:color w:val="auto"/>
          <w:kern w:val="2"/>
          <w:sz w:val="32"/>
          <w:szCs w:val="32"/>
          <w:highlight w:val="none"/>
          <w:u w:val="none" w:color="auto"/>
          <w:lang w:val="en-US" w:eastAsia="zh-CN" w:bidi="ar-SA"/>
        </w:rPr>
        <w:t>、新材料</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等制造产业链平稳运行。补齐医疗应急物资储备设施短板，</w:t>
      </w:r>
      <w:r>
        <w:rPr>
          <w:rFonts w:hint="default" w:ascii="Times New Roman" w:hAnsi="Times New Roman" w:eastAsia="仿宋_GB2312" w:cs="Times New Roman"/>
          <w:b w:val="0"/>
          <w:bCs w:val="0"/>
          <w:color w:val="auto"/>
          <w:sz w:val="32"/>
          <w:szCs w:val="32"/>
          <w:highlight w:val="none"/>
          <w:u w:val="none" w:color="auto"/>
        </w:rPr>
        <w:t>合理规划布局救灾物资储备库</w:t>
      </w:r>
      <w:r>
        <w:rPr>
          <w:rFonts w:hint="default" w:ascii="Times New Roman" w:hAnsi="Times New Roman" w:eastAsia="仿宋_GB2312" w:cs="Times New Roman"/>
          <w:color w:val="auto"/>
          <w:sz w:val="32"/>
          <w:szCs w:val="32"/>
          <w:highlight w:val="none"/>
          <w:u w:val="none" w:color="auto"/>
          <w:lang w:eastAsia="zh-CN"/>
        </w:rPr>
        <w:t>，</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提高实物储备和产能储备能力。</w:t>
      </w:r>
      <w:r>
        <w:rPr>
          <w:rFonts w:hint="default" w:ascii="Times New Roman" w:hAnsi="Times New Roman" w:eastAsia="仿宋_GB2312" w:cs="Times New Roman"/>
          <w:b w:val="0"/>
          <w:bCs w:val="0"/>
          <w:color w:val="auto"/>
          <w:kern w:val="2"/>
          <w:sz w:val="32"/>
          <w:szCs w:val="32"/>
          <w:highlight w:val="none"/>
          <w:lang w:val="en-US" w:eastAsia="zh-CN" w:bidi="ar-SA"/>
        </w:rPr>
        <w:t>推进</w:t>
      </w:r>
      <w:r>
        <w:rPr>
          <w:rFonts w:hint="default" w:ascii="Times New Roman" w:hAnsi="Times New Roman" w:eastAsia="仿宋_GB2312" w:cs="Times New Roman"/>
          <w:b w:val="0"/>
          <w:bCs w:val="0"/>
          <w:i w:val="0"/>
          <w:caps w:val="0"/>
          <w:color w:val="auto"/>
          <w:spacing w:val="0"/>
          <w:sz w:val="32"/>
          <w:szCs w:val="32"/>
          <w:highlight w:val="none"/>
          <w:shd w:val="clear"/>
          <w:lang w:eastAsia="zh-CN"/>
        </w:rPr>
        <w:t>航空货运补充机场项目建设</w:t>
      </w:r>
      <w:r>
        <w:rPr>
          <w:rFonts w:hint="default" w:ascii="Times New Roman" w:hAnsi="Times New Roman" w:eastAsia="仿宋_GB2312" w:cs="Times New Roman"/>
          <w:snapToGrid/>
          <w:color w:val="auto"/>
          <w:kern w:val="2"/>
          <w:sz w:val="32"/>
          <w:szCs w:val="32"/>
          <w:highlight w:val="none"/>
          <w:lang w:val="en-US" w:eastAsia="zh-CN"/>
        </w:rPr>
        <w:t>，</w:t>
      </w:r>
      <w:r>
        <w:rPr>
          <w:rFonts w:hint="default" w:ascii="Times New Roman" w:hAnsi="Times New Roman" w:eastAsia="仿宋_GB2312" w:cs="Times New Roman"/>
          <w:snapToGrid w:val="0"/>
          <w:color w:val="auto"/>
          <w:kern w:val="0"/>
          <w:sz w:val="32"/>
          <w:szCs w:val="32"/>
          <w:highlight w:val="none"/>
        </w:rPr>
        <w:t>补齐航空</w:t>
      </w:r>
      <w:r>
        <w:rPr>
          <w:rFonts w:hint="default" w:ascii="Times New Roman" w:hAnsi="Times New Roman" w:eastAsia="仿宋_GB2312" w:cs="Times New Roman"/>
          <w:snapToGrid w:val="0"/>
          <w:color w:val="auto"/>
          <w:kern w:val="0"/>
          <w:sz w:val="32"/>
          <w:szCs w:val="32"/>
          <w:highlight w:val="none"/>
          <w:lang w:eastAsia="zh-CN"/>
        </w:rPr>
        <w:t>运输</w:t>
      </w:r>
      <w:r>
        <w:rPr>
          <w:rFonts w:hint="default" w:ascii="Times New Roman" w:hAnsi="Times New Roman" w:eastAsia="仿宋_GB2312" w:cs="Times New Roman"/>
          <w:snapToGrid w:val="0"/>
          <w:color w:val="auto"/>
          <w:kern w:val="0"/>
          <w:sz w:val="32"/>
          <w:szCs w:val="32"/>
          <w:highlight w:val="none"/>
        </w:rPr>
        <w:t>短板，</w:t>
      </w:r>
      <w:r>
        <w:rPr>
          <w:rFonts w:hint="default" w:ascii="Times New Roman" w:hAnsi="Times New Roman" w:eastAsia="仿宋_GB2312" w:cs="Times New Roman"/>
          <w:snapToGrid w:val="0"/>
          <w:color w:val="auto"/>
          <w:kern w:val="0"/>
          <w:sz w:val="32"/>
          <w:szCs w:val="32"/>
          <w:highlight w:val="none"/>
          <w:lang w:eastAsia="zh-CN"/>
        </w:rPr>
        <w:t>充分</w:t>
      </w:r>
      <w:r>
        <w:rPr>
          <w:rFonts w:hint="default" w:ascii="Times New Roman" w:hAnsi="Times New Roman" w:eastAsia="仿宋_GB2312" w:cs="Times New Roman"/>
          <w:snapToGrid w:val="0"/>
          <w:color w:val="auto"/>
          <w:kern w:val="0"/>
          <w:sz w:val="32"/>
          <w:szCs w:val="32"/>
          <w:highlight w:val="none"/>
        </w:rPr>
        <w:t>发挥</w:t>
      </w:r>
      <w:r>
        <w:rPr>
          <w:rFonts w:hint="default" w:ascii="Times New Roman" w:hAnsi="Times New Roman" w:eastAsia="仿宋_GB2312" w:cs="Times New Roman"/>
          <w:snapToGrid w:val="0"/>
          <w:color w:val="auto"/>
          <w:kern w:val="0"/>
          <w:sz w:val="32"/>
          <w:szCs w:val="32"/>
          <w:highlight w:val="none"/>
          <w:lang w:val="en-US" w:eastAsia="zh-CN"/>
        </w:rPr>
        <w:t>通用航空</w:t>
      </w:r>
      <w:r>
        <w:rPr>
          <w:rFonts w:hint="default" w:ascii="Times New Roman" w:hAnsi="Times New Roman" w:eastAsia="仿宋_GB2312" w:cs="Times New Roman"/>
          <w:snapToGrid w:val="0"/>
          <w:color w:val="auto"/>
          <w:kern w:val="0"/>
          <w:sz w:val="32"/>
          <w:szCs w:val="32"/>
          <w:highlight w:val="none"/>
        </w:rPr>
        <w:t>在短途运输、城市应急、医疗救援等方面</w:t>
      </w:r>
      <w:r>
        <w:rPr>
          <w:rFonts w:hint="default" w:ascii="Times New Roman" w:hAnsi="Times New Roman" w:eastAsia="仿宋_GB2312" w:cs="Times New Roman"/>
          <w:snapToGrid w:val="0"/>
          <w:color w:val="auto"/>
          <w:kern w:val="0"/>
          <w:sz w:val="32"/>
          <w:szCs w:val="32"/>
          <w:highlight w:val="none"/>
          <w:lang w:eastAsia="zh-CN"/>
        </w:rPr>
        <w:t>的高效优势，实现应急</w:t>
      </w:r>
      <w:r>
        <w:rPr>
          <w:rFonts w:hint="default" w:ascii="Times New Roman" w:hAnsi="Times New Roman" w:eastAsia="仿宋_GB2312" w:cs="Times New Roman"/>
          <w:i w:val="0"/>
          <w:caps w:val="0"/>
          <w:snapToGrid w:val="0"/>
          <w:color w:val="auto"/>
          <w:spacing w:val="0"/>
          <w:kern w:val="0"/>
          <w:sz w:val="32"/>
          <w:szCs w:val="32"/>
          <w:highlight w:val="none"/>
          <w:shd w:val="clear"/>
        </w:rPr>
        <w:t>物资及时送达和分发配送</w:t>
      </w:r>
      <w:r>
        <w:rPr>
          <w:rFonts w:hint="default" w:ascii="Times New Roman" w:hAnsi="Times New Roman" w:eastAsia="仿宋_GB2312" w:cs="Times New Roman"/>
          <w:snapToGrid w:val="0"/>
          <w:color w:val="auto"/>
          <w:kern w:val="0"/>
          <w:sz w:val="32"/>
          <w:szCs w:val="32"/>
          <w:highlight w:val="none"/>
        </w:rPr>
        <w:t>。</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u w:val="none" w:color="auto"/>
          <w:lang w:val="en-US" w:eastAsia="zh-CN" w:bidi="ar-SA"/>
        </w:rPr>
      </w:pPr>
      <w:bookmarkStart w:id="1141" w:name="_Toc14876"/>
      <w:bookmarkStart w:id="1142" w:name="_Toc29874"/>
      <w:bookmarkStart w:id="1143" w:name="_Toc26258"/>
      <w:bookmarkStart w:id="1144" w:name="_Toc13737"/>
      <w:bookmarkStart w:id="1145" w:name="_Toc29412"/>
      <w:bookmarkStart w:id="1146" w:name="_Toc2971"/>
      <w:bookmarkStart w:id="1147" w:name="_Toc31440"/>
      <w:bookmarkStart w:id="1148" w:name="_Toc8879"/>
      <w:bookmarkStart w:id="1149" w:name="_Toc6867"/>
      <w:bookmarkStart w:id="1150" w:name="_Toc7495"/>
      <w:bookmarkStart w:id="1151" w:name="_Toc31225"/>
      <w:bookmarkStart w:id="1152" w:name="_Toc12725"/>
      <w:bookmarkStart w:id="1153" w:name="_Toc7270"/>
      <w:bookmarkStart w:id="1154" w:name="_Toc16670"/>
      <w:bookmarkStart w:id="1155" w:name="_Toc21423"/>
      <w:bookmarkStart w:id="1156" w:name="_Toc14336"/>
      <w:bookmarkStart w:id="1157" w:name="_Toc15171"/>
      <w:bookmarkStart w:id="1158" w:name="_Toc4420"/>
      <w:bookmarkStart w:id="1159" w:name="_Toc8323"/>
      <w:bookmarkStart w:id="1160" w:name="_Toc24665"/>
      <w:bookmarkStart w:id="1161" w:name="_Toc2726"/>
      <w:bookmarkStart w:id="1162" w:name="_Toc31346"/>
      <w:r>
        <w:rPr>
          <w:rFonts w:hint="default" w:ascii="Times New Roman" w:hAnsi="Times New Roman" w:eastAsia="楷体_GB2312" w:cs="Times New Roman"/>
          <w:b/>
          <w:bCs/>
          <w:color w:val="auto"/>
          <w:kern w:val="2"/>
          <w:sz w:val="32"/>
          <w:szCs w:val="32"/>
          <w:highlight w:val="none"/>
          <w:u w:val="none" w:color="auto"/>
          <w:lang w:val="en-US" w:eastAsia="zh-CN" w:bidi="ar-SA"/>
        </w:rPr>
        <w:t>（二）</w:t>
      </w:r>
      <w:r>
        <w:rPr>
          <w:rFonts w:hint="default" w:ascii="Times New Roman" w:hAnsi="Times New Roman" w:eastAsia="楷体_GB2312" w:cs="Times New Roman"/>
          <w:b/>
          <w:bCs/>
          <w:color w:val="auto"/>
          <w:kern w:val="2"/>
          <w:sz w:val="32"/>
          <w:szCs w:val="32"/>
          <w:highlight w:val="none"/>
          <w:u w:val="none"/>
          <w:lang w:val="en-US" w:eastAsia="zh-CN" w:bidi="ar-SA"/>
        </w:rPr>
        <w:t>健全应急物流</w:t>
      </w:r>
      <w:r>
        <w:rPr>
          <w:rFonts w:hint="default" w:ascii="Times New Roman" w:hAnsi="Times New Roman" w:eastAsia="楷体_GB2312" w:cs="Times New Roman"/>
          <w:b/>
          <w:bCs/>
          <w:color w:val="auto"/>
          <w:kern w:val="2"/>
          <w:sz w:val="32"/>
          <w:szCs w:val="32"/>
          <w:highlight w:val="none"/>
          <w:u w:val="none" w:color="auto"/>
          <w:lang w:val="en-US" w:eastAsia="zh-CN" w:bidi="ar-SA"/>
        </w:rPr>
        <w:t>响应保障机制</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outlineLvl w:val="9"/>
        <w:rPr>
          <w:rFonts w:hint="default" w:ascii="Times New Roman" w:hAnsi="Times New Roman" w:eastAsia="宋体" w:cs="Times New Roman"/>
          <w:snapToGrid/>
          <w:color w:val="auto"/>
          <w:kern w:val="2"/>
          <w:sz w:val="21"/>
          <w:szCs w:val="24"/>
          <w:highlight w:val="none"/>
        </w:rPr>
      </w:pPr>
      <w:r>
        <w:rPr>
          <w:rFonts w:hint="default" w:ascii="Times New Roman" w:hAnsi="Times New Roman" w:eastAsia="仿宋_GB2312" w:cs="Times New Roman"/>
          <w:b w:val="0"/>
          <w:bCs w:val="0"/>
          <w:color w:val="auto"/>
          <w:kern w:val="2"/>
          <w:sz w:val="32"/>
          <w:szCs w:val="32"/>
          <w:highlight w:val="none"/>
          <w:u w:val="none" w:color="auto"/>
          <w:lang w:val="en-US" w:eastAsia="zh-CN" w:bidi="ar-SA"/>
        </w:rPr>
        <w:t>研究制定应急物流实施方案，加快建立以企业为主体的应急物流队伍，</w:t>
      </w:r>
      <w:r>
        <w:rPr>
          <w:rFonts w:hint="default" w:ascii="Times New Roman" w:hAnsi="Times New Roman" w:eastAsia="仿宋_GB2312" w:cs="Times New Roman"/>
          <w:color w:val="auto"/>
          <w:sz w:val="32"/>
          <w:szCs w:val="32"/>
          <w:highlight w:val="none"/>
          <w:u w:val="none" w:color="auto"/>
        </w:rPr>
        <w:t>认证一批商贸、生产、物流企业为应急物流成员单位。</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充分考虑产业园区产品生产、调运及原辅料供应保障等需要，</w:t>
      </w:r>
      <w:bookmarkEnd w:id="1138"/>
      <w:bookmarkEnd w:id="1139"/>
      <w:bookmarkEnd w:id="1140"/>
      <w:r>
        <w:rPr>
          <w:rFonts w:hint="default" w:ascii="Times New Roman" w:hAnsi="Times New Roman" w:eastAsia="仿宋_GB2312" w:cs="Times New Roman"/>
          <w:color w:val="auto"/>
          <w:sz w:val="32"/>
          <w:szCs w:val="32"/>
          <w:highlight w:val="none"/>
          <w:u w:val="none" w:color="auto"/>
        </w:rPr>
        <w:t>综合运用信息引导、企业采购、跨区域调运、生产能力储备、依法征用等方式</w:t>
      </w:r>
      <w:r>
        <w:rPr>
          <w:rFonts w:hint="default" w:ascii="Times New Roman" w:hAnsi="Times New Roman" w:eastAsia="仿宋_GB2312" w:cs="Times New Roman"/>
          <w:color w:val="auto"/>
          <w:sz w:val="32"/>
          <w:szCs w:val="32"/>
          <w:highlight w:val="none"/>
          <w:u w:val="none" w:color="auto"/>
          <w:lang w:eastAsia="zh-CN"/>
        </w:rPr>
        <w:t>，</w:t>
      </w:r>
      <w:r>
        <w:rPr>
          <w:rFonts w:hint="default" w:ascii="Times New Roman" w:hAnsi="Times New Roman" w:eastAsia="仿宋_GB2312" w:cs="Times New Roman"/>
          <w:color w:val="auto"/>
          <w:sz w:val="32"/>
          <w:szCs w:val="32"/>
          <w:highlight w:val="none"/>
          <w:u w:val="none" w:color="auto"/>
        </w:rPr>
        <w:t>建立基本生活必需品应急供应保障机制</w:t>
      </w:r>
      <w:r>
        <w:rPr>
          <w:rFonts w:hint="default" w:ascii="Times New Roman" w:hAnsi="Times New Roman" w:eastAsia="仿宋_GB2312" w:cs="Times New Roman"/>
          <w:color w:val="auto"/>
          <w:sz w:val="32"/>
          <w:szCs w:val="32"/>
          <w:highlight w:val="none"/>
          <w:u w:val="none" w:color="auto"/>
          <w:lang w:eastAsia="zh-CN"/>
        </w:rPr>
        <w:t>，</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确保紧急情况下物流通道畅通。</w:t>
      </w:r>
      <w:r>
        <w:rPr>
          <w:rFonts w:hint="default" w:ascii="Times New Roman" w:hAnsi="Times New Roman" w:eastAsia="仿宋_GB2312" w:cs="Times New Roman"/>
          <w:i w:val="0"/>
          <w:caps w:val="0"/>
          <w:snapToGrid w:val="0"/>
          <w:color w:val="auto"/>
          <w:spacing w:val="0"/>
          <w:kern w:val="0"/>
          <w:sz w:val="32"/>
          <w:szCs w:val="32"/>
          <w:highlight w:val="none"/>
        </w:rPr>
        <w:t>针</w:t>
      </w:r>
      <w:r>
        <w:rPr>
          <w:rFonts w:hint="default" w:ascii="Times New Roman" w:hAnsi="Times New Roman" w:eastAsia="仿宋_GB2312" w:cs="Times New Roman"/>
          <w:i w:val="0"/>
          <w:caps w:val="0"/>
          <w:color w:val="auto"/>
          <w:spacing w:val="0"/>
          <w:sz w:val="32"/>
          <w:szCs w:val="32"/>
          <w:highlight w:val="none"/>
        </w:rPr>
        <w:t>对自然灾害、重大突发公共卫生事件、重大安全事故等紧急情况，建立应急物流分级响应和保障体系，统筹利用</w:t>
      </w:r>
      <w:r>
        <w:rPr>
          <w:rFonts w:hint="default" w:ascii="Times New Roman" w:hAnsi="Times New Roman" w:eastAsia="仿宋_GB2312" w:cs="Times New Roman"/>
          <w:i w:val="0"/>
          <w:caps w:val="0"/>
          <w:color w:val="auto"/>
          <w:spacing w:val="0"/>
          <w:sz w:val="32"/>
          <w:szCs w:val="32"/>
          <w:highlight w:val="none"/>
          <w:lang w:eastAsia="zh-CN"/>
        </w:rPr>
        <w:t>地区</w:t>
      </w:r>
      <w:r>
        <w:rPr>
          <w:rFonts w:hint="default" w:ascii="Times New Roman" w:hAnsi="Times New Roman" w:eastAsia="仿宋_GB2312" w:cs="Times New Roman"/>
          <w:i w:val="0"/>
          <w:caps w:val="0"/>
          <w:color w:val="auto"/>
          <w:spacing w:val="0"/>
          <w:sz w:val="32"/>
          <w:szCs w:val="32"/>
          <w:highlight w:val="none"/>
        </w:rPr>
        <w:t>储备资源和网络，发挥好行业协会、骨干企业的组织协调能力和专业化优势，提高应急物流快速响应和保障能力。</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spacing w:val="0"/>
          <w:kern w:val="2"/>
          <w:sz w:val="32"/>
          <w:szCs w:val="32"/>
          <w:highlight w:val="none"/>
          <w:u w:val="none" w:color="auto"/>
          <w:lang w:val="en-US" w:eastAsia="zh-CN" w:bidi="ar-SA"/>
        </w:rPr>
      </w:pPr>
      <w:bookmarkStart w:id="1163" w:name="_Toc16361"/>
      <w:bookmarkStart w:id="1164" w:name="_Toc570"/>
      <w:bookmarkStart w:id="1165" w:name="_Toc11504"/>
      <w:bookmarkStart w:id="1166" w:name="_Toc25520"/>
      <w:bookmarkStart w:id="1167" w:name="_Toc7155"/>
      <w:bookmarkStart w:id="1168" w:name="_Toc27273"/>
      <w:bookmarkStart w:id="1169" w:name="_Toc7221"/>
      <w:bookmarkStart w:id="1170" w:name="_Toc20507"/>
      <w:bookmarkStart w:id="1171" w:name="_Toc19729"/>
      <w:bookmarkStart w:id="1172" w:name="_Toc28954"/>
      <w:bookmarkStart w:id="1173" w:name="_Toc26221"/>
      <w:bookmarkStart w:id="1174" w:name="_Toc18239"/>
      <w:bookmarkStart w:id="1175" w:name="_Toc3875"/>
      <w:bookmarkStart w:id="1176" w:name="_Toc30584"/>
      <w:bookmarkStart w:id="1177" w:name="_Toc1321"/>
      <w:bookmarkStart w:id="1178" w:name="_Toc2202"/>
      <w:bookmarkStart w:id="1179" w:name="_Toc6193"/>
      <w:bookmarkStart w:id="1180" w:name="_Toc2081"/>
      <w:bookmarkStart w:id="1181" w:name="_Toc10524"/>
      <w:bookmarkStart w:id="1182" w:name="_Toc6985"/>
      <w:bookmarkStart w:id="1183" w:name="_Toc16669"/>
      <w:bookmarkStart w:id="1184" w:name="_Toc4177"/>
      <w:bookmarkStart w:id="1185" w:name="_Toc15556"/>
      <w:bookmarkStart w:id="1186" w:name="_Toc14684"/>
      <w:bookmarkStart w:id="1187" w:name="_Toc5941"/>
      <w:r>
        <w:rPr>
          <w:rFonts w:hint="default" w:ascii="Times New Roman" w:hAnsi="Times New Roman" w:eastAsia="楷体_GB2312" w:cs="Times New Roman"/>
          <w:b/>
          <w:bCs/>
          <w:color w:val="auto"/>
          <w:spacing w:val="0"/>
          <w:kern w:val="2"/>
          <w:sz w:val="32"/>
          <w:szCs w:val="32"/>
          <w:highlight w:val="none"/>
          <w:u w:val="none" w:color="auto"/>
          <w:lang w:val="en-US" w:eastAsia="zh-CN" w:bidi="ar-SA"/>
        </w:rPr>
        <w:t>（三）构建重要产品全链条追溯体系</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 w:val="0"/>
          <w:bCs w:val="0"/>
          <w:i w:val="0"/>
          <w:caps w:val="0"/>
          <w:color w:val="auto"/>
          <w:spacing w:val="0"/>
          <w:sz w:val="32"/>
          <w:szCs w:val="32"/>
          <w:highlight w:val="none"/>
          <w:shd w:val="clear"/>
          <w:lang w:eastAsia="zh-CN"/>
        </w:rPr>
      </w:pPr>
      <w:r>
        <w:rPr>
          <w:rFonts w:hint="default" w:ascii="Times New Roman" w:hAnsi="Times New Roman" w:eastAsia="仿宋_GB2312" w:cs="Times New Roman"/>
          <w:i w:val="0"/>
          <w:caps w:val="0"/>
          <w:color w:val="auto"/>
          <w:spacing w:val="0"/>
          <w:sz w:val="32"/>
          <w:szCs w:val="32"/>
          <w:highlight w:val="none"/>
          <w:shd w:val="clear" w:fill="auto"/>
        </w:rPr>
        <w:t>围绕对人民群众生命财产安全和公共安全有重大影响的产品，统筹规划</w:t>
      </w:r>
      <w:r>
        <w:rPr>
          <w:rFonts w:hint="default" w:ascii="Times New Roman" w:hAnsi="Times New Roman" w:eastAsia="仿宋_GB2312" w:cs="Times New Roman"/>
          <w:i w:val="0"/>
          <w:caps w:val="0"/>
          <w:color w:val="auto"/>
          <w:spacing w:val="0"/>
          <w:sz w:val="32"/>
          <w:szCs w:val="32"/>
          <w:highlight w:val="none"/>
          <w:shd w:val="clear"/>
          <w:lang w:val="en-US" w:eastAsia="zh-CN"/>
        </w:rPr>
        <w:t>建设</w:t>
      </w:r>
      <w:r>
        <w:rPr>
          <w:rFonts w:hint="default" w:ascii="Times New Roman" w:hAnsi="Times New Roman" w:eastAsia="仿宋_GB2312" w:cs="Times New Roman"/>
          <w:i w:val="0"/>
          <w:caps w:val="0"/>
          <w:color w:val="auto"/>
          <w:spacing w:val="0"/>
          <w:sz w:val="32"/>
          <w:szCs w:val="32"/>
          <w:highlight w:val="none"/>
          <w:shd w:val="clear" w:fill="auto"/>
        </w:rPr>
        <w:t>重要产品追溯体系</w:t>
      </w:r>
      <w:r>
        <w:rPr>
          <w:rFonts w:hint="default" w:ascii="Times New Roman" w:hAnsi="Times New Roman" w:eastAsia="仿宋_GB2312" w:cs="Times New Roman"/>
          <w:i w:val="0"/>
          <w:caps w:val="0"/>
          <w:color w:val="auto"/>
          <w:spacing w:val="0"/>
          <w:sz w:val="32"/>
          <w:szCs w:val="32"/>
          <w:highlight w:val="none"/>
          <w:shd w:val="clear" w:fill="auto"/>
          <w:lang w:eastAsia="zh-CN"/>
        </w:rPr>
        <w:t>，</w:t>
      </w:r>
      <w:r>
        <w:rPr>
          <w:rFonts w:hint="default" w:ascii="Times New Roman" w:hAnsi="Times New Roman" w:eastAsia="仿宋_GB2312" w:cs="Times New Roman"/>
          <w:color w:val="auto"/>
          <w:sz w:val="32"/>
          <w:szCs w:val="32"/>
          <w:highlight w:val="none"/>
          <w:lang w:eastAsia="zh-CN"/>
        </w:rPr>
        <w:t>重点强化</w:t>
      </w:r>
      <w:r>
        <w:rPr>
          <w:rFonts w:hint="default" w:ascii="Times New Roman" w:hAnsi="Times New Roman" w:eastAsia="仿宋_GB2312" w:cs="Times New Roman"/>
          <w:color w:val="auto"/>
          <w:sz w:val="32"/>
          <w:szCs w:val="32"/>
          <w:highlight w:val="none"/>
        </w:rPr>
        <w:t>物流信息化建设，保障医药、食品、农产品</w:t>
      </w:r>
      <w:r>
        <w:rPr>
          <w:rFonts w:hint="default" w:ascii="Times New Roman" w:hAnsi="Times New Roman" w:eastAsia="仿宋_GB2312" w:cs="Times New Roman"/>
          <w:color w:val="auto"/>
          <w:sz w:val="32"/>
          <w:szCs w:val="32"/>
          <w:highlight w:val="none"/>
          <w:lang w:eastAsia="zh-CN"/>
        </w:rPr>
        <w:t>等产品</w:t>
      </w:r>
      <w:r>
        <w:rPr>
          <w:rFonts w:hint="default" w:ascii="Times New Roman" w:hAnsi="Times New Roman" w:eastAsia="仿宋_GB2312" w:cs="Times New Roman"/>
          <w:color w:val="auto"/>
          <w:sz w:val="32"/>
          <w:szCs w:val="32"/>
          <w:highlight w:val="none"/>
        </w:rPr>
        <w:t>运输过程的温控要求、卫生规范和信息追溯</w:t>
      </w:r>
      <w:r>
        <w:rPr>
          <w:rFonts w:hint="default" w:ascii="Times New Roman" w:hAnsi="Times New Roman" w:eastAsia="仿宋_GB2312" w:cs="Times New Roman"/>
          <w:i w:val="0"/>
          <w:caps w:val="0"/>
          <w:color w:val="auto"/>
          <w:spacing w:val="0"/>
          <w:sz w:val="32"/>
          <w:szCs w:val="32"/>
          <w:highlight w:val="none"/>
          <w:shd w:val="clear" w:fill="auto"/>
        </w:rPr>
        <w:t>。</w:t>
      </w:r>
      <w:r>
        <w:rPr>
          <w:rFonts w:hint="default" w:ascii="Times New Roman" w:hAnsi="Times New Roman" w:eastAsia="仿宋_GB2312" w:cs="Times New Roman"/>
          <w:b w:val="0"/>
          <w:bCs w:val="0"/>
          <w:i w:val="0"/>
          <w:caps w:val="0"/>
          <w:color w:val="auto"/>
          <w:spacing w:val="0"/>
          <w:sz w:val="32"/>
          <w:szCs w:val="32"/>
          <w:highlight w:val="none"/>
          <w:shd w:val="clear"/>
          <w:lang w:eastAsia="zh-CN"/>
        </w:rPr>
        <w:t>探索将追溯管理作为企业管理重要评价要求，纳入现有质量管理体系、食品安全管理体系、药品生产质量管理规范、药品经营质量管理规范、有机产品认证等。建立完善追溯数据统一共享交换机制，积极探索政府与社会合作模式，鼓励第三方认证机构建立追溯管理体系专门认证制度，积极采信第三方认证结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lang w:val="en-US" w:eastAsia="zh-CN"/>
        </w:rPr>
      </w:pPr>
      <w:bookmarkStart w:id="1188" w:name="_Toc24134"/>
      <w:bookmarkStart w:id="1189" w:name="_Toc378"/>
      <w:bookmarkStart w:id="1190" w:name="_Toc6958"/>
      <w:bookmarkStart w:id="1191" w:name="_Toc19128"/>
      <w:bookmarkStart w:id="1192" w:name="_Toc28903"/>
      <w:bookmarkStart w:id="1193" w:name="_Toc460"/>
      <w:bookmarkStart w:id="1194" w:name="_Toc9326"/>
      <w:bookmarkStart w:id="1195" w:name="_Toc16864"/>
      <w:bookmarkStart w:id="1196" w:name="_Toc25365"/>
      <w:bookmarkStart w:id="1197" w:name="_Toc2754"/>
      <w:bookmarkStart w:id="1198" w:name="_Toc25918"/>
      <w:bookmarkStart w:id="1199" w:name="_Toc957"/>
      <w:bookmarkStart w:id="1200" w:name="_Toc15981"/>
      <w:bookmarkStart w:id="1201" w:name="_Toc28165"/>
      <w:bookmarkStart w:id="1202" w:name="_Toc2982"/>
      <w:bookmarkStart w:id="1203" w:name="_Toc16031"/>
      <w:bookmarkStart w:id="1204" w:name="_Toc217"/>
      <w:bookmarkStart w:id="1205" w:name="_Toc18773"/>
      <w:bookmarkStart w:id="1206" w:name="_Toc14831"/>
      <w:bookmarkStart w:id="1207" w:name="_Toc18585"/>
      <w:bookmarkStart w:id="1208" w:name="_Toc2249"/>
      <w:bookmarkStart w:id="1209" w:name="_Toc9712"/>
      <w:bookmarkStart w:id="1210" w:name="_Toc16071"/>
      <w:bookmarkStart w:id="1211" w:name="_Toc24644"/>
      <w:bookmarkStart w:id="1212" w:name="_Toc24375"/>
      <w:r>
        <w:rPr>
          <w:rFonts w:hint="default" w:ascii="Times New Roman" w:hAnsi="Times New Roman" w:eastAsia="黑体" w:cs="Times New Roman"/>
          <w:b w:val="0"/>
          <w:bCs w:val="0"/>
          <w:color w:val="auto"/>
          <w:sz w:val="32"/>
          <w:szCs w:val="32"/>
          <w:highlight w:val="none"/>
          <w:lang w:val="en-US" w:eastAsia="zh-CN"/>
        </w:rPr>
        <w:t>十一、全面提升物流</w:t>
      </w:r>
      <w:r>
        <w:rPr>
          <w:rFonts w:hint="default" w:ascii="Times New Roman" w:hAnsi="Times New Roman" w:eastAsia="黑体" w:cs="Times New Roman"/>
          <w:b w:val="0"/>
          <w:bCs w:val="0"/>
          <w:i w:val="0"/>
          <w:iCs w:val="0"/>
          <w:caps w:val="0"/>
          <w:color w:val="auto"/>
          <w:spacing w:val="0"/>
          <w:sz w:val="32"/>
          <w:szCs w:val="32"/>
          <w:highlight w:val="none"/>
          <w:shd w:val="clear" w:fill="auto"/>
        </w:rPr>
        <w:t>综合服务能力</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bookmarkEnd w:id="1210"/>
    <w:bookmarkEnd w:id="1211"/>
    <w:bookmarkEnd w:id="1212"/>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outlineLvl w:val="9"/>
        <w:rPr>
          <w:rFonts w:hint="default" w:ascii="Times New Roman" w:hAnsi="Times New Roman" w:cs="Times New Roman"/>
          <w:color w:val="auto"/>
          <w:highlight w:val="none"/>
        </w:rPr>
      </w:pPr>
      <w:r>
        <w:rPr>
          <w:rFonts w:hint="default" w:ascii="Times New Roman" w:hAnsi="Times New Roman" w:eastAsia="仿宋_GB2312" w:cs="Times New Roman"/>
          <w:i w:val="0"/>
          <w:iCs w:val="0"/>
          <w:caps w:val="0"/>
          <w:color w:val="auto"/>
          <w:spacing w:val="0"/>
          <w:kern w:val="2"/>
          <w:sz w:val="32"/>
          <w:szCs w:val="32"/>
          <w:highlight w:val="none"/>
          <w:shd w:val="clear"/>
          <w:lang w:eastAsia="zh-CN" w:bidi="ar-SA"/>
        </w:rPr>
        <w:t>持续</w:t>
      </w:r>
      <w:r>
        <w:rPr>
          <w:rFonts w:hint="default" w:ascii="Times New Roman" w:hAnsi="Times New Roman" w:eastAsia="仿宋_GB2312" w:cs="Times New Roman"/>
          <w:b w:val="0"/>
          <w:bCs w:val="0"/>
          <w:i w:val="0"/>
          <w:iCs w:val="0"/>
          <w:caps w:val="0"/>
          <w:color w:val="auto"/>
          <w:spacing w:val="0"/>
          <w:kern w:val="2"/>
          <w:sz w:val="32"/>
          <w:szCs w:val="32"/>
          <w:highlight w:val="none"/>
          <w:shd w:val="clear"/>
          <w:lang w:bidi="ar-SA"/>
        </w:rPr>
        <w:t>深化物流领域“放管服”改革</w:t>
      </w:r>
      <w:r>
        <w:rPr>
          <w:rFonts w:hint="default" w:ascii="Times New Roman" w:hAnsi="Times New Roman" w:eastAsia="仿宋_GB2312" w:cs="Times New Roman"/>
          <w:b w:val="0"/>
          <w:bCs w:val="0"/>
          <w:i w:val="0"/>
          <w:iCs w:val="0"/>
          <w:caps w:val="0"/>
          <w:color w:val="auto"/>
          <w:spacing w:val="0"/>
          <w:kern w:val="2"/>
          <w:sz w:val="32"/>
          <w:szCs w:val="32"/>
          <w:highlight w:val="none"/>
          <w:shd w:val="clear"/>
          <w:lang w:eastAsia="zh-CN" w:bidi="ar-SA"/>
        </w:rPr>
        <w:t>，</w:t>
      </w:r>
      <w:r>
        <w:rPr>
          <w:rFonts w:hint="default" w:ascii="Times New Roman" w:hAnsi="Times New Roman" w:eastAsia="仿宋_GB2312" w:cs="Times New Roman"/>
          <w:i w:val="0"/>
          <w:iCs w:val="0"/>
          <w:caps w:val="0"/>
          <w:color w:val="auto"/>
          <w:spacing w:val="0"/>
          <w:kern w:val="2"/>
          <w:sz w:val="32"/>
          <w:szCs w:val="32"/>
          <w:highlight w:val="none"/>
          <w:shd w:val="clear"/>
          <w:lang w:bidi="ar-SA"/>
        </w:rPr>
        <w:t>巩固物流降本增效成果，</w:t>
      </w:r>
      <w:bookmarkStart w:id="1213" w:name="_Toc30941"/>
      <w:r>
        <w:rPr>
          <w:rFonts w:hint="default" w:ascii="Times New Roman" w:hAnsi="Times New Roman" w:eastAsia="仿宋_GB2312" w:cs="Times New Roman"/>
          <w:b w:val="0"/>
          <w:bCs w:val="0"/>
          <w:color w:val="auto"/>
          <w:kern w:val="2"/>
          <w:sz w:val="32"/>
          <w:szCs w:val="32"/>
          <w:highlight w:val="none"/>
          <w:lang w:val="en-US" w:eastAsia="zh-CN" w:bidi="ar-SA"/>
        </w:rPr>
        <w:t>夯实土地、人才、金融等要素保障，深化行业安全监管，</w:t>
      </w:r>
      <w:r>
        <w:rPr>
          <w:rFonts w:hint="default" w:ascii="Times New Roman" w:hAnsi="Times New Roman" w:eastAsia="仿宋_GB2312" w:cs="Times New Roman"/>
          <w:color w:val="auto"/>
          <w:kern w:val="2"/>
          <w:sz w:val="32"/>
          <w:szCs w:val="32"/>
          <w:highlight w:val="none"/>
          <w:lang w:val="en-US" w:eastAsia="zh-CN" w:bidi="ar-SA"/>
        </w:rPr>
        <w:t>提高服务物流行业发展的水平和质量，</w:t>
      </w:r>
      <w:r>
        <w:rPr>
          <w:rFonts w:hint="default" w:ascii="Times New Roman" w:hAnsi="Times New Roman" w:eastAsia="仿宋_GB2312" w:cs="Times New Roman"/>
          <w:i w:val="0"/>
          <w:iCs w:val="0"/>
          <w:caps w:val="0"/>
          <w:color w:val="auto"/>
          <w:spacing w:val="0"/>
          <w:sz w:val="32"/>
          <w:szCs w:val="32"/>
          <w:highlight w:val="none"/>
          <w:u w:val="none" w:color="auto"/>
          <w:shd w:val="clear"/>
        </w:rPr>
        <w:t>营造良好发展环境，促进现代物流高质量发展</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w:t>
      </w:r>
    </w:p>
    <w:bookmarkEnd w:id="1213"/>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firstLine="642" w:firstLineChars="200"/>
        <w:jc w:val="both"/>
        <w:textAlignment w:val="auto"/>
        <w:outlineLvl w:val="1"/>
        <w:rPr>
          <w:rFonts w:hint="default" w:ascii="Times New Roman" w:hAnsi="Times New Roman" w:eastAsia="楷体_GB2312" w:cs="Times New Roman"/>
          <w:b/>
          <w:bCs/>
          <w:i w:val="0"/>
          <w:iCs w:val="0"/>
          <w:caps w:val="0"/>
          <w:color w:val="auto"/>
          <w:spacing w:val="0"/>
          <w:kern w:val="2"/>
          <w:sz w:val="32"/>
          <w:szCs w:val="32"/>
          <w:highlight w:val="none"/>
          <w:u w:val="none"/>
          <w:shd w:val="clear"/>
          <w:lang w:bidi="ar-SA"/>
        </w:rPr>
      </w:pPr>
      <w:bookmarkStart w:id="1214" w:name="_Toc3330"/>
      <w:bookmarkStart w:id="1215" w:name="_Toc7765"/>
      <w:bookmarkStart w:id="1216" w:name="_Toc29048"/>
      <w:bookmarkStart w:id="1217" w:name="_Toc20688"/>
      <w:bookmarkStart w:id="1218" w:name="_Toc23323"/>
      <w:bookmarkStart w:id="1219" w:name="_Toc20075"/>
      <w:bookmarkStart w:id="1220" w:name="_Toc22561"/>
      <w:bookmarkStart w:id="1221" w:name="_Toc2669"/>
      <w:bookmarkStart w:id="1222" w:name="_Toc20827"/>
      <w:bookmarkStart w:id="1223" w:name="_Toc7879"/>
      <w:bookmarkStart w:id="1224" w:name="_Toc3247"/>
      <w:bookmarkStart w:id="1225" w:name="_Toc20041"/>
      <w:bookmarkStart w:id="1226" w:name="_Toc768"/>
      <w:bookmarkStart w:id="1227" w:name="_Toc15219"/>
      <w:bookmarkStart w:id="1228" w:name="_Toc9025"/>
      <w:bookmarkStart w:id="1229" w:name="_Toc15317"/>
      <w:bookmarkStart w:id="1230" w:name="_Toc23086"/>
      <w:bookmarkStart w:id="1231" w:name="_Toc9395"/>
      <w:bookmarkStart w:id="1232" w:name="_Toc11180"/>
      <w:bookmarkStart w:id="1233" w:name="_Toc29043"/>
      <w:bookmarkStart w:id="1234" w:name="_Toc28923"/>
      <w:bookmarkStart w:id="1235" w:name="_Toc11992"/>
      <w:bookmarkStart w:id="1236" w:name="_Toc15692"/>
      <w:bookmarkStart w:id="1237" w:name="_Toc15678"/>
      <w:bookmarkStart w:id="1238" w:name="_Toc8758"/>
      <w:r>
        <w:rPr>
          <w:rFonts w:hint="default" w:ascii="Times New Roman" w:hAnsi="Times New Roman" w:eastAsia="楷体_GB2312" w:cs="Times New Roman"/>
          <w:b/>
          <w:bCs/>
          <w:i w:val="0"/>
          <w:iCs w:val="0"/>
          <w:caps w:val="0"/>
          <w:color w:val="auto"/>
          <w:spacing w:val="0"/>
          <w:kern w:val="2"/>
          <w:sz w:val="32"/>
          <w:szCs w:val="32"/>
          <w:highlight w:val="none"/>
          <w:shd w:val="clear"/>
          <w:lang w:eastAsia="zh-CN" w:bidi="ar-SA"/>
        </w:rPr>
        <w:t>（一）</w:t>
      </w:r>
      <w:r>
        <w:rPr>
          <w:rFonts w:hint="default" w:ascii="Times New Roman" w:hAnsi="Times New Roman" w:eastAsia="楷体_GB2312" w:cs="Times New Roman"/>
          <w:b/>
          <w:bCs/>
          <w:i w:val="0"/>
          <w:iCs w:val="0"/>
          <w:caps w:val="0"/>
          <w:color w:val="auto"/>
          <w:spacing w:val="0"/>
          <w:kern w:val="2"/>
          <w:sz w:val="32"/>
          <w:szCs w:val="32"/>
          <w:highlight w:val="none"/>
          <w:shd w:val="clear"/>
          <w:lang w:bidi="ar-SA"/>
        </w:rPr>
        <w:t>深化物流领域“放管服”改革</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i w:val="0"/>
          <w:iCs w:val="0"/>
          <w:caps w:val="0"/>
          <w:color w:val="auto"/>
          <w:spacing w:val="0"/>
          <w:sz w:val="32"/>
          <w:szCs w:val="32"/>
          <w:highlight w:val="none"/>
          <w:u w:val="none" w:color="auto"/>
          <w:shd w:val="clear"/>
        </w:rPr>
      </w:pPr>
      <w:r>
        <w:rPr>
          <w:rFonts w:hint="default" w:ascii="Times New Roman" w:hAnsi="Times New Roman" w:eastAsia="仿宋_GB2312" w:cs="Times New Roman"/>
          <w:i w:val="0"/>
          <w:iCs w:val="0"/>
          <w:caps w:val="0"/>
          <w:color w:val="auto"/>
          <w:spacing w:val="0"/>
          <w:sz w:val="32"/>
          <w:szCs w:val="32"/>
          <w:highlight w:val="none"/>
          <w:u w:val="none" w:color="auto"/>
          <w:shd w:val="clear"/>
        </w:rPr>
        <w:t>按照“只进一扇门”“最多跑一次”原则，简化物流企业开展业务的行政审批手续，</w:t>
      </w:r>
      <w:r>
        <w:rPr>
          <w:rFonts w:hint="default" w:ascii="Times New Roman" w:hAnsi="Times New Roman" w:eastAsia="仿宋_GB2312" w:cs="Times New Roman"/>
          <w:b w:val="0"/>
          <w:bCs w:val="0"/>
          <w:color w:val="auto"/>
          <w:sz w:val="32"/>
          <w:szCs w:val="32"/>
          <w:highlight w:val="none"/>
          <w:u w:val="none" w:color="auto"/>
          <w:lang w:val="en-US" w:eastAsia="zh-CN"/>
        </w:rPr>
        <w:t>加快行政审批制度、企业投资管理体制和商事登记制度改革步伐，</w:t>
      </w:r>
      <w:r>
        <w:rPr>
          <w:rFonts w:hint="default" w:ascii="Times New Roman" w:hAnsi="Times New Roman" w:eastAsia="仿宋_GB2312" w:cs="Times New Roman"/>
          <w:i w:val="0"/>
          <w:iCs w:val="0"/>
          <w:caps w:val="0"/>
          <w:color w:val="auto"/>
          <w:spacing w:val="0"/>
          <w:sz w:val="32"/>
          <w:szCs w:val="32"/>
          <w:highlight w:val="none"/>
          <w:u w:val="none" w:color="auto"/>
          <w:shd w:val="clear"/>
        </w:rPr>
        <w:t>最大程度减少对物流企业业务创新的制约</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，降低制度性交易成本。</w:t>
      </w:r>
      <w:r>
        <w:rPr>
          <w:rFonts w:hint="default" w:ascii="Times New Roman" w:hAnsi="Times New Roman" w:eastAsia="仿宋_GB2312" w:cs="Times New Roman"/>
          <w:b w:val="0"/>
          <w:bCs w:val="0"/>
          <w:color w:val="auto"/>
          <w:sz w:val="32"/>
          <w:szCs w:val="32"/>
          <w:highlight w:val="none"/>
          <w:u w:val="none" w:color="auto"/>
          <w:lang w:val="en-US" w:eastAsia="zh-CN"/>
        </w:rPr>
        <w:t>加快运输领域资质证照电子化，推动线上办理签注，</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支持企业应用电子运单、网上结算等互联网服务新模式。</w:t>
      </w:r>
      <w:r>
        <w:rPr>
          <w:rFonts w:hint="default" w:ascii="Times New Roman" w:hAnsi="Times New Roman" w:eastAsia="仿宋_GB2312" w:cs="Times New Roman"/>
          <w:i w:val="0"/>
          <w:iCs w:val="0"/>
          <w:caps w:val="0"/>
          <w:color w:val="auto"/>
          <w:spacing w:val="0"/>
          <w:sz w:val="32"/>
          <w:szCs w:val="32"/>
          <w:highlight w:val="none"/>
          <w:u w:val="none" w:color="auto"/>
          <w:shd w:val="clear"/>
        </w:rPr>
        <w:t>全面实施快递末端网点备案管理</w:t>
      </w:r>
      <w:r>
        <w:rPr>
          <w:rFonts w:hint="default" w:ascii="Times New Roman" w:hAnsi="Times New Roman" w:eastAsia="仿宋_GB2312" w:cs="Times New Roman"/>
          <w:i w:val="0"/>
          <w:iCs w:val="0"/>
          <w:caps w:val="0"/>
          <w:color w:val="auto"/>
          <w:spacing w:val="0"/>
          <w:sz w:val="32"/>
          <w:szCs w:val="32"/>
          <w:highlight w:val="none"/>
          <w:u w:val="none" w:color="auto"/>
          <w:shd w:val="clear"/>
          <w:lang w:eastAsia="zh-CN"/>
        </w:rPr>
        <w:t>，</w:t>
      </w:r>
      <w:r>
        <w:rPr>
          <w:rFonts w:hint="default" w:ascii="Times New Roman" w:hAnsi="Times New Roman" w:eastAsia="仿宋_GB2312" w:cs="Times New Roman"/>
          <w:b w:val="0"/>
          <w:bCs w:val="0"/>
          <w:color w:val="auto"/>
          <w:sz w:val="32"/>
          <w:szCs w:val="32"/>
          <w:highlight w:val="none"/>
          <w:u w:val="none" w:color="auto"/>
          <w:lang w:val="en-US" w:eastAsia="zh-CN"/>
        </w:rPr>
        <w:t>精简快递企业分支机构、末端网点备案手续，推进快递领域工商登记“一照多址”改革。</w:t>
      </w:r>
    </w:p>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239" w:name="_Toc19668"/>
      <w:bookmarkStart w:id="1240" w:name="_Toc3878"/>
      <w:bookmarkStart w:id="1241" w:name="_Toc17850"/>
      <w:bookmarkStart w:id="1242" w:name="_Toc11141"/>
      <w:bookmarkStart w:id="1243" w:name="_Toc25012"/>
      <w:bookmarkStart w:id="1244" w:name="_Toc14957"/>
      <w:bookmarkStart w:id="1245" w:name="_Toc13484"/>
      <w:bookmarkStart w:id="1246" w:name="_Toc24858"/>
      <w:bookmarkStart w:id="1247" w:name="_Toc7259"/>
      <w:bookmarkStart w:id="1248" w:name="_Toc17951"/>
      <w:bookmarkStart w:id="1249" w:name="_Toc22884"/>
      <w:bookmarkStart w:id="1250" w:name="_Toc25344"/>
      <w:bookmarkStart w:id="1251" w:name="_Toc23655"/>
      <w:bookmarkStart w:id="1252" w:name="_Toc24930"/>
      <w:bookmarkStart w:id="1253" w:name="_Toc20252"/>
      <w:bookmarkStart w:id="1254" w:name="_Toc12997"/>
      <w:bookmarkStart w:id="1255" w:name="_Toc7251"/>
      <w:bookmarkStart w:id="1256" w:name="_Toc2689"/>
      <w:bookmarkStart w:id="1257" w:name="_Toc31769"/>
      <w:bookmarkStart w:id="1258" w:name="_Toc3342"/>
      <w:bookmarkStart w:id="1259" w:name="_Toc26890"/>
      <w:bookmarkStart w:id="1260" w:name="_Toc23934"/>
      <w:bookmarkStart w:id="1261" w:name="_Toc7283"/>
      <w:bookmarkStart w:id="1262" w:name="_Toc10460"/>
      <w:bookmarkStart w:id="1263" w:name="_Toc23654"/>
      <w:r>
        <w:rPr>
          <w:rFonts w:hint="default" w:ascii="Times New Roman" w:hAnsi="Times New Roman" w:eastAsia="楷体_GB2312" w:cs="Times New Roman"/>
          <w:b/>
          <w:bCs/>
          <w:color w:val="auto"/>
          <w:kern w:val="2"/>
          <w:sz w:val="32"/>
          <w:szCs w:val="32"/>
          <w:highlight w:val="none"/>
          <w:lang w:val="en-US" w:eastAsia="zh-CN" w:bidi="ar-SA"/>
        </w:rPr>
        <w:t>（二）全面推进物流领域降本增效</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1"/>
        <w:jc w:val="both"/>
        <w:outlineLvl w:val="9"/>
        <w:rPr>
          <w:rFonts w:hint="default" w:ascii="Times New Roman" w:hAnsi="Times New Roman" w:eastAsia="黑体" w:cs="Times New Roman"/>
          <w:b w:val="0"/>
          <w:bCs w:val="0"/>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u w:val="none" w:color="auto"/>
          <w:lang w:val="en-US" w:eastAsia="zh-CN" w:bidi="ar-SA"/>
        </w:rPr>
        <w:t>加强各类运输方式的转换衔接，积极发展多联式、集装箱</w:t>
      </w:r>
      <w:r>
        <w:rPr>
          <w:rFonts w:hint="default" w:ascii="Times New Roman" w:hAnsi="Times New Roman" w:eastAsia="仿宋_GB2312" w:cs="Times New Roman"/>
          <w:b w:val="0"/>
          <w:i w:val="0"/>
          <w:caps w:val="0"/>
          <w:color w:val="auto"/>
          <w:spacing w:val="0"/>
          <w:kern w:val="2"/>
          <w:sz w:val="32"/>
          <w:szCs w:val="32"/>
          <w:highlight w:val="none"/>
          <w:u w:val="none" w:color="auto"/>
          <w:shd w:val="clear" w:color="auto" w:fill="auto"/>
          <w:lang w:val="en-US" w:eastAsia="zh-CN" w:bidi="ar-SA"/>
        </w:rPr>
        <w:t>运输，加强不同运输方式在货物交接、合同运单、信息共享、责任划分、保险理赔等方面的制度与规范衔接。鼓励多式联运经营人申报国家多式联运示范工程，对入选工程给予不超过多式联运示范工程项目相关投资总额5%的奖励。</w:t>
      </w:r>
      <w:r>
        <w:rPr>
          <w:rFonts w:hint="default" w:ascii="Times New Roman" w:hAnsi="Times New Roman" w:eastAsia="仿宋_GB2312" w:cs="Times New Roman"/>
          <w:color w:val="auto"/>
          <w:sz w:val="32"/>
          <w:szCs w:val="32"/>
          <w:highlight w:val="none"/>
          <w:u w:val="none" w:color="auto"/>
          <w:lang w:eastAsia="zh-CN"/>
        </w:rPr>
        <w:t>全面</w:t>
      </w:r>
      <w:r>
        <w:rPr>
          <w:rFonts w:hint="default" w:ascii="Times New Roman" w:hAnsi="Times New Roman" w:eastAsia="仿宋_GB2312" w:cs="Times New Roman"/>
          <w:b w:val="0"/>
          <w:bCs w:val="0"/>
          <w:color w:val="auto"/>
          <w:sz w:val="32"/>
          <w:szCs w:val="32"/>
          <w:highlight w:val="none"/>
          <w:u w:val="none" w:color="auto"/>
          <w:lang w:val="en-US" w:eastAsia="zh-CN"/>
        </w:rPr>
        <w:t>落实固定资产进项税额抵扣、研发费用加计扣除、加速折旧等公转铁各项税收优惠政策</w:t>
      </w:r>
      <w:r>
        <w:rPr>
          <w:rFonts w:hint="default" w:ascii="Times New Roman" w:hAnsi="Times New Roman" w:eastAsia="仿宋_GB2312" w:cs="Times New Roman"/>
          <w:b w:val="0"/>
          <w:bCs w:val="0"/>
          <w:color w:val="auto"/>
          <w:kern w:val="2"/>
          <w:sz w:val="32"/>
          <w:szCs w:val="32"/>
          <w:highlight w:val="none"/>
          <w:lang w:val="en-US" w:eastAsia="zh-CN" w:bidi="ar-SA"/>
        </w:rPr>
        <w:t>，实行</w:t>
      </w:r>
      <w:r>
        <w:rPr>
          <w:rFonts w:hint="default" w:ascii="Times New Roman" w:hAnsi="Times New Roman" w:eastAsia="仿宋_GB2312" w:cs="Times New Roman"/>
          <w:b w:val="0"/>
          <w:bCs w:val="0"/>
          <w:color w:val="auto"/>
          <w:sz w:val="32"/>
          <w:szCs w:val="32"/>
          <w:highlight w:val="none"/>
          <w:u w:val="none" w:color="auto"/>
          <w:lang w:val="en-US" w:eastAsia="zh-CN"/>
        </w:rPr>
        <w:t>冷链物流企业用水、用电、用气与工业同价政策。开展物流领域收费检查，</w:t>
      </w:r>
      <w:r>
        <w:rPr>
          <w:rFonts w:hint="default" w:ascii="Times New Roman" w:hAnsi="Times New Roman" w:eastAsia="仿宋_GB2312" w:cs="Times New Roman"/>
          <w:i w:val="0"/>
          <w:caps w:val="0"/>
          <w:color w:val="auto"/>
          <w:spacing w:val="0"/>
          <w:sz w:val="32"/>
          <w:szCs w:val="32"/>
          <w:highlight w:val="none"/>
          <w:u w:val="none" w:color="auto"/>
          <w:shd w:val="clear"/>
        </w:rPr>
        <w:t>全面清理规范涉及物流业的各项收费，实施收费目录清单管理。</w:t>
      </w:r>
      <w:r>
        <w:rPr>
          <w:rFonts w:hint="default" w:ascii="Times New Roman" w:hAnsi="Times New Roman" w:eastAsia="仿宋_GB2312" w:cs="Times New Roman"/>
          <w:b w:val="0"/>
          <w:bCs w:val="0"/>
          <w:color w:val="auto"/>
          <w:sz w:val="32"/>
          <w:szCs w:val="32"/>
          <w:highlight w:val="none"/>
          <w:u w:val="none" w:color="auto"/>
          <w:lang w:val="en-US" w:eastAsia="zh-CN"/>
        </w:rPr>
        <w:t>探索在全市范围实施派件补贴政策，解决上</w:t>
      </w:r>
      <w:r>
        <w:rPr>
          <w:rFonts w:hint="eastAsia" w:ascii="Times New Roman" w:hAnsi="Times New Roman" w:eastAsia="仿宋_GB2312" w:cs="Times New Roman"/>
          <w:b w:val="0"/>
          <w:bCs w:val="0"/>
          <w:color w:val="auto"/>
          <w:sz w:val="32"/>
          <w:szCs w:val="32"/>
          <w:highlight w:val="none"/>
          <w:u w:val="none" w:color="auto"/>
          <w:lang w:val="en-US" w:eastAsia="zh-CN"/>
        </w:rPr>
        <w:t>下</w:t>
      </w:r>
      <w:r>
        <w:rPr>
          <w:rFonts w:hint="default" w:ascii="Times New Roman" w:hAnsi="Times New Roman" w:eastAsia="仿宋_GB2312" w:cs="Times New Roman"/>
          <w:b w:val="0"/>
          <w:bCs w:val="0"/>
          <w:color w:val="auto"/>
          <w:sz w:val="32"/>
          <w:szCs w:val="32"/>
          <w:highlight w:val="none"/>
          <w:u w:val="none" w:color="auto"/>
          <w:lang w:val="en-US" w:eastAsia="zh-CN"/>
        </w:rPr>
        <w:t>行难问题。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264" w:name="_Toc25877"/>
      <w:bookmarkStart w:id="1265" w:name="_Toc12371"/>
      <w:bookmarkStart w:id="1266" w:name="_Toc31795"/>
      <w:bookmarkStart w:id="1267" w:name="_Toc4858"/>
      <w:bookmarkStart w:id="1268" w:name="_Toc28749"/>
      <w:bookmarkStart w:id="1269" w:name="_Toc19349"/>
      <w:bookmarkStart w:id="1270" w:name="_Toc31833"/>
      <w:bookmarkStart w:id="1271" w:name="_Toc2677"/>
      <w:bookmarkStart w:id="1272" w:name="_Toc5911"/>
      <w:bookmarkStart w:id="1273" w:name="_Toc3715"/>
      <w:bookmarkStart w:id="1274" w:name="_Toc26614"/>
      <w:bookmarkStart w:id="1275" w:name="_Toc6285"/>
      <w:bookmarkStart w:id="1276" w:name="_Toc14970"/>
      <w:bookmarkStart w:id="1277" w:name="_Toc15658"/>
      <w:bookmarkStart w:id="1278" w:name="_Toc6260"/>
      <w:bookmarkStart w:id="1279" w:name="_Toc23853"/>
      <w:bookmarkStart w:id="1280" w:name="_Toc6800"/>
      <w:bookmarkStart w:id="1281" w:name="_Toc9324"/>
      <w:bookmarkStart w:id="1282" w:name="_Toc2232"/>
      <w:bookmarkStart w:id="1283" w:name="_Toc14858"/>
      <w:bookmarkStart w:id="1284" w:name="_Toc25636"/>
      <w:bookmarkStart w:id="1285" w:name="_Toc19412"/>
      <w:bookmarkStart w:id="1286" w:name="_Toc7830"/>
      <w:bookmarkStart w:id="1287" w:name="_Toc8307"/>
      <w:bookmarkStart w:id="1288" w:name="_Toc18355"/>
      <w:r>
        <w:rPr>
          <w:rFonts w:hint="default" w:ascii="Times New Roman" w:hAnsi="Times New Roman" w:eastAsia="楷体_GB2312" w:cs="Times New Roman"/>
          <w:b/>
          <w:bCs/>
          <w:color w:val="auto"/>
          <w:kern w:val="2"/>
          <w:sz w:val="32"/>
          <w:szCs w:val="32"/>
          <w:highlight w:val="none"/>
          <w:lang w:val="en-US" w:eastAsia="zh-CN" w:bidi="ar-SA"/>
        </w:rPr>
        <w:t>（三）加强现代物流发展用地保障</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 w:val="0"/>
          <w:bCs w:val="0"/>
          <w:color w:val="auto"/>
          <w:kern w:val="0"/>
          <w:sz w:val="32"/>
          <w:szCs w:val="32"/>
          <w:highlight w:val="none"/>
          <w:u w:val="none" w:color="auto"/>
          <w:lang w:val="en-US" w:eastAsia="zh-CN" w:bidi="ar"/>
        </w:rPr>
      </w:pPr>
      <w:r>
        <w:rPr>
          <w:rFonts w:hint="default" w:ascii="Times New Roman" w:hAnsi="Times New Roman" w:eastAsia="仿宋_GB2312" w:cs="Times New Roman"/>
          <w:b w:val="0"/>
          <w:bCs w:val="0"/>
          <w:color w:val="auto"/>
          <w:kern w:val="2"/>
          <w:sz w:val="32"/>
          <w:szCs w:val="32"/>
          <w:highlight w:val="none"/>
          <w:u w:val="none" w:color="auto"/>
          <w:lang w:val="en-US" w:eastAsia="zh-CN" w:bidi="ar-SA"/>
        </w:rPr>
        <w:t>优先保障物流用地，在符合土地利用总体规划和城市总体规划的前提下，优先保障</w:t>
      </w:r>
      <w:r>
        <w:rPr>
          <w:rFonts w:hint="default" w:ascii="Times New Roman" w:hAnsi="Times New Roman" w:eastAsia="仿宋_GB2312" w:cs="Times New Roman"/>
          <w:b w:val="0"/>
          <w:bCs w:val="0"/>
          <w:color w:val="auto"/>
          <w:kern w:val="0"/>
          <w:sz w:val="32"/>
          <w:szCs w:val="32"/>
          <w:highlight w:val="none"/>
          <w:u w:val="none" w:color="auto"/>
          <w:lang w:val="en-US" w:eastAsia="zh-CN" w:bidi="ar"/>
        </w:rPr>
        <w:t>纳入全市年度土地利用计划和供应计划的</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物流园区和重点物流项目建设用地需求。</w:t>
      </w:r>
      <w:r>
        <w:rPr>
          <w:rFonts w:hint="default" w:ascii="Times New Roman" w:hAnsi="Times New Roman" w:eastAsia="仿宋_GB2312" w:cs="Times New Roman"/>
          <w:b w:val="0"/>
          <w:bCs w:val="0"/>
          <w:color w:val="auto"/>
          <w:kern w:val="0"/>
          <w:sz w:val="32"/>
          <w:szCs w:val="32"/>
          <w:highlight w:val="none"/>
          <w:u w:val="none" w:color="auto"/>
          <w:lang w:val="en-US" w:eastAsia="zh-CN" w:bidi="ar"/>
        </w:rPr>
        <w:t>对属于物流仓储用地的，探索通过弹性年期出让、先租后让、租让结合等多种方式供地。提高物流项目用地强度，新建物流仓储用地容积率一般不低于2.0。在符合规划、不改变用途的前提下，对提高自有工业用地或仓储用地利用率、容积率并用于智能分拨转运等物流设施建设的，不再增收土地价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289" w:name="_Toc17326"/>
      <w:bookmarkStart w:id="1290" w:name="_Toc3700"/>
      <w:bookmarkStart w:id="1291" w:name="_Toc28803"/>
      <w:bookmarkStart w:id="1292" w:name="_Toc3995"/>
      <w:bookmarkStart w:id="1293" w:name="_Toc6160"/>
      <w:bookmarkStart w:id="1294" w:name="_Toc26767"/>
      <w:bookmarkStart w:id="1295" w:name="_Toc723"/>
      <w:bookmarkStart w:id="1296" w:name="_Toc15371"/>
      <w:bookmarkStart w:id="1297" w:name="_Toc28729"/>
      <w:bookmarkStart w:id="1298" w:name="_Toc19851"/>
      <w:bookmarkStart w:id="1299" w:name="_Toc21298"/>
      <w:bookmarkStart w:id="1300" w:name="_Toc20810"/>
      <w:bookmarkStart w:id="1301" w:name="_Toc22900"/>
      <w:bookmarkStart w:id="1302" w:name="_Toc9042"/>
      <w:bookmarkStart w:id="1303" w:name="_Toc24026"/>
      <w:bookmarkStart w:id="1304" w:name="_Toc15131"/>
      <w:bookmarkStart w:id="1305" w:name="_Toc27268"/>
      <w:bookmarkStart w:id="1306" w:name="_Toc25097"/>
      <w:bookmarkStart w:id="1307" w:name="_Toc13758"/>
      <w:bookmarkStart w:id="1308" w:name="_Toc32253"/>
      <w:bookmarkStart w:id="1309" w:name="_Toc7707"/>
      <w:bookmarkStart w:id="1310" w:name="_Toc25607"/>
      <w:bookmarkStart w:id="1311" w:name="_Toc19592"/>
      <w:bookmarkStart w:id="1312" w:name="_Toc28157"/>
      <w:bookmarkStart w:id="1313" w:name="_Toc19749"/>
      <w:r>
        <w:rPr>
          <w:rFonts w:hint="default" w:ascii="Times New Roman" w:hAnsi="Times New Roman" w:eastAsia="楷体_GB2312" w:cs="Times New Roman"/>
          <w:b/>
          <w:bCs/>
          <w:color w:val="auto"/>
          <w:kern w:val="2"/>
          <w:sz w:val="32"/>
          <w:szCs w:val="32"/>
          <w:highlight w:val="none"/>
          <w:lang w:val="en-US" w:eastAsia="zh-CN" w:bidi="ar-SA"/>
        </w:rPr>
        <w:t>（四）强化物流业人才支撑</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color w:val="auto"/>
          <w:kern w:val="2"/>
          <w:sz w:val="32"/>
          <w:szCs w:val="32"/>
          <w:highlight w:val="none"/>
          <w:u w:val="none" w:color="auto"/>
          <w:lang w:val="en-US" w:eastAsia="zh-CN" w:bidi="ar"/>
        </w:rPr>
        <w:t>加强行业人才引进，重点引进物流经营管理、物流工程技术、物流规划咨询、物流成本控制、物流经理人等高层次、复合型人才。</w:t>
      </w:r>
      <w:r>
        <w:rPr>
          <w:rFonts w:hint="default" w:ascii="Times New Roman" w:hAnsi="Times New Roman" w:eastAsia="仿宋_GB2312" w:cs="Times New Roman"/>
          <w:b w:val="0"/>
          <w:bCs w:val="0"/>
          <w:color w:val="auto"/>
          <w:sz w:val="32"/>
          <w:szCs w:val="32"/>
          <w:highlight w:val="none"/>
          <w:u w:val="none" w:color="auto"/>
          <w:lang w:val="en-US" w:eastAsia="zh-CN"/>
        </w:rPr>
        <w:t>建立本土人才常态化培育机制，支持和鼓励山西工程技术学院、阳泉职业技术学院等院校开设物流相关专业。建立校企合作机制，采用物流学历教育与短期培训相结合的办法，培养物流实用型人才。开展物流标准化、电子商务物流、冷链物流等重点领域技能人才培训，提升物流行业从业人员专业技术水平。支持和鼓励物流企业制定各种优惠政策，依托高校、政府、行业协会等多种渠道，加强对全市物流企业从业人员的岗前培训、在职培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314" w:name="_Toc24178"/>
      <w:bookmarkStart w:id="1315" w:name="_Toc27923"/>
      <w:bookmarkStart w:id="1316" w:name="_Toc648"/>
      <w:bookmarkStart w:id="1317" w:name="_Toc26049"/>
      <w:bookmarkStart w:id="1318" w:name="_Toc1694"/>
      <w:bookmarkStart w:id="1319" w:name="_Toc2771"/>
      <w:bookmarkStart w:id="1320" w:name="_Toc24695"/>
      <w:bookmarkStart w:id="1321" w:name="_Toc13845"/>
      <w:bookmarkStart w:id="1322" w:name="_Toc25103"/>
      <w:bookmarkStart w:id="1323" w:name="_Toc15127"/>
      <w:bookmarkStart w:id="1324" w:name="_Toc5358"/>
      <w:bookmarkStart w:id="1325" w:name="_Toc28292"/>
      <w:bookmarkStart w:id="1326" w:name="_Toc27715"/>
      <w:bookmarkStart w:id="1327" w:name="_Toc22797"/>
      <w:bookmarkStart w:id="1328" w:name="_Toc27302"/>
      <w:bookmarkStart w:id="1329" w:name="_Toc28857"/>
      <w:bookmarkStart w:id="1330" w:name="_Toc12627"/>
      <w:bookmarkStart w:id="1331" w:name="_Toc23064"/>
      <w:bookmarkStart w:id="1332" w:name="_Toc3489"/>
      <w:bookmarkStart w:id="1333" w:name="_Toc20197"/>
      <w:bookmarkStart w:id="1334" w:name="_Toc32687"/>
      <w:bookmarkStart w:id="1335" w:name="_Toc28971"/>
      <w:bookmarkStart w:id="1336" w:name="_Toc1807"/>
      <w:bookmarkStart w:id="1337" w:name="_Toc2930"/>
      <w:bookmarkStart w:id="1338" w:name="_Toc3300"/>
      <w:r>
        <w:rPr>
          <w:rFonts w:hint="default" w:ascii="Times New Roman" w:hAnsi="Times New Roman" w:eastAsia="楷体_GB2312" w:cs="Times New Roman"/>
          <w:b/>
          <w:bCs/>
          <w:color w:val="auto"/>
          <w:kern w:val="2"/>
          <w:sz w:val="32"/>
          <w:szCs w:val="32"/>
          <w:highlight w:val="none"/>
          <w:lang w:val="en-US" w:eastAsia="zh-CN" w:bidi="ar-SA"/>
        </w:rPr>
        <w:t>（五）</w:t>
      </w:r>
      <w:r>
        <w:rPr>
          <w:rFonts w:hint="default" w:ascii="Times New Roman" w:hAnsi="Times New Roman" w:eastAsia="楷体_GB2312" w:cs="Times New Roman"/>
          <w:b/>
          <w:bCs/>
          <w:color w:val="auto"/>
          <w:sz w:val="32"/>
          <w:szCs w:val="32"/>
          <w:highlight w:val="none"/>
          <w:u w:val="none" w:color="auto"/>
          <w:lang w:val="en-US" w:eastAsia="zh-CN"/>
        </w:rPr>
        <w:t>拓宽物流投资融资渠道</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600" w:lineRule="exact"/>
        <w:ind w:left="0" w:right="0" w:firstLine="640" w:firstLineChars="200"/>
        <w:jc w:val="both"/>
        <w:textAlignment w:val="auto"/>
        <w:rPr>
          <w:rFonts w:hint="default" w:ascii="Times New Roman" w:hAnsi="Times New Roman"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发展物流金融新模式，鼓励融资担保机构为现代物流企业提供信贷担保，在商业可持续、风险可控的前提下，加强对物流行业的资金、结算和个性化服务支持。结合物流行业生产周期、产业特点，合理确定物流企业授信额度、贷款期限与还款方式，创新服务渠道和模式，提升服务便利性和可获得性。建立现代物流业发展引导基金，引导社会资本投入国际陆港、冷链物流、城乡配送网络、公共信息平台等项目建设。创新物流企业融资机制，在政策范围允许下，鼓励物流企业集资融资、创业投资、上市筹资。</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339" w:name="_Toc4667"/>
      <w:bookmarkStart w:id="1340" w:name="_Toc23827"/>
      <w:bookmarkStart w:id="1341" w:name="_Toc17548"/>
      <w:bookmarkStart w:id="1342" w:name="_Toc3077"/>
      <w:bookmarkStart w:id="1343" w:name="_Toc30130"/>
      <w:bookmarkStart w:id="1344" w:name="_Toc1352"/>
      <w:bookmarkStart w:id="1345" w:name="_Toc3329"/>
      <w:bookmarkStart w:id="1346" w:name="_Toc21128"/>
      <w:bookmarkStart w:id="1347" w:name="_Toc5549"/>
      <w:bookmarkStart w:id="1348" w:name="_Toc10369"/>
      <w:bookmarkStart w:id="1349" w:name="_Toc19436"/>
      <w:bookmarkStart w:id="1350" w:name="_Toc32198"/>
      <w:bookmarkStart w:id="1351" w:name="_Toc5344"/>
      <w:bookmarkStart w:id="1352" w:name="_Toc28085"/>
      <w:bookmarkStart w:id="1353" w:name="_Toc21345"/>
      <w:bookmarkStart w:id="1354" w:name="_Toc29528"/>
      <w:bookmarkStart w:id="1355" w:name="_Toc26163"/>
      <w:bookmarkStart w:id="1356" w:name="_Toc26579"/>
      <w:bookmarkStart w:id="1357" w:name="_Toc6294"/>
      <w:bookmarkStart w:id="1358" w:name="_Toc6968"/>
      <w:bookmarkStart w:id="1359" w:name="_Toc25734"/>
      <w:bookmarkStart w:id="1360" w:name="_Toc2118"/>
      <w:bookmarkStart w:id="1361" w:name="_Toc31600"/>
      <w:bookmarkStart w:id="1362" w:name="_Toc20405"/>
      <w:bookmarkStart w:id="1363" w:name="_Toc30989"/>
      <w:r>
        <w:rPr>
          <w:rFonts w:hint="default" w:ascii="Times New Roman" w:hAnsi="Times New Roman" w:eastAsia="楷体_GB2312" w:cs="Times New Roman"/>
          <w:b/>
          <w:bCs/>
          <w:color w:val="auto"/>
          <w:kern w:val="2"/>
          <w:sz w:val="32"/>
          <w:szCs w:val="32"/>
          <w:highlight w:val="none"/>
          <w:lang w:val="en-US" w:eastAsia="zh-CN" w:bidi="ar-SA"/>
        </w:rPr>
        <w:t>（六）建立健全物流标准化体系</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pPr>
        <w:keepNext w:val="0"/>
        <w:keepLines w:val="0"/>
        <w:pageBreakBefore w:val="0"/>
        <w:widowControl w:val="0"/>
        <w:kinsoku/>
        <w:wordWrap/>
        <w:overflowPunct/>
        <w:topLinePunct w:val="0"/>
        <w:autoSpaceDE/>
        <w:autoSpaceDN/>
        <w:bidi w:val="0"/>
        <w:adjustRightInd/>
        <w:snapToGrid/>
        <w:spacing w:line="600" w:lineRule="exact"/>
        <w:ind w:firstLine="645"/>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支持物流、供应链企业和行业协会参与物流标准制定，对主导制定国家标准、地方标准、行业标准的，相关成果经标准化行政主管部门发布或备案后，分别给予每一个标准10万元、8万元、5万元一次性奖励。</w:t>
      </w:r>
      <w:r>
        <w:rPr>
          <w:rFonts w:hint="default" w:ascii="Times New Roman" w:hAnsi="Times New Roman" w:eastAsia="仿宋_GB2312" w:cs="Times New Roman"/>
          <w:color w:val="auto"/>
          <w:sz w:val="32"/>
          <w:szCs w:val="32"/>
          <w:highlight w:val="none"/>
          <w:lang w:eastAsia="zh-CN"/>
        </w:rPr>
        <w:t>积极</w:t>
      </w:r>
      <w:r>
        <w:rPr>
          <w:rFonts w:hint="default" w:ascii="Times New Roman" w:hAnsi="Times New Roman" w:eastAsia="仿宋_GB2312" w:cs="Times New Roman"/>
          <w:color w:val="auto"/>
          <w:sz w:val="32"/>
          <w:szCs w:val="32"/>
          <w:highlight w:val="none"/>
        </w:rPr>
        <w:t>推广物流</w:t>
      </w:r>
      <w:r>
        <w:rPr>
          <w:rFonts w:hint="default" w:ascii="Times New Roman" w:hAnsi="Times New Roman" w:eastAsia="仿宋_GB2312" w:cs="Times New Roman"/>
          <w:color w:val="auto"/>
          <w:sz w:val="32"/>
          <w:szCs w:val="32"/>
          <w:highlight w:val="none"/>
          <w:lang w:eastAsia="zh-CN"/>
        </w:rPr>
        <w:t>领域</w:t>
      </w:r>
      <w:r>
        <w:rPr>
          <w:rFonts w:hint="default" w:ascii="Times New Roman" w:hAnsi="Times New Roman" w:eastAsia="仿宋_GB2312" w:cs="Times New Roman"/>
          <w:color w:val="auto"/>
          <w:sz w:val="32"/>
          <w:szCs w:val="32"/>
          <w:highlight w:val="none"/>
        </w:rPr>
        <w:t>基础设施、技术装备、物流信息</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物流管理等方面的基础性、通用性标准</w:t>
      </w:r>
      <w:r>
        <w:rPr>
          <w:rFonts w:hint="default" w:ascii="Times New Roman" w:hAnsi="Times New Roman" w:eastAsia="仿宋_GB2312" w:cs="Times New Roman"/>
          <w:color w:val="auto"/>
          <w:kern w:val="2"/>
          <w:sz w:val="32"/>
          <w:szCs w:val="32"/>
          <w:highlight w:val="none"/>
          <w:lang w:val="en-US" w:eastAsia="zh-CN" w:bidi="ar"/>
        </w:rPr>
        <w:t>。</w:t>
      </w:r>
      <w:r>
        <w:rPr>
          <w:rFonts w:hint="default" w:ascii="Times New Roman" w:hAnsi="Times New Roman" w:eastAsia="仿宋_GB2312" w:cs="Times New Roman"/>
          <w:color w:val="auto"/>
          <w:sz w:val="32"/>
          <w:szCs w:val="32"/>
          <w:highlight w:val="none"/>
          <w:shd w:val="clear" w:color="auto" w:fill="auto"/>
          <w:lang w:bidi="ar"/>
        </w:rPr>
        <w:t>支持物流园区、仓储设施、转运设施、运输工具、停靠和装卸站点的标准化建设和改造，推动条形码、RFID等物流技术及智慧物流信息标准化建设。</w:t>
      </w:r>
      <w:r>
        <w:rPr>
          <w:rFonts w:hint="default" w:ascii="Times New Roman" w:hAnsi="Times New Roman" w:eastAsia="仿宋_GB2312" w:cs="Times New Roman"/>
          <w:color w:val="auto"/>
          <w:sz w:val="32"/>
          <w:szCs w:val="32"/>
          <w:highlight w:val="none"/>
          <w:lang w:bidi="ar"/>
        </w:rPr>
        <w:t>制订推</w:t>
      </w:r>
      <w:r>
        <w:rPr>
          <w:rFonts w:hint="default" w:ascii="Times New Roman" w:hAnsi="Times New Roman" w:eastAsia="仿宋_GB2312" w:cs="Times New Roman"/>
          <w:color w:val="auto"/>
          <w:sz w:val="32"/>
          <w:szCs w:val="32"/>
          <w:highlight w:val="none"/>
        </w:rPr>
        <w:t>广城市共享、农村物流、药品物流、</w:t>
      </w:r>
      <w:r>
        <w:rPr>
          <w:rFonts w:hint="default" w:ascii="Times New Roman" w:hAnsi="Times New Roman" w:eastAsia="仿宋_GB2312" w:cs="Times New Roman"/>
          <w:color w:val="auto"/>
          <w:sz w:val="32"/>
          <w:szCs w:val="32"/>
          <w:highlight w:val="none"/>
          <w:lang w:eastAsia="zh-CN"/>
        </w:rPr>
        <w:t>冷链物流、</w:t>
      </w:r>
      <w:r>
        <w:rPr>
          <w:rFonts w:hint="default" w:ascii="Times New Roman" w:hAnsi="Times New Roman" w:eastAsia="仿宋_GB2312" w:cs="Times New Roman"/>
          <w:color w:val="auto"/>
          <w:sz w:val="32"/>
          <w:szCs w:val="32"/>
          <w:highlight w:val="none"/>
        </w:rPr>
        <w:t>大宗商品物流</w:t>
      </w:r>
      <w:r>
        <w:rPr>
          <w:rFonts w:hint="default" w:ascii="Times New Roman" w:hAnsi="Times New Roman" w:eastAsia="仿宋_GB2312" w:cs="Times New Roman"/>
          <w:color w:val="auto"/>
          <w:sz w:val="32"/>
          <w:szCs w:val="32"/>
          <w:highlight w:val="none"/>
          <w:lang w:val="en-US" w:eastAsia="zh-CN"/>
        </w:rPr>
        <w:t>等细分领域</w:t>
      </w:r>
      <w:r>
        <w:rPr>
          <w:rFonts w:hint="default" w:ascii="Times New Roman" w:hAnsi="Times New Roman" w:eastAsia="仿宋_GB2312" w:cs="Times New Roman"/>
          <w:color w:val="auto"/>
          <w:sz w:val="32"/>
          <w:szCs w:val="32"/>
          <w:highlight w:val="none"/>
        </w:rPr>
        <w:t>服务规范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推进绿色物流评估标准和认定体系建设</w:t>
      </w:r>
      <w:r>
        <w:rPr>
          <w:rFonts w:hint="default" w:ascii="Times New Roman" w:hAnsi="Times New Roman" w:eastAsia="仿宋_GB2312" w:cs="Times New Roman"/>
          <w:color w:val="auto"/>
          <w:sz w:val="32"/>
          <w:szCs w:val="32"/>
          <w:highlight w:val="none"/>
          <w:lang w:eastAsia="zh-CN"/>
        </w:rPr>
        <w:t>。宣传推广</w:t>
      </w:r>
      <w:r>
        <w:rPr>
          <w:rFonts w:hint="default" w:ascii="Times New Roman" w:hAnsi="Times New Roman" w:eastAsia="仿宋_GB2312" w:cs="Times New Roman"/>
          <w:color w:val="auto"/>
          <w:sz w:val="32"/>
          <w:szCs w:val="32"/>
          <w:highlight w:val="none"/>
        </w:rPr>
        <w:t>企业物流信息交互</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物流公共信息平台应用开发、通用接口、数据传输</w:t>
      </w:r>
      <w:r>
        <w:rPr>
          <w:rFonts w:hint="default" w:ascii="Times New Roman" w:hAnsi="Times New Roman" w:eastAsia="仿宋_GB2312" w:cs="Times New Roman"/>
          <w:color w:val="auto"/>
          <w:sz w:val="32"/>
          <w:szCs w:val="32"/>
          <w:highlight w:val="none"/>
          <w:lang w:eastAsia="zh-CN"/>
        </w:rPr>
        <w:t>等相关</w:t>
      </w:r>
      <w:r>
        <w:rPr>
          <w:rFonts w:hint="default" w:ascii="Times New Roman" w:hAnsi="Times New Roman" w:eastAsia="仿宋_GB2312" w:cs="Times New Roman"/>
          <w:color w:val="auto"/>
          <w:sz w:val="32"/>
          <w:szCs w:val="32"/>
          <w:highlight w:val="none"/>
        </w:rPr>
        <w:t>标准。</w:t>
      </w:r>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i w:val="0"/>
          <w:caps w:val="0"/>
          <w:color w:val="auto"/>
          <w:spacing w:val="0"/>
          <w:sz w:val="32"/>
          <w:szCs w:val="32"/>
          <w:highlight w:val="none"/>
          <w:shd w:val="clear"/>
        </w:rPr>
      </w:pPr>
      <w:bookmarkStart w:id="1364" w:name="_Toc14287"/>
      <w:bookmarkStart w:id="1365" w:name="_Toc30895"/>
      <w:bookmarkStart w:id="1366" w:name="_Toc16885"/>
      <w:bookmarkStart w:id="1367" w:name="_Toc1302"/>
      <w:bookmarkStart w:id="1368" w:name="_Toc30007"/>
      <w:bookmarkStart w:id="1369" w:name="_Toc17801"/>
      <w:bookmarkStart w:id="1370" w:name="_Toc19211"/>
      <w:bookmarkStart w:id="1371" w:name="_Toc21392"/>
      <w:bookmarkStart w:id="1372" w:name="_Toc24940"/>
      <w:bookmarkStart w:id="1373" w:name="_Toc24523"/>
      <w:bookmarkStart w:id="1374" w:name="_Toc22990"/>
      <w:bookmarkStart w:id="1375" w:name="_Toc4082"/>
      <w:bookmarkStart w:id="1376" w:name="_Toc20738"/>
      <w:bookmarkStart w:id="1377" w:name="_Toc281"/>
      <w:bookmarkStart w:id="1378" w:name="_Toc14946"/>
      <w:bookmarkStart w:id="1379" w:name="_Toc22061"/>
      <w:bookmarkStart w:id="1380" w:name="_Toc14394"/>
      <w:bookmarkStart w:id="1381" w:name="_Toc25534"/>
      <w:bookmarkStart w:id="1382" w:name="_Toc32025"/>
      <w:bookmarkStart w:id="1383" w:name="_Toc10018"/>
      <w:bookmarkStart w:id="1384" w:name="_Toc15231"/>
      <w:bookmarkStart w:id="1385" w:name="_Toc24988"/>
      <w:bookmarkStart w:id="1386" w:name="_Toc13181"/>
      <w:bookmarkStart w:id="1387" w:name="_Toc4241"/>
      <w:bookmarkStart w:id="1388" w:name="_Toc22435"/>
      <w:r>
        <w:rPr>
          <w:rFonts w:hint="default" w:ascii="Times New Roman" w:hAnsi="Times New Roman" w:eastAsia="楷体_GB2312" w:cs="Times New Roman"/>
          <w:b/>
          <w:bCs/>
          <w:i w:val="0"/>
          <w:caps w:val="0"/>
          <w:color w:val="auto"/>
          <w:spacing w:val="0"/>
          <w:kern w:val="2"/>
          <w:sz w:val="32"/>
          <w:szCs w:val="32"/>
          <w:highlight w:val="none"/>
          <w:shd w:val="clear"/>
          <w:lang w:eastAsia="zh-CN" w:bidi="ar-SA"/>
        </w:rPr>
        <w:t>（</w:t>
      </w:r>
      <w:r>
        <w:rPr>
          <w:rFonts w:hint="default" w:ascii="Times New Roman" w:hAnsi="Times New Roman" w:eastAsia="楷体_GB2312" w:cs="Times New Roman"/>
          <w:b/>
          <w:bCs/>
          <w:i w:val="0"/>
          <w:caps w:val="0"/>
          <w:color w:val="auto"/>
          <w:spacing w:val="0"/>
          <w:kern w:val="2"/>
          <w:sz w:val="32"/>
          <w:szCs w:val="32"/>
          <w:highlight w:val="none"/>
          <w:shd w:val="clear"/>
          <w:lang w:val="en-US" w:eastAsia="zh-CN" w:bidi="ar-SA"/>
        </w:rPr>
        <w:t>七</w:t>
      </w:r>
      <w:r>
        <w:rPr>
          <w:rFonts w:hint="default" w:ascii="Times New Roman" w:hAnsi="Times New Roman" w:eastAsia="楷体_GB2312" w:cs="Times New Roman"/>
          <w:b/>
          <w:bCs/>
          <w:i w:val="0"/>
          <w:caps w:val="0"/>
          <w:color w:val="auto"/>
          <w:spacing w:val="0"/>
          <w:kern w:val="2"/>
          <w:sz w:val="32"/>
          <w:szCs w:val="32"/>
          <w:highlight w:val="none"/>
          <w:shd w:val="clear"/>
          <w:lang w:eastAsia="zh-CN" w:bidi="ar-SA"/>
        </w:rPr>
        <w:t>）</w:t>
      </w:r>
      <w:r>
        <w:rPr>
          <w:rFonts w:hint="default" w:ascii="Times New Roman" w:hAnsi="Times New Roman" w:eastAsia="楷体_GB2312" w:cs="Times New Roman"/>
          <w:b/>
          <w:bCs/>
          <w:i w:val="0"/>
          <w:caps w:val="0"/>
          <w:color w:val="auto"/>
          <w:spacing w:val="0"/>
          <w:sz w:val="32"/>
          <w:szCs w:val="32"/>
          <w:highlight w:val="none"/>
          <w:shd w:val="clear" w:fill="auto"/>
          <w:lang w:eastAsia="zh-CN"/>
        </w:rPr>
        <w:t>提高</w:t>
      </w:r>
      <w:r>
        <w:rPr>
          <w:rFonts w:hint="default" w:ascii="Times New Roman" w:hAnsi="Times New Roman" w:eastAsia="楷体_GB2312" w:cs="Times New Roman"/>
          <w:b/>
          <w:bCs/>
          <w:i w:val="0"/>
          <w:caps w:val="0"/>
          <w:color w:val="auto"/>
          <w:spacing w:val="0"/>
          <w:sz w:val="32"/>
          <w:szCs w:val="32"/>
          <w:highlight w:val="none"/>
          <w:shd w:val="clear" w:fill="auto"/>
        </w:rPr>
        <w:t>行业安全</w:t>
      </w:r>
      <w:r>
        <w:rPr>
          <w:rFonts w:hint="default" w:ascii="Times New Roman" w:hAnsi="Times New Roman" w:eastAsia="楷体_GB2312" w:cs="Times New Roman"/>
          <w:b/>
          <w:bCs/>
          <w:i w:val="0"/>
          <w:caps w:val="0"/>
          <w:color w:val="auto"/>
          <w:spacing w:val="0"/>
          <w:sz w:val="32"/>
          <w:szCs w:val="32"/>
          <w:highlight w:val="none"/>
          <w:shd w:val="clear"/>
          <w:lang w:eastAsia="zh-CN"/>
        </w:rPr>
        <w:t>监督管理水平</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600" w:lineRule="exact"/>
        <w:ind w:firstLine="640" w:firstLineChars="200"/>
        <w:jc w:val="both"/>
        <w:rPr>
          <w:rFonts w:hint="default" w:ascii="Times New Roman" w:hAnsi="Times New Roman"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i w:val="0"/>
          <w:caps w:val="0"/>
          <w:color w:val="auto"/>
          <w:spacing w:val="0"/>
          <w:sz w:val="32"/>
          <w:szCs w:val="32"/>
          <w:highlight w:val="none"/>
          <w:shd w:val="clear" w:fill="auto"/>
        </w:rPr>
        <w:t>加快构建行业安全综合监管机制，</w:t>
      </w:r>
      <w:r>
        <w:rPr>
          <w:rFonts w:hint="default" w:ascii="Times New Roman" w:hAnsi="Times New Roman" w:eastAsia="仿宋_GB2312" w:cs="Times New Roman"/>
          <w:color w:val="auto"/>
          <w:kern w:val="2"/>
          <w:sz w:val="32"/>
          <w:szCs w:val="32"/>
          <w:highlight w:val="none"/>
          <w:lang w:val="en-US" w:eastAsia="zh-CN" w:bidi="ar-SA"/>
        </w:rPr>
        <w:t>落实物流企业安全主体责任，推行</w:t>
      </w:r>
      <w:r>
        <w:rPr>
          <w:rFonts w:hint="default" w:ascii="Times New Roman" w:hAnsi="Times New Roman" w:eastAsia="仿宋_GB2312" w:cs="Times New Roman"/>
          <w:i w:val="0"/>
          <w:caps w:val="0"/>
          <w:color w:val="auto"/>
          <w:spacing w:val="0"/>
          <w:sz w:val="32"/>
          <w:szCs w:val="32"/>
          <w:highlight w:val="none"/>
          <w:shd w:val="clear" w:fill="auto"/>
        </w:rPr>
        <w:t>物流企业和从业人员分类分级管理</w:t>
      </w:r>
      <w:r>
        <w:rPr>
          <w:rFonts w:hint="default" w:ascii="Times New Roman" w:hAnsi="Times New Roman" w:eastAsia="仿宋_GB2312" w:cs="Times New Roman"/>
          <w:i w:val="0"/>
          <w:caps w:val="0"/>
          <w:color w:val="auto"/>
          <w:spacing w:val="0"/>
          <w:sz w:val="32"/>
          <w:szCs w:val="32"/>
          <w:highlight w:val="none"/>
          <w:shd w:val="clear" w:fill="auto"/>
          <w:lang w:eastAsia="zh-CN"/>
        </w:rPr>
        <w:t>。</w:t>
      </w:r>
      <w:r>
        <w:rPr>
          <w:rFonts w:hint="default" w:ascii="Times New Roman" w:hAnsi="Times New Roman" w:eastAsia="仿宋_GB2312" w:cs="Times New Roman"/>
          <w:i w:val="0"/>
          <w:caps w:val="0"/>
          <w:color w:val="auto"/>
          <w:spacing w:val="0"/>
          <w:sz w:val="32"/>
          <w:szCs w:val="32"/>
          <w:highlight w:val="none"/>
          <w:shd w:val="clear" w:fill="auto"/>
        </w:rPr>
        <w:t>创新安全监管方式，强化市场手段监管</w:t>
      </w:r>
      <w:r>
        <w:rPr>
          <w:rFonts w:hint="default" w:ascii="Times New Roman" w:hAnsi="Times New Roman" w:eastAsia="仿宋_GB2312" w:cs="Times New Roman"/>
          <w:i w:val="0"/>
          <w:caps w:val="0"/>
          <w:color w:val="auto"/>
          <w:spacing w:val="0"/>
          <w:sz w:val="32"/>
          <w:szCs w:val="32"/>
          <w:highlight w:val="none"/>
          <w:shd w:val="clear" w:fill="auto"/>
          <w:lang w:eastAsia="zh-CN"/>
        </w:rPr>
        <w:t>，</w:t>
      </w:r>
      <w:r>
        <w:rPr>
          <w:rFonts w:hint="default" w:ascii="Times New Roman" w:hAnsi="Times New Roman" w:eastAsia="仿宋_GB2312" w:cs="Times New Roman"/>
          <w:i w:val="0"/>
          <w:caps w:val="0"/>
          <w:color w:val="auto"/>
          <w:spacing w:val="0"/>
          <w:sz w:val="32"/>
          <w:szCs w:val="32"/>
          <w:highlight w:val="none"/>
          <w:shd w:val="clear" w:fill="auto"/>
        </w:rPr>
        <w:t>引入保险费率等经济杠杆和第三方机构。</w:t>
      </w:r>
      <w:r>
        <w:rPr>
          <w:rFonts w:hint="default" w:ascii="Times New Roman" w:hAnsi="Times New Roman" w:eastAsia="仿宋_GB2312" w:cs="Times New Roman"/>
          <w:color w:val="auto"/>
          <w:kern w:val="2"/>
          <w:sz w:val="32"/>
          <w:szCs w:val="32"/>
          <w:highlight w:val="none"/>
          <w:lang w:val="en-US" w:eastAsia="zh-CN" w:bidi="ar-SA"/>
        </w:rPr>
        <w:t>加强对物流车辆和设施设备的检验检测，确保运输装备产品安全。</w:t>
      </w:r>
      <w:r>
        <w:rPr>
          <w:rFonts w:hint="default" w:ascii="Times New Roman" w:hAnsi="Times New Roman" w:eastAsia="仿宋_GB2312" w:cs="Times New Roman"/>
          <w:i w:val="0"/>
          <w:caps w:val="0"/>
          <w:color w:val="auto"/>
          <w:spacing w:val="0"/>
          <w:sz w:val="32"/>
          <w:szCs w:val="32"/>
          <w:highlight w:val="none"/>
          <w:shd w:val="clear" w:fill="auto"/>
        </w:rPr>
        <w:t>加强寄递渠道安全监管</w:t>
      </w:r>
      <w:r>
        <w:rPr>
          <w:rFonts w:hint="default" w:ascii="Times New Roman" w:hAnsi="Times New Roman" w:eastAsia="仿宋_GB2312" w:cs="Times New Roman"/>
          <w:i w:val="0"/>
          <w:caps w:val="0"/>
          <w:color w:val="auto"/>
          <w:spacing w:val="0"/>
          <w:sz w:val="32"/>
          <w:szCs w:val="32"/>
          <w:highlight w:val="none"/>
          <w:shd w:val="clear" w:fill="auto"/>
          <w:lang w:eastAsia="zh-CN"/>
        </w:rPr>
        <w:t>，</w:t>
      </w:r>
      <w:r>
        <w:rPr>
          <w:rFonts w:hint="default" w:ascii="Times New Roman" w:hAnsi="Times New Roman" w:eastAsia="仿宋_GB2312" w:cs="Times New Roman"/>
          <w:i w:val="0"/>
          <w:caps w:val="0"/>
          <w:color w:val="auto"/>
          <w:spacing w:val="0"/>
          <w:sz w:val="32"/>
          <w:szCs w:val="32"/>
          <w:highlight w:val="none"/>
          <w:shd w:val="clear" w:fill="auto"/>
        </w:rPr>
        <w:t>监督规范快递企业落实收寄验视、实名收寄</w:t>
      </w:r>
      <w:r>
        <w:rPr>
          <w:rFonts w:hint="default" w:ascii="Times New Roman" w:hAnsi="Times New Roman" w:eastAsia="仿宋_GB2312" w:cs="Times New Roman"/>
          <w:i w:val="0"/>
          <w:caps w:val="0"/>
          <w:color w:val="auto"/>
          <w:spacing w:val="0"/>
          <w:sz w:val="32"/>
          <w:szCs w:val="32"/>
          <w:highlight w:val="none"/>
          <w:shd w:val="clear" w:fill="auto"/>
          <w:lang w:val="en-US" w:eastAsia="zh-CN"/>
        </w:rPr>
        <w:t>等</w:t>
      </w:r>
      <w:r>
        <w:rPr>
          <w:rFonts w:hint="default" w:ascii="Times New Roman" w:hAnsi="Times New Roman" w:eastAsia="仿宋_GB2312" w:cs="Times New Roman"/>
          <w:i w:val="0"/>
          <w:caps w:val="0"/>
          <w:color w:val="auto"/>
          <w:spacing w:val="0"/>
          <w:sz w:val="32"/>
          <w:szCs w:val="32"/>
          <w:highlight w:val="none"/>
          <w:shd w:val="clear" w:fill="auto"/>
        </w:rPr>
        <w:t>有关要求</w:t>
      </w:r>
      <w:r>
        <w:rPr>
          <w:rFonts w:hint="default" w:ascii="Times New Roman" w:hAnsi="Times New Roman" w:eastAsia="仿宋_GB2312" w:cs="Times New Roman"/>
          <w:i w:val="0"/>
          <w:caps w:val="0"/>
          <w:color w:val="auto"/>
          <w:spacing w:val="0"/>
          <w:sz w:val="32"/>
          <w:szCs w:val="32"/>
          <w:highlight w:val="none"/>
          <w:shd w:val="clear" w:fill="auto"/>
          <w:lang w:eastAsia="zh-CN"/>
        </w:rPr>
        <w:t>。</w:t>
      </w:r>
      <w:r>
        <w:rPr>
          <w:rFonts w:hint="default" w:ascii="Times New Roman" w:hAnsi="Times New Roman" w:eastAsia="仿宋_GB2312" w:cs="Times New Roman"/>
          <w:i w:val="0"/>
          <w:caps w:val="0"/>
          <w:color w:val="auto"/>
          <w:spacing w:val="0"/>
          <w:sz w:val="32"/>
          <w:szCs w:val="32"/>
          <w:highlight w:val="none"/>
          <w:shd w:val="clear" w:fill="auto"/>
        </w:rPr>
        <w:t>加强行业安全预防体系和队伍建设，</w:t>
      </w:r>
      <w:r>
        <w:rPr>
          <w:rFonts w:hint="default" w:ascii="Times New Roman" w:hAnsi="Times New Roman" w:eastAsia="仿宋_GB2312" w:cs="Times New Roman"/>
          <w:color w:val="auto"/>
          <w:kern w:val="2"/>
          <w:sz w:val="32"/>
          <w:szCs w:val="32"/>
          <w:highlight w:val="none"/>
          <w:lang w:val="en-US" w:eastAsia="zh-CN" w:bidi="ar-SA"/>
        </w:rPr>
        <w:t>加大宣传教育力度，</w:t>
      </w:r>
      <w:r>
        <w:rPr>
          <w:rFonts w:hint="default" w:ascii="Times New Roman" w:hAnsi="Times New Roman" w:eastAsia="仿宋_GB2312" w:cs="Times New Roman"/>
          <w:i w:val="0"/>
          <w:caps w:val="0"/>
          <w:color w:val="auto"/>
          <w:spacing w:val="0"/>
          <w:sz w:val="32"/>
          <w:szCs w:val="32"/>
          <w:highlight w:val="none"/>
          <w:shd w:val="clear" w:fill="auto"/>
        </w:rPr>
        <w:t>提升应急响应能力</w:t>
      </w:r>
      <w:r>
        <w:rPr>
          <w:rFonts w:hint="default" w:ascii="Times New Roman" w:hAnsi="Times New Roman" w:eastAsia="仿宋_GB2312" w:cs="Times New Roman"/>
          <w:color w:val="auto"/>
          <w:kern w:val="2"/>
          <w:sz w:val="32"/>
          <w:szCs w:val="32"/>
          <w:highlight w:val="none"/>
          <w:lang w:val="en-US" w:eastAsia="zh-CN" w:bidi="ar-SA"/>
        </w:rPr>
        <w:t>。</w:t>
      </w:r>
      <w:r>
        <w:rPr>
          <w:rFonts w:hint="default" w:ascii="Times New Roman" w:hAnsi="Times New Roman" w:eastAsia="仿宋_GB2312" w:cs="Times New Roman"/>
          <w:b w:val="0"/>
          <w:bCs w:val="0"/>
          <w:color w:val="auto"/>
          <w:sz w:val="32"/>
          <w:szCs w:val="32"/>
          <w:highlight w:val="none"/>
          <w:u w:val="none" w:color="auto"/>
          <w:lang w:val="en-US" w:eastAsia="zh-CN"/>
        </w:rPr>
        <w:t>强化物流企业和从业人员诚信信息归集、共享、公开和使用，建立健全市场主体诚信档案、行业黑名单制度和市场退出机制。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color w:val="auto"/>
          <w:sz w:val="32"/>
          <w:szCs w:val="32"/>
          <w:highlight w:val="none"/>
          <w:lang w:val="en-US" w:eastAsia="zh-CN"/>
        </w:rPr>
      </w:pPr>
      <w:bookmarkStart w:id="1389" w:name="_Toc3379"/>
      <w:bookmarkStart w:id="1390" w:name="_Toc16019"/>
      <w:bookmarkStart w:id="1391" w:name="_Toc29575"/>
      <w:bookmarkStart w:id="1392" w:name="_Toc7481"/>
      <w:bookmarkStart w:id="1393" w:name="_Toc11397"/>
      <w:bookmarkStart w:id="1394" w:name="_Toc15933"/>
      <w:bookmarkStart w:id="1395" w:name="_Toc17357"/>
      <w:bookmarkStart w:id="1396" w:name="_Toc11222"/>
      <w:bookmarkStart w:id="1397" w:name="_Toc11049"/>
      <w:bookmarkStart w:id="1398" w:name="_Toc193"/>
      <w:bookmarkStart w:id="1399" w:name="_Toc5364"/>
      <w:bookmarkStart w:id="1400" w:name="_Toc1066"/>
      <w:bookmarkStart w:id="1401" w:name="_Toc7964"/>
      <w:bookmarkStart w:id="1402" w:name="_Toc29657"/>
      <w:bookmarkStart w:id="1403" w:name="_Toc9363"/>
      <w:bookmarkStart w:id="1404" w:name="_Toc7282"/>
      <w:bookmarkStart w:id="1405" w:name="_Toc27566"/>
      <w:bookmarkStart w:id="1406" w:name="_Toc15959"/>
      <w:bookmarkStart w:id="1407" w:name="_Toc16979"/>
      <w:bookmarkStart w:id="1408" w:name="_Toc2353"/>
      <w:bookmarkStart w:id="1409" w:name="_Toc8075"/>
      <w:bookmarkStart w:id="1410" w:name="_Toc2145"/>
      <w:bookmarkStart w:id="1411" w:name="_Toc17256"/>
      <w:bookmarkStart w:id="1412" w:name="_Toc271"/>
      <w:bookmarkStart w:id="1413" w:name="_Toc17905"/>
      <w:r>
        <w:rPr>
          <w:rFonts w:hint="default" w:ascii="Times New Roman" w:hAnsi="Times New Roman" w:eastAsia="黑体" w:cs="Times New Roman"/>
          <w:b w:val="0"/>
          <w:bCs w:val="0"/>
          <w:color w:val="auto"/>
          <w:sz w:val="32"/>
          <w:szCs w:val="32"/>
          <w:highlight w:val="none"/>
          <w:lang w:val="en-US" w:eastAsia="zh-CN"/>
        </w:rPr>
        <w:t>十二、保障措施</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bookmarkEnd w:id="15"/>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414" w:name="_Toc30459"/>
      <w:bookmarkStart w:id="1415" w:name="_Toc22881"/>
      <w:bookmarkStart w:id="1416" w:name="_Toc16452"/>
      <w:bookmarkStart w:id="1417" w:name="_Toc3755"/>
      <w:bookmarkStart w:id="1418" w:name="_Toc25054"/>
      <w:bookmarkStart w:id="1419" w:name="_Toc27980"/>
      <w:bookmarkStart w:id="1420" w:name="_Toc4941"/>
      <w:bookmarkStart w:id="1421" w:name="_Toc1356"/>
      <w:bookmarkStart w:id="1422" w:name="_Toc24079"/>
      <w:bookmarkStart w:id="1423" w:name="_Toc8084"/>
      <w:bookmarkStart w:id="1424" w:name="_Toc21718"/>
      <w:bookmarkStart w:id="1425" w:name="_Toc25850"/>
      <w:bookmarkStart w:id="1426" w:name="_Toc866"/>
      <w:bookmarkStart w:id="1427" w:name="_Toc12695"/>
      <w:bookmarkStart w:id="1428" w:name="_Toc436"/>
      <w:bookmarkStart w:id="1429" w:name="_Toc22751"/>
      <w:bookmarkStart w:id="1430" w:name="_Toc9470"/>
      <w:bookmarkStart w:id="1431" w:name="_Toc31775"/>
      <w:bookmarkStart w:id="1432" w:name="_Toc4640"/>
      <w:bookmarkStart w:id="1433" w:name="_Toc20193"/>
      <w:bookmarkStart w:id="1434" w:name="_Toc19129"/>
      <w:bookmarkStart w:id="1435" w:name="_Toc4309"/>
      <w:bookmarkStart w:id="1436" w:name="_Toc27937"/>
      <w:bookmarkStart w:id="1437" w:name="_Toc8770"/>
      <w:bookmarkStart w:id="1438" w:name="_Toc16593"/>
      <w:bookmarkStart w:id="1439" w:name="_Toc28863"/>
      <w:bookmarkStart w:id="1440" w:name="_Toc32255"/>
      <w:bookmarkStart w:id="1441" w:name="_Toc7046"/>
      <w:bookmarkStart w:id="1442" w:name="_Toc6409"/>
      <w:bookmarkStart w:id="1443" w:name="_Toc5328"/>
      <w:bookmarkStart w:id="1444" w:name="_Toc13474"/>
      <w:bookmarkStart w:id="1445" w:name="_Toc23552"/>
      <w:bookmarkStart w:id="1446" w:name="_Toc27983"/>
      <w:bookmarkStart w:id="1447" w:name="_Toc26974"/>
      <w:bookmarkStart w:id="1448" w:name="_Toc10056"/>
      <w:bookmarkStart w:id="1449" w:name="_Toc12949"/>
      <w:bookmarkStart w:id="1450" w:name="_Toc1655"/>
      <w:bookmarkStart w:id="1451" w:name="_Toc1190"/>
      <w:bookmarkStart w:id="1452" w:name="_Toc30697"/>
      <w:bookmarkStart w:id="1453" w:name="_Toc32688"/>
      <w:r>
        <w:rPr>
          <w:rFonts w:hint="default" w:ascii="Times New Roman" w:hAnsi="Times New Roman" w:eastAsia="楷体_GB2312" w:cs="Times New Roman"/>
          <w:b/>
          <w:bCs/>
          <w:color w:val="auto"/>
          <w:kern w:val="2"/>
          <w:sz w:val="32"/>
          <w:szCs w:val="32"/>
          <w:highlight w:val="none"/>
          <w:lang w:val="en-US" w:eastAsia="zh-CN" w:bidi="ar-SA"/>
        </w:rPr>
        <w:t>（一）加强组织领导</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sz w:val="32"/>
          <w:szCs w:val="32"/>
          <w:highlight w:val="none"/>
          <w:u w:val="none" w:color="auto"/>
        </w:rPr>
      </w:pPr>
      <w:r>
        <w:rPr>
          <w:rFonts w:hint="eastAsia" w:ascii="Times New Roman" w:hAnsi="Times New Roman" w:eastAsia="仿宋_GB2312" w:cs="Times New Roman"/>
          <w:b w:val="0"/>
          <w:bCs w:val="0"/>
          <w:color w:val="auto"/>
          <w:sz w:val="32"/>
          <w:szCs w:val="32"/>
          <w:highlight w:val="none"/>
          <w:u w:val="none" w:color="auto"/>
          <w:lang w:val="en-US" w:eastAsia="zh-CN"/>
        </w:rPr>
        <w:t>发挥阳泉市现代物流工作联席会议制度作用</w:t>
      </w:r>
      <w:r>
        <w:rPr>
          <w:rFonts w:hint="default" w:ascii="Times New Roman" w:hAnsi="Times New Roman" w:eastAsia="仿宋_GB2312" w:cs="Times New Roman"/>
          <w:b w:val="0"/>
          <w:bCs w:val="0"/>
          <w:color w:val="auto"/>
          <w:sz w:val="32"/>
          <w:szCs w:val="32"/>
          <w:highlight w:val="none"/>
          <w:u w:val="none" w:color="auto"/>
          <w:lang w:val="en-US" w:eastAsia="zh-CN"/>
        </w:rPr>
        <w:t>，</w:t>
      </w:r>
      <w:r>
        <w:rPr>
          <w:rFonts w:ascii="Times New Roman" w:hAnsi="Times New Roman" w:eastAsia="FangSong_GB2312" w:cs="Times New Roman"/>
          <w:sz w:val="32"/>
          <w:szCs w:val="32"/>
        </w:rPr>
        <w:t>研究提出有关工作思路以及</w:t>
      </w:r>
      <w:r>
        <w:rPr>
          <w:rFonts w:hint="eastAsia" w:ascii="Times New Roman" w:hAnsi="Times New Roman" w:eastAsia="FangSong_GB2312" w:cs="Times New Roman"/>
          <w:sz w:val="32"/>
          <w:szCs w:val="32"/>
          <w:lang w:eastAsia="zh-CN"/>
        </w:rPr>
        <w:t>推动阳泉市现代物流产业</w:t>
      </w:r>
      <w:r>
        <w:rPr>
          <w:rFonts w:ascii="Times New Roman" w:hAnsi="Times New Roman" w:eastAsia="FangSong_GB2312" w:cs="Times New Roman"/>
          <w:sz w:val="32"/>
          <w:szCs w:val="32"/>
        </w:rPr>
        <w:t>的政策建议</w:t>
      </w:r>
      <w:r>
        <w:rPr>
          <w:rFonts w:hint="eastAsia" w:ascii="Times New Roman" w:hAnsi="Times New Roman" w:eastAsia="FangSong_GB2312" w:cs="Times New Roman"/>
          <w:sz w:val="32"/>
          <w:szCs w:val="32"/>
          <w:lang w:eastAsia="zh-CN"/>
        </w:rPr>
        <w:t>，</w:t>
      </w:r>
      <w:r>
        <w:rPr>
          <w:rFonts w:ascii="Times New Roman" w:hAnsi="Times New Roman" w:eastAsia="FangSong_GB2312" w:cs="Times New Roman"/>
          <w:sz w:val="32"/>
          <w:szCs w:val="32"/>
        </w:rPr>
        <w:t>协调解决</w:t>
      </w:r>
      <w:r>
        <w:rPr>
          <w:rFonts w:hint="eastAsia" w:ascii="Times New Roman" w:hAnsi="Times New Roman" w:eastAsia="FangSong_GB2312" w:cs="Times New Roman"/>
          <w:sz w:val="32"/>
          <w:szCs w:val="32"/>
          <w:lang w:eastAsia="zh-CN"/>
        </w:rPr>
        <w:t>现代</w:t>
      </w:r>
      <w:r>
        <w:rPr>
          <w:rFonts w:hint="eastAsia" w:ascii="Times New Roman" w:hAnsi="Times New Roman" w:eastAsia="FangSong_GB2312" w:cs="Times New Roman"/>
          <w:sz w:val="32"/>
          <w:szCs w:val="32"/>
        </w:rPr>
        <w:t>物流业发展中存在的重大问题</w:t>
      </w:r>
      <w:r>
        <w:rPr>
          <w:rFonts w:hint="eastAsia" w:ascii="Times New Roman" w:hAnsi="Times New Roman" w:eastAsia="FangSong_GB2312" w:cs="Times New Roman"/>
          <w:sz w:val="32"/>
          <w:szCs w:val="32"/>
          <w:lang w:eastAsia="zh-CN"/>
        </w:rPr>
        <w:t>。</w:t>
      </w:r>
      <w:r>
        <w:rPr>
          <w:rFonts w:hint="eastAsia" w:ascii="Times New Roman" w:hAnsi="Times New Roman" w:eastAsia="仿宋_GB2312" w:cs="Times New Roman"/>
          <w:color w:val="auto"/>
          <w:sz w:val="32"/>
          <w:szCs w:val="32"/>
          <w:highlight w:val="none"/>
          <w:u w:val="none" w:color="auto"/>
          <w:lang w:val="en-US" w:eastAsia="zh-CN"/>
        </w:rPr>
        <w:t>发改、工信、商务、交通等部门要</w:t>
      </w:r>
      <w:r>
        <w:rPr>
          <w:rFonts w:hint="default" w:ascii="Times New Roman" w:hAnsi="Times New Roman" w:eastAsia="仿宋_GB2312" w:cs="Times New Roman"/>
          <w:color w:val="auto"/>
          <w:sz w:val="32"/>
          <w:szCs w:val="32"/>
          <w:highlight w:val="none"/>
          <w:u w:val="none" w:color="auto"/>
          <w:lang w:val="en-US"/>
        </w:rPr>
        <w:t>创新工作思路，</w:t>
      </w:r>
      <w:r>
        <w:rPr>
          <w:rFonts w:hint="default" w:ascii="Times New Roman" w:hAnsi="Times New Roman" w:eastAsia="仿宋_GB2312" w:cs="Times New Roman"/>
          <w:color w:val="auto"/>
          <w:sz w:val="32"/>
          <w:szCs w:val="32"/>
          <w:highlight w:val="none"/>
          <w:u w:val="none" w:color="auto"/>
          <w:lang w:val="en-US" w:eastAsia="zh-CN"/>
        </w:rPr>
        <w:t>把重点任务和政策举措落实到各县（区）</w:t>
      </w:r>
      <w:r>
        <w:rPr>
          <w:rFonts w:hint="default" w:ascii="Times New Roman" w:hAnsi="Times New Roman" w:eastAsia="仿宋_GB2312" w:cs="Times New Roman"/>
          <w:color w:val="auto"/>
          <w:sz w:val="32"/>
          <w:szCs w:val="32"/>
          <w:highlight w:val="none"/>
          <w:u w:val="none" w:color="auto"/>
          <w:lang w:val="en-US"/>
        </w:rPr>
        <w:t>，</w:t>
      </w:r>
      <w:r>
        <w:rPr>
          <w:rFonts w:hint="default" w:ascii="Times New Roman" w:hAnsi="Times New Roman" w:eastAsia="仿宋_GB2312" w:cs="Times New Roman"/>
          <w:b w:val="0"/>
          <w:bCs w:val="0"/>
          <w:color w:val="auto"/>
          <w:sz w:val="32"/>
          <w:szCs w:val="32"/>
          <w:highlight w:val="none"/>
          <w:u w:val="none" w:color="auto"/>
          <w:lang w:val="en-US" w:eastAsia="zh-CN"/>
        </w:rPr>
        <w:t>形成横向协同、上下联动的工作格局，</w:t>
      </w:r>
      <w:r>
        <w:rPr>
          <w:rFonts w:hint="default" w:ascii="Times New Roman" w:hAnsi="Times New Roman" w:eastAsia="仿宋_GB2312" w:cs="Times New Roman"/>
          <w:color w:val="auto"/>
          <w:sz w:val="32"/>
          <w:szCs w:val="32"/>
          <w:highlight w:val="none"/>
          <w:u w:val="none" w:color="auto"/>
          <w:lang w:val="en-US"/>
        </w:rPr>
        <w:t>确保规划主要目标</w:t>
      </w:r>
      <w:r>
        <w:rPr>
          <w:rFonts w:hint="default" w:ascii="Times New Roman" w:hAnsi="Times New Roman" w:eastAsia="仿宋_GB2312" w:cs="Times New Roman"/>
          <w:color w:val="auto"/>
          <w:sz w:val="32"/>
          <w:szCs w:val="32"/>
          <w:highlight w:val="none"/>
          <w:u w:val="none" w:color="auto"/>
          <w:lang w:val="en-US" w:eastAsia="zh-CN"/>
        </w:rPr>
        <w:t>和</w:t>
      </w:r>
      <w:r>
        <w:rPr>
          <w:rFonts w:hint="default" w:ascii="Times New Roman" w:hAnsi="Times New Roman" w:eastAsia="仿宋_GB2312" w:cs="Times New Roman"/>
          <w:color w:val="auto"/>
          <w:sz w:val="32"/>
          <w:szCs w:val="32"/>
          <w:highlight w:val="none"/>
          <w:u w:val="none" w:color="auto"/>
          <w:lang w:val="en-US"/>
        </w:rPr>
        <w:t>任务有效落地。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600" w:lineRule="exact"/>
        <w:ind w:left="0" w:leftChars="0" w:right="0" w:rightChars="0" w:firstLine="642" w:firstLineChars="200"/>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454" w:name="_Toc27206"/>
      <w:bookmarkStart w:id="1455" w:name="_Toc9957"/>
      <w:bookmarkStart w:id="1456" w:name="_Toc10536"/>
      <w:bookmarkStart w:id="1457" w:name="_Toc9967"/>
      <w:bookmarkStart w:id="1458" w:name="_Toc18155"/>
      <w:bookmarkStart w:id="1459" w:name="_Toc10629"/>
      <w:bookmarkStart w:id="1460" w:name="_Toc17897"/>
      <w:bookmarkStart w:id="1461" w:name="_Toc28312"/>
      <w:bookmarkStart w:id="1462" w:name="_Toc3574"/>
      <w:bookmarkStart w:id="1463" w:name="_Toc6928"/>
      <w:bookmarkStart w:id="1464" w:name="_Toc17551"/>
      <w:bookmarkStart w:id="1465" w:name="_Toc3224"/>
      <w:bookmarkStart w:id="1466" w:name="_Toc26411"/>
      <w:bookmarkStart w:id="1467" w:name="_Toc6461"/>
      <w:bookmarkStart w:id="1468" w:name="_Toc5045"/>
      <w:bookmarkStart w:id="1469" w:name="_Toc11975"/>
      <w:bookmarkStart w:id="1470" w:name="_Toc23068"/>
      <w:bookmarkStart w:id="1471" w:name="_Toc18246"/>
      <w:bookmarkStart w:id="1472" w:name="_Toc16879"/>
      <w:bookmarkStart w:id="1473" w:name="_Toc26344"/>
      <w:bookmarkStart w:id="1474" w:name="_Toc25898"/>
      <w:bookmarkStart w:id="1475" w:name="_Toc2324"/>
      <w:bookmarkStart w:id="1476" w:name="_Toc11247"/>
      <w:bookmarkStart w:id="1477" w:name="_Toc2155"/>
      <w:bookmarkStart w:id="1478" w:name="_Toc6089"/>
      <w:bookmarkStart w:id="1479" w:name="_Toc23712"/>
      <w:bookmarkStart w:id="1480" w:name="_Toc3060"/>
      <w:bookmarkStart w:id="1481" w:name="_Toc23602"/>
      <w:bookmarkStart w:id="1482" w:name="_Toc7634"/>
      <w:bookmarkStart w:id="1483" w:name="_Toc28098"/>
      <w:bookmarkStart w:id="1484" w:name="_Toc11898"/>
      <w:bookmarkStart w:id="1485" w:name="_Toc11676"/>
      <w:bookmarkStart w:id="1486" w:name="_Toc28742"/>
      <w:bookmarkStart w:id="1487" w:name="_Toc16852"/>
      <w:bookmarkStart w:id="1488" w:name="_Toc19055"/>
      <w:bookmarkStart w:id="1489" w:name="_Toc25163"/>
      <w:bookmarkStart w:id="1490" w:name="_Toc18588"/>
      <w:bookmarkStart w:id="1491" w:name="_Toc13964"/>
      <w:bookmarkStart w:id="1492" w:name="_Toc23104"/>
      <w:bookmarkStart w:id="1493" w:name="_Toc32713"/>
      <w:r>
        <w:rPr>
          <w:rFonts w:hint="default" w:ascii="Times New Roman" w:hAnsi="Times New Roman" w:eastAsia="楷体_GB2312" w:cs="Times New Roman"/>
          <w:b/>
          <w:bCs/>
          <w:color w:val="auto"/>
          <w:kern w:val="2"/>
          <w:sz w:val="32"/>
          <w:szCs w:val="32"/>
          <w:highlight w:val="none"/>
          <w:lang w:val="en-US" w:eastAsia="zh-CN" w:bidi="ar-SA"/>
        </w:rPr>
        <w:t>（二）加大项目储备</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仿宋_GB2312" w:cs="Times New Roman"/>
          <w:color w:val="auto"/>
          <w:kern w:val="2"/>
          <w:sz w:val="32"/>
          <w:szCs w:val="32"/>
          <w:highlight w:val="none"/>
          <w:u w:val="none" w:color="auto"/>
          <w:lang w:val="zh-CN" w:eastAsia="zh-CN" w:bidi="ar-SA"/>
        </w:rPr>
      </w:pPr>
      <w:r>
        <w:rPr>
          <w:rFonts w:hint="default" w:ascii="Times New Roman" w:hAnsi="Times New Roman" w:eastAsia="仿宋_GB2312" w:cs="Times New Roman"/>
          <w:color w:val="auto"/>
          <w:kern w:val="2"/>
          <w:sz w:val="32"/>
          <w:szCs w:val="32"/>
          <w:highlight w:val="none"/>
          <w:u w:val="none" w:color="auto"/>
          <w:lang w:val="zh-CN" w:eastAsia="zh-CN" w:bidi="ar-SA"/>
        </w:rPr>
        <w:t>聚焦</w:t>
      </w:r>
      <w:r>
        <w:rPr>
          <w:rFonts w:hint="default" w:ascii="Times New Roman" w:hAnsi="Times New Roman" w:eastAsia="仿宋_GB2312" w:cs="Times New Roman"/>
          <w:i w:val="0"/>
          <w:caps w:val="0"/>
          <w:color w:val="auto"/>
          <w:spacing w:val="0"/>
          <w:sz w:val="32"/>
          <w:szCs w:val="32"/>
          <w:highlight w:val="none"/>
          <w:u w:val="none" w:color="auto"/>
          <w:shd w:val="clear"/>
        </w:rPr>
        <w:t>物流基础设施建设、多式联运</w:t>
      </w:r>
      <w:r>
        <w:rPr>
          <w:rFonts w:hint="eastAsia" w:ascii="Times New Roman" w:hAnsi="Times New Roman" w:eastAsia="仿宋_GB2312" w:cs="Times New Roman"/>
          <w:i w:val="0"/>
          <w:caps w:val="0"/>
          <w:color w:val="auto"/>
          <w:spacing w:val="0"/>
          <w:sz w:val="32"/>
          <w:szCs w:val="32"/>
          <w:highlight w:val="none"/>
          <w:u w:val="none" w:color="auto"/>
          <w:shd w:val="clear"/>
          <w:lang w:eastAsia="zh-CN"/>
        </w:rPr>
        <w:t>、智慧物流、农村三级物流体系</w:t>
      </w:r>
      <w:r>
        <w:rPr>
          <w:rFonts w:hint="default" w:ascii="Times New Roman" w:hAnsi="Times New Roman" w:eastAsia="仿宋_GB2312" w:cs="Times New Roman"/>
          <w:i w:val="0"/>
          <w:caps w:val="0"/>
          <w:color w:val="auto"/>
          <w:spacing w:val="0"/>
          <w:sz w:val="32"/>
          <w:szCs w:val="32"/>
          <w:highlight w:val="none"/>
          <w:u w:val="none" w:color="auto"/>
          <w:shd w:val="clear"/>
        </w:rPr>
        <w:t>等</w:t>
      </w:r>
      <w:r>
        <w:rPr>
          <w:rFonts w:hint="default" w:ascii="Times New Roman" w:hAnsi="Times New Roman" w:eastAsia="仿宋_GB2312" w:cs="Times New Roman"/>
          <w:color w:val="auto"/>
          <w:kern w:val="2"/>
          <w:sz w:val="32"/>
          <w:szCs w:val="32"/>
          <w:highlight w:val="none"/>
          <w:u w:val="none" w:color="auto"/>
          <w:lang w:val="zh-CN" w:eastAsia="zh-CN" w:bidi="ar-SA"/>
        </w:rPr>
        <w:t>关键领域，实施一批重大支撑性项目，筹划一批前期项目。建立重大项目信息采集、数据分析、进展监控、结果评价机制，实现对入库项目管理、推进、监管、服务的全过程覆盖。对重大现代物流产业项目，开通绿色通道，对项目前期工作进行专项跨前服务，集中解决项目评估、规模核定、用地选址等事项</w:t>
      </w:r>
      <w:r>
        <w:rPr>
          <w:rFonts w:hint="default" w:ascii="Times New Roman" w:hAnsi="Times New Roman" w:eastAsia="仿宋_GB2312" w:cs="Times New Roman"/>
          <w:color w:val="auto"/>
          <w:kern w:val="2"/>
          <w:sz w:val="32"/>
          <w:szCs w:val="32"/>
          <w:highlight w:val="none"/>
          <w:u w:val="none" w:color="auto"/>
          <w:lang w:val="en-US" w:eastAsia="zh-CN"/>
        </w:rPr>
        <w:t>，确保项目顺利推进。</w:t>
      </w:r>
    </w:p>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494" w:name="_Toc26189"/>
      <w:bookmarkStart w:id="1495" w:name="_Toc13096"/>
      <w:bookmarkStart w:id="1496" w:name="_Toc22913"/>
      <w:bookmarkStart w:id="1497" w:name="_Toc7111"/>
      <w:bookmarkStart w:id="1498" w:name="_Toc29573"/>
      <w:bookmarkStart w:id="1499" w:name="_Toc25319"/>
      <w:bookmarkStart w:id="1500" w:name="_Toc5139"/>
      <w:bookmarkStart w:id="1501" w:name="_Toc29008"/>
      <w:bookmarkStart w:id="1502" w:name="_Toc23316"/>
      <w:bookmarkStart w:id="1503" w:name="_Toc32719"/>
      <w:bookmarkStart w:id="1504" w:name="_Toc3111"/>
      <w:bookmarkStart w:id="1505" w:name="_Toc23181"/>
      <w:bookmarkStart w:id="1506" w:name="_Toc31335"/>
      <w:bookmarkStart w:id="1507" w:name="_Toc10045"/>
      <w:bookmarkStart w:id="1508" w:name="_Toc31527"/>
      <w:bookmarkStart w:id="1509" w:name="_Toc4622"/>
      <w:bookmarkStart w:id="1510" w:name="_Toc17077"/>
      <w:bookmarkStart w:id="1511" w:name="_Toc30168"/>
      <w:bookmarkStart w:id="1512" w:name="_Toc28247"/>
      <w:bookmarkStart w:id="1513" w:name="_Toc24071"/>
      <w:bookmarkStart w:id="1514" w:name="_Toc14023"/>
      <w:bookmarkStart w:id="1515" w:name="_Toc3604"/>
      <w:bookmarkStart w:id="1516" w:name="_Toc17080"/>
      <w:bookmarkStart w:id="1517" w:name="_Toc24193"/>
      <w:bookmarkStart w:id="1518" w:name="_Toc15238"/>
      <w:bookmarkStart w:id="1519" w:name="_Toc5026"/>
      <w:bookmarkStart w:id="1520" w:name="_Toc19997"/>
      <w:bookmarkStart w:id="1521" w:name="_Toc29798"/>
      <w:bookmarkStart w:id="1522" w:name="_Toc6806"/>
      <w:bookmarkStart w:id="1523" w:name="_Toc4727"/>
      <w:bookmarkStart w:id="1524" w:name="_Toc18374"/>
      <w:bookmarkStart w:id="1525" w:name="_Toc3966"/>
      <w:bookmarkStart w:id="1526" w:name="_Toc28263"/>
      <w:bookmarkStart w:id="1527" w:name="_Toc16316"/>
      <w:bookmarkStart w:id="1528" w:name="_Toc4543"/>
      <w:bookmarkStart w:id="1529" w:name="_Toc16219"/>
      <w:bookmarkStart w:id="1530" w:name="_Toc19212"/>
      <w:bookmarkStart w:id="1531" w:name="_Toc10937"/>
      <w:bookmarkStart w:id="1532" w:name="_Toc24612"/>
      <w:r>
        <w:rPr>
          <w:rFonts w:hint="default" w:ascii="Times New Roman" w:hAnsi="Times New Roman" w:eastAsia="楷体_GB2312" w:cs="Times New Roman"/>
          <w:b/>
          <w:bCs/>
          <w:color w:val="auto"/>
          <w:kern w:val="2"/>
          <w:sz w:val="32"/>
          <w:szCs w:val="32"/>
          <w:highlight w:val="none"/>
          <w:lang w:val="en-US" w:eastAsia="zh-CN" w:bidi="ar-SA"/>
        </w:rPr>
        <w:t>（三）优化政策扶持</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bookmarkEnd w:id="1493"/>
    <w:p>
      <w:pPr>
        <w:pStyle w:val="1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i w:val="0"/>
          <w:caps w:val="0"/>
          <w:color w:val="auto"/>
          <w:spacing w:val="0"/>
          <w:sz w:val="32"/>
          <w:szCs w:val="32"/>
          <w:highlight w:val="none"/>
          <w:u w:val="none" w:color="auto"/>
          <w:shd w:val="clear" w:fill="auto"/>
        </w:rPr>
        <w:t>制定完善推动</w:t>
      </w:r>
      <w:r>
        <w:rPr>
          <w:rFonts w:hint="default" w:ascii="Times New Roman" w:hAnsi="Times New Roman" w:eastAsia="仿宋_GB2312" w:cs="Times New Roman"/>
          <w:i w:val="0"/>
          <w:caps w:val="0"/>
          <w:color w:val="auto"/>
          <w:spacing w:val="0"/>
          <w:sz w:val="32"/>
          <w:szCs w:val="32"/>
          <w:highlight w:val="none"/>
          <w:u w:val="none" w:color="auto"/>
          <w:shd w:val="clear"/>
          <w:lang w:val="en-US" w:eastAsia="zh-CN"/>
        </w:rPr>
        <w:t>全市</w:t>
      </w:r>
      <w:r>
        <w:rPr>
          <w:rFonts w:hint="default" w:ascii="Times New Roman" w:hAnsi="Times New Roman" w:eastAsia="仿宋_GB2312" w:cs="Times New Roman"/>
          <w:i w:val="0"/>
          <w:caps w:val="0"/>
          <w:color w:val="auto"/>
          <w:spacing w:val="0"/>
          <w:sz w:val="32"/>
          <w:szCs w:val="32"/>
          <w:highlight w:val="none"/>
          <w:u w:val="none" w:color="auto"/>
          <w:shd w:val="clear" w:fill="auto"/>
        </w:rPr>
        <w:t>现代物流发展所需的用地保障、项目引进、税费优惠、人才培养等配套政策，形成完善的专门政策体系。</w:t>
      </w:r>
      <w:r>
        <w:rPr>
          <w:rFonts w:hint="default" w:ascii="Times New Roman" w:hAnsi="Times New Roman" w:eastAsia="仿宋_GB2312" w:cs="Times New Roman"/>
          <w:b w:val="0"/>
          <w:bCs w:val="0"/>
          <w:color w:val="auto"/>
          <w:kern w:val="2"/>
          <w:sz w:val="32"/>
          <w:szCs w:val="32"/>
          <w:highlight w:val="none"/>
          <w:u w:val="none" w:color="auto"/>
          <w:lang w:val="en-US" w:eastAsia="zh-CN" w:bidi="ar-SA"/>
        </w:rPr>
        <w:t>加大财政资金投入，加强道路货运设施建设，提高道路运输公共服务能力。贯彻落实中央和省、市、县（区）共同承担邮政快递行业安全监管和产业发展财政支出责任，在邮政快递基础设施建设、智慧末端、绿色邮政、新能源车辆等方面给予支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2" w:firstLineChars="200"/>
        <w:jc w:val="both"/>
        <w:textAlignment w:val="auto"/>
        <w:outlineLvl w:val="1"/>
        <w:rPr>
          <w:rFonts w:hint="default" w:ascii="Times New Roman" w:hAnsi="Times New Roman" w:eastAsia="楷体_GB2312" w:cs="Times New Roman"/>
          <w:b/>
          <w:bCs/>
          <w:color w:val="auto"/>
          <w:kern w:val="2"/>
          <w:sz w:val="32"/>
          <w:szCs w:val="32"/>
          <w:highlight w:val="none"/>
          <w:lang w:val="en-US" w:eastAsia="zh-CN" w:bidi="ar-SA"/>
        </w:rPr>
      </w:pPr>
      <w:bookmarkStart w:id="1533" w:name="_Toc26907"/>
      <w:bookmarkStart w:id="1534" w:name="_Toc22075"/>
      <w:bookmarkStart w:id="1535" w:name="_Toc31868"/>
      <w:bookmarkStart w:id="1536" w:name="_Toc30551"/>
      <w:bookmarkStart w:id="1537" w:name="_Toc7827"/>
      <w:bookmarkStart w:id="1538" w:name="_Toc25677"/>
      <w:bookmarkStart w:id="1539" w:name="_Toc15485"/>
      <w:bookmarkStart w:id="1540" w:name="_Toc8378"/>
      <w:bookmarkStart w:id="1541" w:name="_Toc29584"/>
      <w:bookmarkStart w:id="1542" w:name="_Toc9441"/>
      <w:bookmarkStart w:id="1543" w:name="_Toc26628"/>
      <w:bookmarkStart w:id="1544" w:name="_Toc15377"/>
      <w:bookmarkStart w:id="1545" w:name="_Toc8"/>
      <w:bookmarkStart w:id="1546" w:name="_Toc11924"/>
      <w:bookmarkStart w:id="1547" w:name="_Toc25438"/>
      <w:bookmarkStart w:id="1548" w:name="_Toc25306"/>
      <w:bookmarkStart w:id="1549" w:name="_Toc13321"/>
      <w:bookmarkStart w:id="1550" w:name="_Toc32196"/>
      <w:bookmarkStart w:id="1551" w:name="_Toc28592"/>
      <w:bookmarkStart w:id="1552" w:name="_Toc29298"/>
      <w:bookmarkStart w:id="1553" w:name="_Toc5986"/>
      <w:bookmarkStart w:id="1554" w:name="_Toc31322"/>
      <w:bookmarkStart w:id="1555" w:name="_Toc11664"/>
      <w:bookmarkStart w:id="1556" w:name="_Toc31922"/>
      <w:bookmarkStart w:id="1557" w:name="_Toc10870"/>
      <w:bookmarkStart w:id="1558" w:name="_Toc23744"/>
      <w:bookmarkStart w:id="1559" w:name="_Toc11186"/>
      <w:bookmarkStart w:id="1560" w:name="_Toc20901"/>
      <w:bookmarkStart w:id="1561" w:name="_Toc31781"/>
      <w:bookmarkStart w:id="1562" w:name="_Toc23452"/>
      <w:bookmarkStart w:id="1563" w:name="_Toc19671"/>
      <w:bookmarkStart w:id="1564" w:name="_Toc24590"/>
      <w:bookmarkStart w:id="1565" w:name="_Toc21731"/>
      <w:bookmarkStart w:id="1566" w:name="_Toc16348"/>
      <w:bookmarkStart w:id="1567" w:name="_Toc4674"/>
      <w:bookmarkStart w:id="1568" w:name="_Toc23175"/>
      <w:bookmarkStart w:id="1569" w:name="_Toc11330"/>
      <w:bookmarkStart w:id="1570" w:name="_Toc8599"/>
      <w:bookmarkStart w:id="1571" w:name="_Toc3655"/>
      <w:bookmarkStart w:id="1572" w:name="_Toc3246"/>
      <w:r>
        <w:rPr>
          <w:rFonts w:hint="default" w:ascii="Times New Roman" w:hAnsi="Times New Roman" w:eastAsia="楷体_GB2312" w:cs="Times New Roman"/>
          <w:b/>
          <w:bCs/>
          <w:color w:val="auto"/>
          <w:kern w:val="2"/>
          <w:sz w:val="32"/>
          <w:szCs w:val="32"/>
          <w:highlight w:val="none"/>
          <w:lang w:val="en-US" w:eastAsia="zh-CN" w:bidi="ar-SA"/>
        </w:rPr>
        <w:t>（四）强化评估评价</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Start w:id="1573" w:name="_Toc19234"/>
      <w:bookmarkStart w:id="1574" w:name="_Toc1297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outlineLvl w:val="9"/>
        <w:rPr>
          <w:rFonts w:ascii="Times New Roman" w:hAnsi="Times New Roman" w:cs="Times New Roman"/>
        </w:rPr>
      </w:pPr>
      <w:r>
        <w:rPr>
          <w:rFonts w:hint="default" w:ascii="Times New Roman" w:hAnsi="Times New Roman" w:eastAsia="仿宋_GB2312" w:cs="Times New Roman"/>
          <w:color w:val="auto"/>
          <w:sz w:val="32"/>
          <w:szCs w:val="32"/>
          <w:highlight w:val="none"/>
          <w:u w:val="none" w:color="auto"/>
          <w:lang w:val="en-US"/>
        </w:rPr>
        <w:t>建立</w:t>
      </w:r>
      <w:r>
        <w:rPr>
          <w:rFonts w:hint="eastAsia" w:ascii="Times New Roman" w:hAnsi="Times New Roman" w:eastAsia="仿宋_GB2312" w:cs="Times New Roman"/>
          <w:color w:val="auto"/>
          <w:sz w:val="32"/>
          <w:szCs w:val="32"/>
          <w:highlight w:val="none"/>
          <w:u w:val="none" w:color="auto"/>
          <w:lang w:val="en-US" w:eastAsia="zh-CN"/>
        </w:rPr>
        <w:t>现代物流发展</w:t>
      </w:r>
      <w:r>
        <w:rPr>
          <w:rFonts w:hint="default" w:ascii="Times New Roman" w:hAnsi="Times New Roman" w:eastAsia="仿宋_GB2312" w:cs="Times New Roman"/>
          <w:color w:val="auto"/>
          <w:sz w:val="32"/>
          <w:szCs w:val="32"/>
          <w:highlight w:val="none"/>
          <w:u w:val="none" w:color="auto"/>
          <w:lang w:val="en-US" w:eastAsia="zh-CN"/>
        </w:rPr>
        <w:t>规划举措</w:t>
      </w:r>
      <w:r>
        <w:rPr>
          <w:rFonts w:hint="default" w:ascii="Times New Roman" w:hAnsi="Times New Roman" w:eastAsia="仿宋_GB2312" w:cs="Times New Roman"/>
          <w:color w:val="auto"/>
          <w:sz w:val="32"/>
          <w:szCs w:val="32"/>
          <w:highlight w:val="none"/>
          <w:u w:val="none" w:color="auto"/>
          <w:lang w:val="en-US"/>
        </w:rPr>
        <w:t>落实情况督查督导机制，</w:t>
      </w:r>
      <w:r>
        <w:rPr>
          <w:rFonts w:hint="default" w:ascii="Times New Roman" w:hAnsi="Times New Roman" w:eastAsia="仿宋_GB2312" w:cs="Times New Roman"/>
          <w:color w:val="auto"/>
          <w:sz w:val="32"/>
          <w:szCs w:val="32"/>
          <w:highlight w:val="none"/>
          <w:u w:val="none" w:color="auto"/>
          <w:lang w:val="en-US" w:eastAsia="zh-CN"/>
        </w:rPr>
        <w:t>切实加强对规划目标要求</w:t>
      </w:r>
      <w:r>
        <w:rPr>
          <w:rFonts w:hint="default" w:ascii="Times New Roman" w:hAnsi="Times New Roman" w:eastAsia="仿宋_GB2312" w:cs="Times New Roman"/>
          <w:color w:val="auto"/>
          <w:kern w:val="2"/>
          <w:sz w:val="32"/>
          <w:szCs w:val="32"/>
          <w:highlight w:val="none"/>
          <w:u w:val="none" w:color="auto"/>
          <w:lang w:val="en-US" w:eastAsia="zh-CN"/>
        </w:rPr>
        <w:t>、</w:t>
      </w:r>
      <w:r>
        <w:rPr>
          <w:rFonts w:hint="default" w:ascii="Times New Roman" w:hAnsi="Times New Roman" w:eastAsia="仿宋_GB2312" w:cs="Times New Roman"/>
          <w:color w:val="auto"/>
          <w:kern w:val="2"/>
          <w:sz w:val="32"/>
          <w:szCs w:val="32"/>
          <w:highlight w:val="none"/>
          <w:u w:val="none" w:color="auto"/>
          <w:lang w:val="zh-CN" w:eastAsia="zh-CN"/>
        </w:rPr>
        <w:t>政策措施和重大项目实施等情况</w:t>
      </w:r>
      <w:r>
        <w:rPr>
          <w:rFonts w:hint="default" w:ascii="Times New Roman" w:hAnsi="Times New Roman" w:eastAsia="仿宋_GB2312" w:cs="Times New Roman"/>
          <w:color w:val="auto"/>
          <w:sz w:val="32"/>
          <w:szCs w:val="32"/>
          <w:highlight w:val="none"/>
          <w:u w:val="none" w:color="auto"/>
          <w:lang w:val="en-US" w:eastAsia="zh-CN"/>
        </w:rPr>
        <w:t>的跟踪督查，及时通报工作进展、创新举措和工作成效。</w:t>
      </w:r>
      <w:r>
        <w:rPr>
          <w:rFonts w:hint="default" w:ascii="Times New Roman" w:hAnsi="Times New Roman" w:eastAsia="仿宋_GB2312" w:cs="Times New Roman"/>
          <w:color w:val="auto"/>
          <w:sz w:val="32"/>
          <w:szCs w:val="32"/>
          <w:highlight w:val="none"/>
          <w:u w:val="none" w:color="auto"/>
          <w:lang w:val="en-US"/>
        </w:rPr>
        <w:t>积极探索考核评价办法，</w:t>
      </w:r>
      <w:r>
        <w:rPr>
          <w:rFonts w:hint="default" w:ascii="Times New Roman" w:hAnsi="Times New Roman" w:eastAsia="仿宋_GB2312" w:cs="Times New Roman"/>
          <w:color w:val="auto"/>
          <w:sz w:val="32"/>
          <w:szCs w:val="32"/>
          <w:highlight w:val="none"/>
          <w:u w:val="none" w:color="auto"/>
        </w:rPr>
        <w:t>组织开展</w:t>
      </w:r>
      <w:r>
        <w:rPr>
          <w:rFonts w:hint="default" w:ascii="Times New Roman" w:hAnsi="Times New Roman" w:eastAsia="仿宋_GB2312" w:cs="Times New Roman"/>
          <w:color w:val="auto"/>
          <w:sz w:val="32"/>
          <w:szCs w:val="32"/>
          <w:highlight w:val="none"/>
          <w:u w:val="none" w:color="auto"/>
          <w:lang w:eastAsia="zh-CN"/>
        </w:rPr>
        <w:t>重点项目</w:t>
      </w:r>
      <w:r>
        <w:rPr>
          <w:rFonts w:hint="default" w:ascii="Times New Roman" w:hAnsi="Times New Roman" w:eastAsia="仿宋_GB2312" w:cs="Times New Roman"/>
          <w:color w:val="auto"/>
          <w:sz w:val="32"/>
          <w:szCs w:val="32"/>
          <w:highlight w:val="none"/>
          <w:u w:val="none" w:color="auto"/>
        </w:rPr>
        <w:t>专项跟踪分析，建立规划动态调整机制。</w:t>
      </w:r>
      <w:r>
        <w:rPr>
          <w:rFonts w:hint="default" w:ascii="Times New Roman" w:hAnsi="Times New Roman" w:eastAsia="仿宋_GB2312" w:cs="Times New Roman"/>
          <w:color w:val="auto"/>
          <w:sz w:val="32"/>
          <w:szCs w:val="32"/>
          <w:highlight w:val="none"/>
          <w:u w:val="none" w:color="auto"/>
          <w:lang w:eastAsia="zh-CN"/>
        </w:rPr>
        <w:t>制定</w:t>
      </w:r>
      <w:r>
        <w:rPr>
          <w:rFonts w:hint="default" w:ascii="Times New Roman" w:hAnsi="Times New Roman" w:eastAsia="仿宋_GB2312" w:cs="Times New Roman"/>
          <w:color w:val="auto"/>
          <w:sz w:val="32"/>
          <w:szCs w:val="32"/>
          <w:highlight w:val="none"/>
          <w:u w:val="none" w:color="auto"/>
        </w:rPr>
        <w:t>物流市场行情定期发布制度，加强行业经济运行动态监测，为企业决策提供参考。</w:t>
      </w:r>
      <w:bookmarkEnd w:id="1573"/>
      <w:bookmarkEnd w:id="1574"/>
    </w:p>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楷体_GB2312">
    <w:altName w:val="方正楷体_GBK"/>
    <w:panose1 w:val="02010609030101010101"/>
    <w:charset w:val="86"/>
    <w:family w:val="auto"/>
    <w:pitch w:val="default"/>
    <w:sig w:usb0="00000000" w:usb1="00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FangSong_GB2312">
    <w:altName w:val="方正仿宋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ascii="Times New Roman" w:hAnsi="Times New Roman" w:cs="Times New Roman"/>
                              <w:sz w:val="21"/>
                              <w:szCs w:val="32"/>
                            </w:rPr>
                          </w:pPr>
                          <w:r>
                            <w:rPr>
                              <w:rFonts w:ascii="Times New Roman" w:hAnsi="Times New Roman" w:cs="Times New Roman"/>
                              <w:sz w:val="21"/>
                              <w:szCs w:val="32"/>
                            </w:rPr>
                            <w:fldChar w:fldCharType="begin"/>
                          </w:r>
                          <w:r>
                            <w:rPr>
                              <w:rFonts w:ascii="Times New Roman" w:hAnsi="Times New Roman" w:cs="Times New Roman"/>
                              <w:sz w:val="21"/>
                              <w:szCs w:val="32"/>
                            </w:rPr>
                            <w:instrText xml:space="preserve"> PAGE  \* MERGEFORMAT </w:instrText>
                          </w:r>
                          <w:r>
                            <w:rPr>
                              <w:rFonts w:ascii="Times New Roman" w:hAnsi="Times New Roman" w:cs="Times New Roman"/>
                              <w:sz w:val="21"/>
                              <w:szCs w:val="32"/>
                            </w:rPr>
                            <w:fldChar w:fldCharType="separate"/>
                          </w:r>
                          <w:r>
                            <w:rPr>
                              <w:rFonts w:ascii="Times New Roman" w:hAnsi="Times New Roman" w:cs="Times New Roman"/>
                              <w:sz w:val="21"/>
                              <w:szCs w:val="32"/>
                            </w:rPr>
                            <w:t>1</w:t>
                          </w:r>
                          <w:r>
                            <w:rPr>
                              <w:rFonts w:ascii="Times New Roman" w:hAnsi="Times New Roman" w:cs="Times New Roman"/>
                              <w:sz w:val="21"/>
                              <w:szCs w:val="32"/>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p>
                    <w:pPr>
                      <w:pStyle w:val="11"/>
                      <w:rPr>
                        <w:rFonts w:ascii="Times New Roman" w:hAnsi="Times New Roman" w:cs="Times New Roman"/>
                        <w:sz w:val="21"/>
                        <w:szCs w:val="32"/>
                      </w:rPr>
                    </w:pPr>
                    <w:r>
                      <w:rPr>
                        <w:rFonts w:ascii="Times New Roman" w:hAnsi="Times New Roman" w:cs="Times New Roman"/>
                        <w:sz w:val="21"/>
                        <w:szCs w:val="32"/>
                      </w:rPr>
                      <w:fldChar w:fldCharType="begin"/>
                    </w:r>
                    <w:r>
                      <w:rPr>
                        <w:rFonts w:ascii="Times New Roman" w:hAnsi="Times New Roman" w:cs="Times New Roman"/>
                        <w:sz w:val="21"/>
                        <w:szCs w:val="32"/>
                      </w:rPr>
                      <w:instrText xml:space="preserve"> PAGE  \* MERGEFORMAT </w:instrText>
                    </w:r>
                    <w:r>
                      <w:rPr>
                        <w:rFonts w:ascii="Times New Roman" w:hAnsi="Times New Roman" w:cs="Times New Roman"/>
                        <w:sz w:val="21"/>
                        <w:szCs w:val="32"/>
                      </w:rPr>
                      <w:fldChar w:fldCharType="separate"/>
                    </w:r>
                    <w:r>
                      <w:rPr>
                        <w:rFonts w:ascii="Times New Roman" w:hAnsi="Times New Roman" w:cs="Times New Roman"/>
                        <w:sz w:val="21"/>
                        <w:szCs w:val="32"/>
                      </w:rPr>
                      <w:t>1</w:t>
                    </w:r>
                    <w:r>
                      <w:rPr>
                        <w:rFonts w:ascii="Times New Roman" w:hAnsi="Times New Roman" w:cs="Times New Roman"/>
                        <w:sz w:val="21"/>
                        <w:szCs w:val="32"/>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2F4D1E"/>
    <w:rsid w:val="000749E3"/>
    <w:rsid w:val="00185D76"/>
    <w:rsid w:val="00186D23"/>
    <w:rsid w:val="0022312D"/>
    <w:rsid w:val="00276E33"/>
    <w:rsid w:val="005C6ADC"/>
    <w:rsid w:val="00A07F87"/>
    <w:rsid w:val="00EA233A"/>
    <w:rsid w:val="00FE1F09"/>
    <w:rsid w:val="014A4B87"/>
    <w:rsid w:val="015C0913"/>
    <w:rsid w:val="01630610"/>
    <w:rsid w:val="01A108DC"/>
    <w:rsid w:val="01B43593"/>
    <w:rsid w:val="01B952D6"/>
    <w:rsid w:val="01E81057"/>
    <w:rsid w:val="01F1620C"/>
    <w:rsid w:val="0209635A"/>
    <w:rsid w:val="02306473"/>
    <w:rsid w:val="02350B2E"/>
    <w:rsid w:val="023A1276"/>
    <w:rsid w:val="023B0973"/>
    <w:rsid w:val="024C105B"/>
    <w:rsid w:val="02502FF8"/>
    <w:rsid w:val="02680926"/>
    <w:rsid w:val="026A0918"/>
    <w:rsid w:val="02781C6C"/>
    <w:rsid w:val="02AB7D82"/>
    <w:rsid w:val="02C3139D"/>
    <w:rsid w:val="02EF0E03"/>
    <w:rsid w:val="02F50C20"/>
    <w:rsid w:val="0311664D"/>
    <w:rsid w:val="03167C2B"/>
    <w:rsid w:val="03500416"/>
    <w:rsid w:val="035148F2"/>
    <w:rsid w:val="03A153E9"/>
    <w:rsid w:val="03B07BBE"/>
    <w:rsid w:val="03CA0EF1"/>
    <w:rsid w:val="04013BAA"/>
    <w:rsid w:val="04030E08"/>
    <w:rsid w:val="040F3E66"/>
    <w:rsid w:val="041D55EC"/>
    <w:rsid w:val="041F054D"/>
    <w:rsid w:val="042A4745"/>
    <w:rsid w:val="042C0EBC"/>
    <w:rsid w:val="04376067"/>
    <w:rsid w:val="04455294"/>
    <w:rsid w:val="04455D48"/>
    <w:rsid w:val="04551E3A"/>
    <w:rsid w:val="04667FDD"/>
    <w:rsid w:val="04860C6D"/>
    <w:rsid w:val="048C13CE"/>
    <w:rsid w:val="04965641"/>
    <w:rsid w:val="04C81A69"/>
    <w:rsid w:val="04CC2BCE"/>
    <w:rsid w:val="04EC4C48"/>
    <w:rsid w:val="04FC37BC"/>
    <w:rsid w:val="05290F57"/>
    <w:rsid w:val="052F0D6C"/>
    <w:rsid w:val="053951CC"/>
    <w:rsid w:val="054144F3"/>
    <w:rsid w:val="05575883"/>
    <w:rsid w:val="05654947"/>
    <w:rsid w:val="05656716"/>
    <w:rsid w:val="05720186"/>
    <w:rsid w:val="0574484E"/>
    <w:rsid w:val="05777AB1"/>
    <w:rsid w:val="057C371F"/>
    <w:rsid w:val="058B5EDF"/>
    <w:rsid w:val="059D4970"/>
    <w:rsid w:val="05A9539D"/>
    <w:rsid w:val="05B972C1"/>
    <w:rsid w:val="05BC7B21"/>
    <w:rsid w:val="05D01C5D"/>
    <w:rsid w:val="05F46DA9"/>
    <w:rsid w:val="060068F5"/>
    <w:rsid w:val="06030F5B"/>
    <w:rsid w:val="06287B40"/>
    <w:rsid w:val="062A31D9"/>
    <w:rsid w:val="06392EE9"/>
    <w:rsid w:val="063B2D7F"/>
    <w:rsid w:val="064C314F"/>
    <w:rsid w:val="067125C1"/>
    <w:rsid w:val="06943BF1"/>
    <w:rsid w:val="06CA2A4A"/>
    <w:rsid w:val="06CC4290"/>
    <w:rsid w:val="06EA381B"/>
    <w:rsid w:val="06ED1E86"/>
    <w:rsid w:val="06F64593"/>
    <w:rsid w:val="071411AE"/>
    <w:rsid w:val="07161BE8"/>
    <w:rsid w:val="072D508B"/>
    <w:rsid w:val="07404B09"/>
    <w:rsid w:val="07556172"/>
    <w:rsid w:val="077A1EE2"/>
    <w:rsid w:val="07970973"/>
    <w:rsid w:val="07992DC8"/>
    <w:rsid w:val="07EF7D8B"/>
    <w:rsid w:val="07F67BE0"/>
    <w:rsid w:val="083B7252"/>
    <w:rsid w:val="08460E80"/>
    <w:rsid w:val="084E4C2F"/>
    <w:rsid w:val="085849A5"/>
    <w:rsid w:val="08803584"/>
    <w:rsid w:val="08840001"/>
    <w:rsid w:val="08BE14C5"/>
    <w:rsid w:val="08C42169"/>
    <w:rsid w:val="08CA60B3"/>
    <w:rsid w:val="08CE0793"/>
    <w:rsid w:val="08ED601F"/>
    <w:rsid w:val="09317F2E"/>
    <w:rsid w:val="094B793B"/>
    <w:rsid w:val="097508DE"/>
    <w:rsid w:val="09750FC0"/>
    <w:rsid w:val="09783B8C"/>
    <w:rsid w:val="09C315F7"/>
    <w:rsid w:val="09C60C2E"/>
    <w:rsid w:val="09D4371E"/>
    <w:rsid w:val="0A0423F3"/>
    <w:rsid w:val="0A5A1A5C"/>
    <w:rsid w:val="0A600201"/>
    <w:rsid w:val="0A6D5388"/>
    <w:rsid w:val="0A715609"/>
    <w:rsid w:val="0AB43F2E"/>
    <w:rsid w:val="0AE03C5C"/>
    <w:rsid w:val="0B0755AD"/>
    <w:rsid w:val="0B314D2B"/>
    <w:rsid w:val="0B325242"/>
    <w:rsid w:val="0B3F14D4"/>
    <w:rsid w:val="0B5D7BAD"/>
    <w:rsid w:val="0B752BA6"/>
    <w:rsid w:val="0BA1474C"/>
    <w:rsid w:val="0BCE6E97"/>
    <w:rsid w:val="0BE75024"/>
    <w:rsid w:val="0BED3979"/>
    <w:rsid w:val="0C0D08AF"/>
    <w:rsid w:val="0C1A49CE"/>
    <w:rsid w:val="0C1F4E62"/>
    <w:rsid w:val="0C371585"/>
    <w:rsid w:val="0C4E7D19"/>
    <w:rsid w:val="0C53486C"/>
    <w:rsid w:val="0C594818"/>
    <w:rsid w:val="0C723234"/>
    <w:rsid w:val="0C7534F2"/>
    <w:rsid w:val="0CAA1934"/>
    <w:rsid w:val="0CB95D92"/>
    <w:rsid w:val="0D3F2319"/>
    <w:rsid w:val="0D42705A"/>
    <w:rsid w:val="0D6D074D"/>
    <w:rsid w:val="0D7A2C98"/>
    <w:rsid w:val="0D92080C"/>
    <w:rsid w:val="0D972A0D"/>
    <w:rsid w:val="0D973CC1"/>
    <w:rsid w:val="0D9A15D5"/>
    <w:rsid w:val="0DF72CF2"/>
    <w:rsid w:val="0E0D71BC"/>
    <w:rsid w:val="0E2C45B1"/>
    <w:rsid w:val="0E2E3021"/>
    <w:rsid w:val="0E303356"/>
    <w:rsid w:val="0E482CCF"/>
    <w:rsid w:val="0E4A4418"/>
    <w:rsid w:val="0E6657EF"/>
    <w:rsid w:val="0E6758F4"/>
    <w:rsid w:val="0E7C20F9"/>
    <w:rsid w:val="0E8F0DEF"/>
    <w:rsid w:val="0EBC52C7"/>
    <w:rsid w:val="0EC55A17"/>
    <w:rsid w:val="0ECF29CC"/>
    <w:rsid w:val="0EFA57E8"/>
    <w:rsid w:val="0F013D21"/>
    <w:rsid w:val="0F286F37"/>
    <w:rsid w:val="0F5730F4"/>
    <w:rsid w:val="0F6D3313"/>
    <w:rsid w:val="0F6F0D22"/>
    <w:rsid w:val="0F716ABE"/>
    <w:rsid w:val="0F765D6A"/>
    <w:rsid w:val="0F85312D"/>
    <w:rsid w:val="0FCA6251"/>
    <w:rsid w:val="0FD0149C"/>
    <w:rsid w:val="0FFD0285"/>
    <w:rsid w:val="10081EFF"/>
    <w:rsid w:val="10295ADE"/>
    <w:rsid w:val="103632FA"/>
    <w:rsid w:val="105C4A20"/>
    <w:rsid w:val="105E2816"/>
    <w:rsid w:val="1060228D"/>
    <w:rsid w:val="10797237"/>
    <w:rsid w:val="107E484D"/>
    <w:rsid w:val="10A629F1"/>
    <w:rsid w:val="10E53C52"/>
    <w:rsid w:val="10E947E6"/>
    <w:rsid w:val="11377185"/>
    <w:rsid w:val="113B0990"/>
    <w:rsid w:val="114560D6"/>
    <w:rsid w:val="116021A5"/>
    <w:rsid w:val="118B7C60"/>
    <w:rsid w:val="11965BC6"/>
    <w:rsid w:val="11A622AD"/>
    <w:rsid w:val="11C50EBC"/>
    <w:rsid w:val="11D74B6B"/>
    <w:rsid w:val="11DA5EE0"/>
    <w:rsid w:val="12083329"/>
    <w:rsid w:val="122E3296"/>
    <w:rsid w:val="127E175A"/>
    <w:rsid w:val="12841E90"/>
    <w:rsid w:val="12AA7A5E"/>
    <w:rsid w:val="12E110C3"/>
    <w:rsid w:val="12F6199B"/>
    <w:rsid w:val="1318505C"/>
    <w:rsid w:val="13294F44"/>
    <w:rsid w:val="132F62D2"/>
    <w:rsid w:val="134358DA"/>
    <w:rsid w:val="13486666"/>
    <w:rsid w:val="134A0A16"/>
    <w:rsid w:val="1362345D"/>
    <w:rsid w:val="137D280F"/>
    <w:rsid w:val="13854144"/>
    <w:rsid w:val="13A647CA"/>
    <w:rsid w:val="13B011C1"/>
    <w:rsid w:val="13BD4BA6"/>
    <w:rsid w:val="13D80718"/>
    <w:rsid w:val="140C03C2"/>
    <w:rsid w:val="143B634C"/>
    <w:rsid w:val="14480553"/>
    <w:rsid w:val="14567AAC"/>
    <w:rsid w:val="14577881"/>
    <w:rsid w:val="145C6C53"/>
    <w:rsid w:val="14641FAC"/>
    <w:rsid w:val="14744B39"/>
    <w:rsid w:val="148D1BAD"/>
    <w:rsid w:val="14920E3D"/>
    <w:rsid w:val="14991C55"/>
    <w:rsid w:val="14E0421E"/>
    <w:rsid w:val="14E7220D"/>
    <w:rsid w:val="14E8498B"/>
    <w:rsid w:val="14ED1FA1"/>
    <w:rsid w:val="152A0AFF"/>
    <w:rsid w:val="152C7537"/>
    <w:rsid w:val="15681F6B"/>
    <w:rsid w:val="158226E9"/>
    <w:rsid w:val="158B0E53"/>
    <w:rsid w:val="15BB402D"/>
    <w:rsid w:val="16380D23"/>
    <w:rsid w:val="1652605F"/>
    <w:rsid w:val="1658526D"/>
    <w:rsid w:val="165D6CB3"/>
    <w:rsid w:val="166C5148"/>
    <w:rsid w:val="168619DF"/>
    <w:rsid w:val="16B37341"/>
    <w:rsid w:val="16C36003"/>
    <w:rsid w:val="16D276A1"/>
    <w:rsid w:val="16E96405"/>
    <w:rsid w:val="16ED37CC"/>
    <w:rsid w:val="17022252"/>
    <w:rsid w:val="171B33F6"/>
    <w:rsid w:val="171C091C"/>
    <w:rsid w:val="172003D7"/>
    <w:rsid w:val="172B72E4"/>
    <w:rsid w:val="172F53DC"/>
    <w:rsid w:val="17476F30"/>
    <w:rsid w:val="17740758"/>
    <w:rsid w:val="17760640"/>
    <w:rsid w:val="17AE1423"/>
    <w:rsid w:val="17B41E54"/>
    <w:rsid w:val="17E36F63"/>
    <w:rsid w:val="17F035A0"/>
    <w:rsid w:val="186B5978"/>
    <w:rsid w:val="1876059E"/>
    <w:rsid w:val="187F6413"/>
    <w:rsid w:val="188E21D7"/>
    <w:rsid w:val="188E3F82"/>
    <w:rsid w:val="18A825BD"/>
    <w:rsid w:val="18D43827"/>
    <w:rsid w:val="18D449DD"/>
    <w:rsid w:val="18D4600A"/>
    <w:rsid w:val="18D61874"/>
    <w:rsid w:val="18E018C6"/>
    <w:rsid w:val="18E31C98"/>
    <w:rsid w:val="190B28A1"/>
    <w:rsid w:val="19281920"/>
    <w:rsid w:val="19367C8D"/>
    <w:rsid w:val="19447CA9"/>
    <w:rsid w:val="196B75B4"/>
    <w:rsid w:val="199B3505"/>
    <w:rsid w:val="19A12DE7"/>
    <w:rsid w:val="19C06010"/>
    <w:rsid w:val="19C5269D"/>
    <w:rsid w:val="19C5751D"/>
    <w:rsid w:val="19CE05F3"/>
    <w:rsid w:val="19F956C1"/>
    <w:rsid w:val="1A4408B5"/>
    <w:rsid w:val="1A464870"/>
    <w:rsid w:val="1A58610F"/>
    <w:rsid w:val="1A5D3725"/>
    <w:rsid w:val="1A872550"/>
    <w:rsid w:val="1A934532"/>
    <w:rsid w:val="1A937343"/>
    <w:rsid w:val="1B283D33"/>
    <w:rsid w:val="1B2B0694"/>
    <w:rsid w:val="1B4468B3"/>
    <w:rsid w:val="1B7323C3"/>
    <w:rsid w:val="1B8911FD"/>
    <w:rsid w:val="1B8C2514"/>
    <w:rsid w:val="1B9413C8"/>
    <w:rsid w:val="1BAD3CC3"/>
    <w:rsid w:val="1BB21C0B"/>
    <w:rsid w:val="1BB73E60"/>
    <w:rsid w:val="1BF62100"/>
    <w:rsid w:val="1C0A168B"/>
    <w:rsid w:val="1C353A02"/>
    <w:rsid w:val="1C6D350D"/>
    <w:rsid w:val="1C902022"/>
    <w:rsid w:val="1CA83733"/>
    <w:rsid w:val="1CAA743E"/>
    <w:rsid w:val="1CB3251C"/>
    <w:rsid w:val="1CD56737"/>
    <w:rsid w:val="1CF06AD2"/>
    <w:rsid w:val="1CF163A7"/>
    <w:rsid w:val="1D0E7635"/>
    <w:rsid w:val="1D1825F0"/>
    <w:rsid w:val="1D330762"/>
    <w:rsid w:val="1D4301BD"/>
    <w:rsid w:val="1DBD4E7D"/>
    <w:rsid w:val="1DCB67EA"/>
    <w:rsid w:val="1DD5750C"/>
    <w:rsid w:val="1DE20C81"/>
    <w:rsid w:val="1E1C1479"/>
    <w:rsid w:val="1E652BA8"/>
    <w:rsid w:val="1E826AD6"/>
    <w:rsid w:val="1E921F48"/>
    <w:rsid w:val="1E945240"/>
    <w:rsid w:val="1EB649D8"/>
    <w:rsid w:val="1EBE31B9"/>
    <w:rsid w:val="1EBE3C39"/>
    <w:rsid w:val="1EC64FBB"/>
    <w:rsid w:val="1ED07C91"/>
    <w:rsid w:val="1EFB4D83"/>
    <w:rsid w:val="1EFD32DB"/>
    <w:rsid w:val="1F282C0F"/>
    <w:rsid w:val="1F731599"/>
    <w:rsid w:val="1F881E45"/>
    <w:rsid w:val="1F931A50"/>
    <w:rsid w:val="1FAA65AA"/>
    <w:rsid w:val="1FD975B2"/>
    <w:rsid w:val="1FF468DA"/>
    <w:rsid w:val="1FF561AE"/>
    <w:rsid w:val="20144886"/>
    <w:rsid w:val="203B37A0"/>
    <w:rsid w:val="20490781"/>
    <w:rsid w:val="20545596"/>
    <w:rsid w:val="20591A91"/>
    <w:rsid w:val="20A21ED2"/>
    <w:rsid w:val="20C81DA3"/>
    <w:rsid w:val="20DB7AB6"/>
    <w:rsid w:val="21000C34"/>
    <w:rsid w:val="210120B2"/>
    <w:rsid w:val="21082EB8"/>
    <w:rsid w:val="21365D15"/>
    <w:rsid w:val="215D225D"/>
    <w:rsid w:val="21923ACB"/>
    <w:rsid w:val="21C16348"/>
    <w:rsid w:val="21D14748"/>
    <w:rsid w:val="21E87D78"/>
    <w:rsid w:val="222E62B7"/>
    <w:rsid w:val="22373428"/>
    <w:rsid w:val="223C00C4"/>
    <w:rsid w:val="22462A8A"/>
    <w:rsid w:val="225F1DFF"/>
    <w:rsid w:val="22623C62"/>
    <w:rsid w:val="22635651"/>
    <w:rsid w:val="22761828"/>
    <w:rsid w:val="22776B82"/>
    <w:rsid w:val="22867BBB"/>
    <w:rsid w:val="22A041E2"/>
    <w:rsid w:val="22A4235C"/>
    <w:rsid w:val="22A9262B"/>
    <w:rsid w:val="22AD16D9"/>
    <w:rsid w:val="22D94186"/>
    <w:rsid w:val="22F754A1"/>
    <w:rsid w:val="2346178D"/>
    <w:rsid w:val="234B541E"/>
    <w:rsid w:val="234E00AF"/>
    <w:rsid w:val="236070AB"/>
    <w:rsid w:val="236A0A70"/>
    <w:rsid w:val="23830A71"/>
    <w:rsid w:val="238C58F9"/>
    <w:rsid w:val="23C31843"/>
    <w:rsid w:val="23F97A59"/>
    <w:rsid w:val="2410032A"/>
    <w:rsid w:val="242E3BE9"/>
    <w:rsid w:val="24582E8E"/>
    <w:rsid w:val="246B1EC3"/>
    <w:rsid w:val="24B56F95"/>
    <w:rsid w:val="24C34F02"/>
    <w:rsid w:val="24CF3471"/>
    <w:rsid w:val="24E159E2"/>
    <w:rsid w:val="25271C8B"/>
    <w:rsid w:val="252B657B"/>
    <w:rsid w:val="255A6110"/>
    <w:rsid w:val="2563180B"/>
    <w:rsid w:val="259D37C9"/>
    <w:rsid w:val="25D32487"/>
    <w:rsid w:val="25E50D53"/>
    <w:rsid w:val="25F170AF"/>
    <w:rsid w:val="26112EF2"/>
    <w:rsid w:val="263206B6"/>
    <w:rsid w:val="268C786C"/>
    <w:rsid w:val="269C6FDB"/>
    <w:rsid w:val="26AE2767"/>
    <w:rsid w:val="26C31553"/>
    <w:rsid w:val="26E70C4F"/>
    <w:rsid w:val="26FB62F7"/>
    <w:rsid w:val="26FD77BF"/>
    <w:rsid w:val="270C5313"/>
    <w:rsid w:val="27131175"/>
    <w:rsid w:val="272C056F"/>
    <w:rsid w:val="27480DF9"/>
    <w:rsid w:val="275163C0"/>
    <w:rsid w:val="275F2B0A"/>
    <w:rsid w:val="27635DDD"/>
    <w:rsid w:val="2770452B"/>
    <w:rsid w:val="27917D04"/>
    <w:rsid w:val="27B81A41"/>
    <w:rsid w:val="27BB3804"/>
    <w:rsid w:val="27E5594F"/>
    <w:rsid w:val="27FE6826"/>
    <w:rsid w:val="280F034B"/>
    <w:rsid w:val="28294307"/>
    <w:rsid w:val="28302C1A"/>
    <w:rsid w:val="283F1D2F"/>
    <w:rsid w:val="284E7BD8"/>
    <w:rsid w:val="285D0F5A"/>
    <w:rsid w:val="286D0DB2"/>
    <w:rsid w:val="28765006"/>
    <w:rsid w:val="28792AB0"/>
    <w:rsid w:val="288556D3"/>
    <w:rsid w:val="288E31C2"/>
    <w:rsid w:val="289742A6"/>
    <w:rsid w:val="289C1549"/>
    <w:rsid w:val="28C465A7"/>
    <w:rsid w:val="28CE4D16"/>
    <w:rsid w:val="28DA055D"/>
    <w:rsid w:val="28EC12D8"/>
    <w:rsid w:val="29117279"/>
    <w:rsid w:val="292C351E"/>
    <w:rsid w:val="292F4D1E"/>
    <w:rsid w:val="293B5551"/>
    <w:rsid w:val="295A285A"/>
    <w:rsid w:val="297C7C3F"/>
    <w:rsid w:val="29820476"/>
    <w:rsid w:val="29A46C7B"/>
    <w:rsid w:val="29AE7AF9"/>
    <w:rsid w:val="29BE179B"/>
    <w:rsid w:val="29FB12FC"/>
    <w:rsid w:val="2A353D77"/>
    <w:rsid w:val="2A3925BD"/>
    <w:rsid w:val="2A5813B6"/>
    <w:rsid w:val="2A5D0FBD"/>
    <w:rsid w:val="2A6A2978"/>
    <w:rsid w:val="2A88034A"/>
    <w:rsid w:val="2A986219"/>
    <w:rsid w:val="2AE8528D"/>
    <w:rsid w:val="2AEE0B63"/>
    <w:rsid w:val="2AEE3E8A"/>
    <w:rsid w:val="2B0834BE"/>
    <w:rsid w:val="2B1157BD"/>
    <w:rsid w:val="2B3D5A74"/>
    <w:rsid w:val="2B492B59"/>
    <w:rsid w:val="2B6B5B0E"/>
    <w:rsid w:val="2B717A7B"/>
    <w:rsid w:val="2B9C740B"/>
    <w:rsid w:val="2BD1187D"/>
    <w:rsid w:val="2BDE18A4"/>
    <w:rsid w:val="2BFF58B8"/>
    <w:rsid w:val="2C097331"/>
    <w:rsid w:val="2C164DE9"/>
    <w:rsid w:val="2C4F0ED8"/>
    <w:rsid w:val="2C5C36A7"/>
    <w:rsid w:val="2C5C3C19"/>
    <w:rsid w:val="2C6E3570"/>
    <w:rsid w:val="2C813764"/>
    <w:rsid w:val="2C91755B"/>
    <w:rsid w:val="2C9275FE"/>
    <w:rsid w:val="2CAA5CBF"/>
    <w:rsid w:val="2CCE2FFB"/>
    <w:rsid w:val="2CDC6AB9"/>
    <w:rsid w:val="2CE13D42"/>
    <w:rsid w:val="2D1C111A"/>
    <w:rsid w:val="2D360531"/>
    <w:rsid w:val="2D8C1F00"/>
    <w:rsid w:val="2DAA4A7C"/>
    <w:rsid w:val="2DAF01D6"/>
    <w:rsid w:val="2DC55411"/>
    <w:rsid w:val="2DD85145"/>
    <w:rsid w:val="2DD91A0E"/>
    <w:rsid w:val="2DE85C7C"/>
    <w:rsid w:val="2DF8596F"/>
    <w:rsid w:val="2E344345"/>
    <w:rsid w:val="2E351960"/>
    <w:rsid w:val="2E567A0B"/>
    <w:rsid w:val="2E60060B"/>
    <w:rsid w:val="2E612A00"/>
    <w:rsid w:val="2E6A31E0"/>
    <w:rsid w:val="2E6C27DA"/>
    <w:rsid w:val="2E7422FD"/>
    <w:rsid w:val="2E7C6A4A"/>
    <w:rsid w:val="2E943E8A"/>
    <w:rsid w:val="2EA91FFE"/>
    <w:rsid w:val="2EB81AF9"/>
    <w:rsid w:val="2EC82B2D"/>
    <w:rsid w:val="2ECD608D"/>
    <w:rsid w:val="2EF72C2D"/>
    <w:rsid w:val="2EFF4C8B"/>
    <w:rsid w:val="2F5313C5"/>
    <w:rsid w:val="2F6D4F00"/>
    <w:rsid w:val="2F7331F6"/>
    <w:rsid w:val="2F936A4E"/>
    <w:rsid w:val="2FAB2239"/>
    <w:rsid w:val="2FB13E9F"/>
    <w:rsid w:val="2FDA6F57"/>
    <w:rsid w:val="2FEE3B1B"/>
    <w:rsid w:val="2FF34EA2"/>
    <w:rsid w:val="30142680"/>
    <w:rsid w:val="302947CD"/>
    <w:rsid w:val="303066EB"/>
    <w:rsid w:val="3038636F"/>
    <w:rsid w:val="305A50E7"/>
    <w:rsid w:val="30795291"/>
    <w:rsid w:val="307C6EEF"/>
    <w:rsid w:val="3084660D"/>
    <w:rsid w:val="30954E62"/>
    <w:rsid w:val="30974D6A"/>
    <w:rsid w:val="30A21D2C"/>
    <w:rsid w:val="30A34165"/>
    <w:rsid w:val="30A9664D"/>
    <w:rsid w:val="30B97A28"/>
    <w:rsid w:val="30C53F28"/>
    <w:rsid w:val="30C75E79"/>
    <w:rsid w:val="30D665D5"/>
    <w:rsid w:val="31154716"/>
    <w:rsid w:val="313A1C72"/>
    <w:rsid w:val="31403146"/>
    <w:rsid w:val="31420238"/>
    <w:rsid w:val="315947EF"/>
    <w:rsid w:val="31727625"/>
    <w:rsid w:val="31744C95"/>
    <w:rsid w:val="31BF31D6"/>
    <w:rsid w:val="31E0153E"/>
    <w:rsid w:val="31EB0B45"/>
    <w:rsid w:val="31F42769"/>
    <w:rsid w:val="32295B32"/>
    <w:rsid w:val="32343C48"/>
    <w:rsid w:val="32384F4D"/>
    <w:rsid w:val="32386161"/>
    <w:rsid w:val="32615B8E"/>
    <w:rsid w:val="32735271"/>
    <w:rsid w:val="32B477F1"/>
    <w:rsid w:val="32D87758"/>
    <w:rsid w:val="32DC1FED"/>
    <w:rsid w:val="32E7407C"/>
    <w:rsid w:val="331C1F78"/>
    <w:rsid w:val="33463D5A"/>
    <w:rsid w:val="334E2751"/>
    <w:rsid w:val="33504B45"/>
    <w:rsid w:val="33533269"/>
    <w:rsid w:val="33641785"/>
    <w:rsid w:val="337E1F71"/>
    <w:rsid w:val="33915B0E"/>
    <w:rsid w:val="33D30B0B"/>
    <w:rsid w:val="33DE0FDB"/>
    <w:rsid w:val="33E704CB"/>
    <w:rsid w:val="33F24A86"/>
    <w:rsid w:val="34131D21"/>
    <w:rsid w:val="34230B2E"/>
    <w:rsid w:val="342B713C"/>
    <w:rsid w:val="343F3D6C"/>
    <w:rsid w:val="344F7537"/>
    <w:rsid w:val="345117AD"/>
    <w:rsid w:val="34607C42"/>
    <w:rsid w:val="34723D10"/>
    <w:rsid w:val="34A522D6"/>
    <w:rsid w:val="34CA6274"/>
    <w:rsid w:val="34CC52D7"/>
    <w:rsid w:val="34DA77AC"/>
    <w:rsid w:val="350D550C"/>
    <w:rsid w:val="3515577F"/>
    <w:rsid w:val="359C6997"/>
    <w:rsid w:val="35AB24F1"/>
    <w:rsid w:val="35EB5902"/>
    <w:rsid w:val="35F86203"/>
    <w:rsid w:val="360C1037"/>
    <w:rsid w:val="36513014"/>
    <w:rsid w:val="36581519"/>
    <w:rsid w:val="366262AB"/>
    <w:rsid w:val="36BD386F"/>
    <w:rsid w:val="37335CA9"/>
    <w:rsid w:val="373E6D42"/>
    <w:rsid w:val="373F614A"/>
    <w:rsid w:val="374B6987"/>
    <w:rsid w:val="37530CFC"/>
    <w:rsid w:val="37553135"/>
    <w:rsid w:val="375F4DCA"/>
    <w:rsid w:val="378F2421"/>
    <w:rsid w:val="37B61948"/>
    <w:rsid w:val="37CD7C02"/>
    <w:rsid w:val="37D85AD6"/>
    <w:rsid w:val="380A7CC7"/>
    <w:rsid w:val="38232EE8"/>
    <w:rsid w:val="385A4824"/>
    <w:rsid w:val="38970184"/>
    <w:rsid w:val="38C478B2"/>
    <w:rsid w:val="38CC724B"/>
    <w:rsid w:val="3902349A"/>
    <w:rsid w:val="39047736"/>
    <w:rsid w:val="39111E53"/>
    <w:rsid w:val="391533BF"/>
    <w:rsid w:val="3924565B"/>
    <w:rsid w:val="39323757"/>
    <w:rsid w:val="393B0E2F"/>
    <w:rsid w:val="395339DD"/>
    <w:rsid w:val="39670003"/>
    <w:rsid w:val="396E438C"/>
    <w:rsid w:val="3980782E"/>
    <w:rsid w:val="399A01CA"/>
    <w:rsid w:val="39A36F2B"/>
    <w:rsid w:val="39B36A66"/>
    <w:rsid w:val="39CA5389"/>
    <w:rsid w:val="39CD561D"/>
    <w:rsid w:val="39D8483A"/>
    <w:rsid w:val="39DA3D49"/>
    <w:rsid w:val="39DE4558"/>
    <w:rsid w:val="39F85C3A"/>
    <w:rsid w:val="3A0A4DA3"/>
    <w:rsid w:val="3A114539"/>
    <w:rsid w:val="3A1E4BAB"/>
    <w:rsid w:val="3A2E0539"/>
    <w:rsid w:val="3A3A18C0"/>
    <w:rsid w:val="3A3F0835"/>
    <w:rsid w:val="3A606C3A"/>
    <w:rsid w:val="3A7E52C6"/>
    <w:rsid w:val="3A9C3F97"/>
    <w:rsid w:val="3AAB1D66"/>
    <w:rsid w:val="3B054C6E"/>
    <w:rsid w:val="3B127886"/>
    <w:rsid w:val="3B444954"/>
    <w:rsid w:val="3B496E7C"/>
    <w:rsid w:val="3B4A7B9D"/>
    <w:rsid w:val="3B5E5F3B"/>
    <w:rsid w:val="3B691AD2"/>
    <w:rsid w:val="3B6C3370"/>
    <w:rsid w:val="3BAD01C2"/>
    <w:rsid w:val="3BB81BAD"/>
    <w:rsid w:val="3BCD679B"/>
    <w:rsid w:val="3BF25FC3"/>
    <w:rsid w:val="3C2105FF"/>
    <w:rsid w:val="3C4B41FF"/>
    <w:rsid w:val="3C5C21FD"/>
    <w:rsid w:val="3C885429"/>
    <w:rsid w:val="3C9F3A7B"/>
    <w:rsid w:val="3CD1792F"/>
    <w:rsid w:val="3CE72DE0"/>
    <w:rsid w:val="3CE7696F"/>
    <w:rsid w:val="3CFC24D2"/>
    <w:rsid w:val="3D076A3A"/>
    <w:rsid w:val="3D204412"/>
    <w:rsid w:val="3D235CB1"/>
    <w:rsid w:val="3D3869F3"/>
    <w:rsid w:val="3D426FEB"/>
    <w:rsid w:val="3D4D65F7"/>
    <w:rsid w:val="3D4F4CF8"/>
    <w:rsid w:val="3D51281E"/>
    <w:rsid w:val="3D703670"/>
    <w:rsid w:val="3D763616"/>
    <w:rsid w:val="3D9B7BD3"/>
    <w:rsid w:val="3DAB764F"/>
    <w:rsid w:val="3DAE7C7C"/>
    <w:rsid w:val="3DAF7D05"/>
    <w:rsid w:val="3DE91F16"/>
    <w:rsid w:val="3DF53AF1"/>
    <w:rsid w:val="3E0D0E3B"/>
    <w:rsid w:val="3E1440DE"/>
    <w:rsid w:val="3E536206"/>
    <w:rsid w:val="3E833F59"/>
    <w:rsid w:val="3EAB082E"/>
    <w:rsid w:val="3EB05EF7"/>
    <w:rsid w:val="3EE04889"/>
    <w:rsid w:val="3EE15E23"/>
    <w:rsid w:val="3EE871B2"/>
    <w:rsid w:val="3EEC6CA2"/>
    <w:rsid w:val="3EF152F5"/>
    <w:rsid w:val="3F52466F"/>
    <w:rsid w:val="3F5B358E"/>
    <w:rsid w:val="3F8A2017"/>
    <w:rsid w:val="3F964EE7"/>
    <w:rsid w:val="3FA550A3"/>
    <w:rsid w:val="3FA97AE4"/>
    <w:rsid w:val="3FB5178A"/>
    <w:rsid w:val="3FD128B6"/>
    <w:rsid w:val="3FD27B43"/>
    <w:rsid w:val="400545F0"/>
    <w:rsid w:val="400C23D9"/>
    <w:rsid w:val="401C008D"/>
    <w:rsid w:val="402C51D0"/>
    <w:rsid w:val="402E0D20"/>
    <w:rsid w:val="407269C9"/>
    <w:rsid w:val="40727B4F"/>
    <w:rsid w:val="407A657F"/>
    <w:rsid w:val="4084115C"/>
    <w:rsid w:val="409A5FF4"/>
    <w:rsid w:val="40B03203"/>
    <w:rsid w:val="40C1415E"/>
    <w:rsid w:val="40C854ED"/>
    <w:rsid w:val="40D87EAD"/>
    <w:rsid w:val="40F0438C"/>
    <w:rsid w:val="41064989"/>
    <w:rsid w:val="411A72BF"/>
    <w:rsid w:val="411C75E7"/>
    <w:rsid w:val="411E6DCF"/>
    <w:rsid w:val="412B28EA"/>
    <w:rsid w:val="41323CE1"/>
    <w:rsid w:val="41C40798"/>
    <w:rsid w:val="41CF4659"/>
    <w:rsid w:val="41D909EC"/>
    <w:rsid w:val="41E81E64"/>
    <w:rsid w:val="41F87BBC"/>
    <w:rsid w:val="4205313F"/>
    <w:rsid w:val="4205580E"/>
    <w:rsid w:val="42177F0F"/>
    <w:rsid w:val="42485A45"/>
    <w:rsid w:val="424D6740"/>
    <w:rsid w:val="425132C0"/>
    <w:rsid w:val="426E79CE"/>
    <w:rsid w:val="42896024"/>
    <w:rsid w:val="428B4A24"/>
    <w:rsid w:val="42B5492D"/>
    <w:rsid w:val="42BA0FD5"/>
    <w:rsid w:val="42CA477E"/>
    <w:rsid w:val="42D94A89"/>
    <w:rsid w:val="42DC377F"/>
    <w:rsid w:val="42F26851"/>
    <w:rsid w:val="430F11B1"/>
    <w:rsid w:val="43193AAE"/>
    <w:rsid w:val="43301127"/>
    <w:rsid w:val="433F136A"/>
    <w:rsid w:val="43473E72"/>
    <w:rsid w:val="435E43DE"/>
    <w:rsid w:val="438F5DDC"/>
    <w:rsid w:val="439427FD"/>
    <w:rsid w:val="439711A6"/>
    <w:rsid w:val="43984D0D"/>
    <w:rsid w:val="43E81A52"/>
    <w:rsid w:val="43F75A7D"/>
    <w:rsid w:val="444D0031"/>
    <w:rsid w:val="445815D2"/>
    <w:rsid w:val="44626AF9"/>
    <w:rsid w:val="44782D86"/>
    <w:rsid w:val="447B0A6D"/>
    <w:rsid w:val="44C47D79"/>
    <w:rsid w:val="44C82D2C"/>
    <w:rsid w:val="44C8478C"/>
    <w:rsid w:val="450C6171"/>
    <w:rsid w:val="45220FA0"/>
    <w:rsid w:val="453D05C7"/>
    <w:rsid w:val="453D0C79"/>
    <w:rsid w:val="45474505"/>
    <w:rsid w:val="45A76990"/>
    <w:rsid w:val="45CB3F8F"/>
    <w:rsid w:val="45D62D68"/>
    <w:rsid w:val="45EA626E"/>
    <w:rsid w:val="45F67E66"/>
    <w:rsid w:val="46040D75"/>
    <w:rsid w:val="46066CBB"/>
    <w:rsid w:val="461C4787"/>
    <w:rsid w:val="46352D9B"/>
    <w:rsid w:val="46365932"/>
    <w:rsid w:val="46546763"/>
    <w:rsid w:val="46603AD2"/>
    <w:rsid w:val="46715A53"/>
    <w:rsid w:val="46785C90"/>
    <w:rsid w:val="4678706D"/>
    <w:rsid w:val="469679EE"/>
    <w:rsid w:val="46BB1BC9"/>
    <w:rsid w:val="46BB6C1D"/>
    <w:rsid w:val="46C44060"/>
    <w:rsid w:val="471C5588"/>
    <w:rsid w:val="472F2179"/>
    <w:rsid w:val="475F3D89"/>
    <w:rsid w:val="479F7251"/>
    <w:rsid w:val="47AB5220"/>
    <w:rsid w:val="47AD043B"/>
    <w:rsid w:val="47BB49F0"/>
    <w:rsid w:val="47CE25D6"/>
    <w:rsid w:val="480761E4"/>
    <w:rsid w:val="481C796C"/>
    <w:rsid w:val="48773E1A"/>
    <w:rsid w:val="488937B4"/>
    <w:rsid w:val="488D1A1A"/>
    <w:rsid w:val="48BE4C24"/>
    <w:rsid w:val="48D57812"/>
    <w:rsid w:val="48E1539E"/>
    <w:rsid w:val="49A30ADE"/>
    <w:rsid w:val="4A054498"/>
    <w:rsid w:val="4A0D749D"/>
    <w:rsid w:val="4A590532"/>
    <w:rsid w:val="4A68061A"/>
    <w:rsid w:val="4AAF271B"/>
    <w:rsid w:val="4AB830D9"/>
    <w:rsid w:val="4AB84CE2"/>
    <w:rsid w:val="4B110188"/>
    <w:rsid w:val="4B3E34F0"/>
    <w:rsid w:val="4B407EEA"/>
    <w:rsid w:val="4B46773A"/>
    <w:rsid w:val="4BA32DDE"/>
    <w:rsid w:val="4BC341C0"/>
    <w:rsid w:val="4BCD692D"/>
    <w:rsid w:val="4BDF50BB"/>
    <w:rsid w:val="4BE16FD0"/>
    <w:rsid w:val="4BFB57D4"/>
    <w:rsid w:val="4C01097A"/>
    <w:rsid w:val="4C120AFE"/>
    <w:rsid w:val="4C2C3CEB"/>
    <w:rsid w:val="4C3E1E54"/>
    <w:rsid w:val="4C9A31BE"/>
    <w:rsid w:val="4CBC37E9"/>
    <w:rsid w:val="4CC147E8"/>
    <w:rsid w:val="4CDF0BD1"/>
    <w:rsid w:val="4D084779"/>
    <w:rsid w:val="4D1C23AF"/>
    <w:rsid w:val="4D2B228A"/>
    <w:rsid w:val="4D851EE2"/>
    <w:rsid w:val="4D9234DE"/>
    <w:rsid w:val="4DA53DEA"/>
    <w:rsid w:val="4DBC0383"/>
    <w:rsid w:val="4DC362C7"/>
    <w:rsid w:val="4DC80174"/>
    <w:rsid w:val="4DCA28A4"/>
    <w:rsid w:val="4DDB0306"/>
    <w:rsid w:val="4DE80F7C"/>
    <w:rsid w:val="4DE9444D"/>
    <w:rsid w:val="4DEF230B"/>
    <w:rsid w:val="4DF003E2"/>
    <w:rsid w:val="4E0F6039"/>
    <w:rsid w:val="4E210FA8"/>
    <w:rsid w:val="4E304596"/>
    <w:rsid w:val="4E427C64"/>
    <w:rsid w:val="4E486750"/>
    <w:rsid w:val="4E5E4EFB"/>
    <w:rsid w:val="4E6D5684"/>
    <w:rsid w:val="4E916F1E"/>
    <w:rsid w:val="4EB00F44"/>
    <w:rsid w:val="4EC00A0C"/>
    <w:rsid w:val="4EC47DD1"/>
    <w:rsid w:val="4F27130A"/>
    <w:rsid w:val="4F53625E"/>
    <w:rsid w:val="4F54490F"/>
    <w:rsid w:val="4F5768DD"/>
    <w:rsid w:val="4F5945E4"/>
    <w:rsid w:val="4F680075"/>
    <w:rsid w:val="4F7F6256"/>
    <w:rsid w:val="4F87339D"/>
    <w:rsid w:val="4FBB7FCB"/>
    <w:rsid w:val="4FFE76CA"/>
    <w:rsid w:val="505B554B"/>
    <w:rsid w:val="506153BF"/>
    <w:rsid w:val="509A1055"/>
    <w:rsid w:val="50B15D07"/>
    <w:rsid w:val="50B425B5"/>
    <w:rsid w:val="51190382"/>
    <w:rsid w:val="513323A4"/>
    <w:rsid w:val="514F7FB6"/>
    <w:rsid w:val="51725301"/>
    <w:rsid w:val="517C1B65"/>
    <w:rsid w:val="518C58ED"/>
    <w:rsid w:val="51AD3031"/>
    <w:rsid w:val="51AE7DE7"/>
    <w:rsid w:val="51C770FB"/>
    <w:rsid w:val="51F04B58"/>
    <w:rsid w:val="51FA635E"/>
    <w:rsid w:val="52262073"/>
    <w:rsid w:val="52440131"/>
    <w:rsid w:val="524E40F4"/>
    <w:rsid w:val="525D4CFE"/>
    <w:rsid w:val="52635075"/>
    <w:rsid w:val="52660692"/>
    <w:rsid w:val="52662470"/>
    <w:rsid w:val="527A53A4"/>
    <w:rsid w:val="52842A6E"/>
    <w:rsid w:val="52967D9E"/>
    <w:rsid w:val="52A857EC"/>
    <w:rsid w:val="52B63F0D"/>
    <w:rsid w:val="52BA6D67"/>
    <w:rsid w:val="52CD17B1"/>
    <w:rsid w:val="52D72213"/>
    <w:rsid w:val="532E5683"/>
    <w:rsid w:val="53542C10"/>
    <w:rsid w:val="535A7269"/>
    <w:rsid w:val="53684537"/>
    <w:rsid w:val="537729C0"/>
    <w:rsid w:val="537C27FA"/>
    <w:rsid w:val="538767BA"/>
    <w:rsid w:val="538B4884"/>
    <w:rsid w:val="53BE1EF3"/>
    <w:rsid w:val="53CA4948"/>
    <w:rsid w:val="53E1264C"/>
    <w:rsid w:val="53EA35B7"/>
    <w:rsid w:val="540403DB"/>
    <w:rsid w:val="544A1174"/>
    <w:rsid w:val="545635FC"/>
    <w:rsid w:val="546C53C1"/>
    <w:rsid w:val="548C2F1B"/>
    <w:rsid w:val="549F70D1"/>
    <w:rsid w:val="54AB4AB2"/>
    <w:rsid w:val="54B91120"/>
    <w:rsid w:val="54C121E5"/>
    <w:rsid w:val="54C8139B"/>
    <w:rsid w:val="54CD1795"/>
    <w:rsid w:val="54D32BCF"/>
    <w:rsid w:val="552B7C7C"/>
    <w:rsid w:val="55416F16"/>
    <w:rsid w:val="55756B28"/>
    <w:rsid w:val="559219B5"/>
    <w:rsid w:val="55A6199D"/>
    <w:rsid w:val="55C76BAC"/>
    <w:rsid w:val="560C3DD8"/>
    <w:rsid w:val="567C1BDB"/>
    <w:rsid w:val="56803302"/>
    <w:rsid w:val="568D446F"/>
    <w:rsid w:val="56AF48C3"/>
    <w:rsid w:val="56B61F3D"/>
    <w:rsid w:val="56B9154C"/>
    <w:rsid w:val="56C100D9"/>
    <w:rsid w:val="572C6608"/>
    <w:rsid w:val="57385B09"/>
    <w:rsid w:val="578B5783"/>
    <w:rsid w:val="57952EEF"/>
    <w:rsid w:val="57983795"/>
    <w:rsid w:val="57FB18AC"/>
    <w:rsid w:val="58032064"/>
    <w:rsid w:val="58070755"/>
    <w:rsid w:val="58175FCC"/>
    <w:rsid w:val="58311772"/>
    <w:rsid w:val="588474A6"/>
    <w:rsid w:val="589E299A"/>
    <w:rsid w:val="58A31668"/>
    <w:rsid w:val="58B64579"/>
    <w:rsid w:val="58BA3515"/>
    <w:rsid w:val="58D2444E"/>
    <w:rsid w:val="58D849DB"/>
    <w:rsid w:val="58E47E70"/>
    <w:rsid w:val="58F220D5"/>
    <w:rsid w:val="58F814D2"/>
    <w:rsid w:val="590D4168"/>
    <w:rsid w:val="590E5674"/>
    <w:rsid w:val="59123710"/>
    <w:rsid w:val="59271254"/>
    <w:rsid w:val="595379CD"/>
    <w:rsid w:val="5975743C"/>
    <w:rsid w:val="59973856"/>
    <w:rsid w:val="59A56934"/>
    <w:rsid w:val="59BF780A"/>
    <w:rsid w:val="59E20F76"/>
    <w:rsid w:val="59EE1099"/>
    <w:rsid w:val="5A0C7D52"/>
    <w:rsid w:val="5A2E76E4"/>
    <w:rsid w:val="5A311E1D"/>
    <w:rsid w:val="5A3C53E3"/>
    <w:rsid w:val="5A492A71"/>
    <w:rsid w:val="5A4A1698"/>
    <w:rsid w:val="5A6478E1"/>
    <w:rsid w:val="5A6D21AC"/>
    <w:rsid w:val="5A8C7BCC"/>
    <w:rsid w:val="5AB31A9B"/>
    <w:rsid w:val="5AB91138"/>
    <w:rsid w:val="5AEA5C0E"/>
    <w:rsid w:val="5AF3370D"/>
    <w:rsid w:val="5AFC416E"/>
    <w:rsid w:val="5B110082"/>
    <w:rsid w:val="5B1E5CD8"/>
    <w:rsid w:val="5B257699"/>
    <w:rsid w:val="5B3F0081"/>
    <w:rsid w:val="5B4506D2"/>
    <w:rsid w:val="5B457BEA"/>
    <w:rsid w:val="5B4707B5"/>
    <w:rsid w:val="5B5639C9"/>
    <w:rsid w:val="5B870481"/>
    <w:rsid w:val="5BA977EE"/>
    <w:rsid w:val="5BE639DB"/>
    <w:rsid w:val="5C484AA6"/>
    <w:rsid w:val="5C5122D9"/>
    <w:rsid w:val="5C563555"/>
    <w:rsid w:val="5C7C7FC2"/>
    <w:rsid w:val="5C8F48BE"/>
    <w:rsid w:val="5CB5471F"/>
    <w:rsid w:val="5CC23133"/>
    <w:rsid w:val="5D063716"/>
    <w:rsid w:val="5D177744"/>
    <w:rsid w:val="5D331807"/>
    <w:rsid w:val="5D3F5C7B"/>
    <w:rsid w:val="5D417126"/>
    <w:rsid w:val="5D4D0FDC"/>
    <w:rsid w:val="5D5226A5"/>
    <w:rsid w:val="5D834E78"/>
    <w:rsid w:val="5DB30398"/>
    <w:rsid w:val="5DB62955"/>
    <w:rsid w:val="5DCA09A3"/>
    <w:rsid w:val="5DDE3802"/>
    <w:rsid w:val="5DF25DEC"/>
    <w:rsid w:val="5DF9642C"/>
    <w:rsid w:val="5E1D04BF"/>
    <w:rsid w:val="5E292CB2"/>
    <w:rsid w:val="5E443FAD"/>
    <w:rsid w:val="5E6B36D8"/>
    <w:rsid w:val="5E7401D4"/>
    <w:rsid w:val="5E901800"/>
    <w:rsid w:val="5EAF4C92"/>
    <w:rsid w:val="5EC723A0"/>
    <w:rsid w:val="5EEB68C8"/>
    <w:rsid w:val="5F4F51A9"/>
    <w:rsid w:val="5F5D3535"/>
    <w:rsid w:val="5F7D25A8"/>
    <w:rsid w:val="5FC00A55"/>
    <w:rsid w:val="5FD249D3"/>
    <w:rsid w:val="601A0283"/>
    <w:rsid w:val="60237A5D"/>
    <w:rsid w:val="60237BF2"/>
    <w:rsid w:val="605E0C2A"/>
    <w:rsid w:val="60C30274"/>
    <w:rsid w:val="60C459A3"/>
    <w:rsid w:val="60CB36B3"/>
    <w:rsid w:val="60DE4400"/>
    <w:rsid w:val="60E25095"/>
    <w:rsid w:val="612E2CF2"/>
    <w:rsid w:val="613D4CE3"/>
    <w:rsid w:val="613F30DA"/>
    <w:rsid w:val="61426CF1"/>
    <w:rsid w:val="61484A20"/>
    <w:rsid w:val="614E6EF1"/>
    <w:rsid w:val="615A0522"/>
    <w:rsid w:val="61691F7C"/>
    <w:rsid w:val="61891813"/>
    <w:rsid w:val="61953B55"/>
    <w:rsid w:val="61C668D0"/>
    <w:rsid w:val="61CD2191"/>
    <w:rsid w:val="61DF236C"/>
    <w:rsid w:val="61EE2FE9"/>
    <w:rsid w:val="62380BD6"/>
    <w:rsid w:val="62404A8B"/>
    <w:rsid w:val="6247406C"/>
    <w:rsid w:val="625C40E0"/>
    <w:rsid w:val="6268096D"/>
    <w:rsid w:val="626B4182"/>
    <w:rsid w:val="62B3538E"/>
    <w:rsid w:val="62C02083"/>
    <w:rsid w:val="62C84A81"/>
    <w:rsid w:val="62D9591B"/>
    <w:rsid w:val="62EE7A8E"/>
    <w:rsid w:val="62F37705"/>
    <w:rsid w:val="63192098"/>
    <w:rsid w:val="634612A9"/>
    <w:rsid w:val="635F668D"/>
    <w:rsid w:val="63656725"/>
    <w:rsid w:val="637F4256"/>
    <w:rsid w:val="63830778"/>
    <w:rsid w:val="63BC7A95"/>
    <w:rsid w:val="63CA2CC1"/>
    <w:rsid w:val="63CC3CF5"/>
    <w:rsid w:val="64375273"/>
    <w:rsid w:val="64384F22"/>
    <w:rsid w:val="645E08F4"/>
    <w:rsid w:val="6486074F"/>
    <w:rsid w:val="648D6509"/>
    <w:rsid w:val="649717AE"/>
    <w:rsid w:val="649F5A3A"/>
    <w:rsid w:val="64D02381"/>
    <w:rsid w:val="64D4250F"/>
    <w:rsid w:val="64EA0FF2"/>
    <w:rsid w:val="652D55BE"/>
    <w:rsid w:val="657972A7"/>
    <w:rsid w:val="658F7FB1"/>
    <w:rsid w:val="6590139E"/>
    <w:rsid w:val="65E47CB9"/>
    <w:rsid w:val="661E1724"/>
    <w:rsid w:val="6629334A"/>
    <w:rsid w:val="662A77E4"/>
    <w:rsid w:val="662F5C80"/>
    <w:rsid w:val="664427D2"/>
    <w:rsid w:val="665B528E"/>
    <w:rsid w:val="665D3807"/>
    <w:rsid w:val="66692750"/>
    <w:rsid w:val="66B2570B"/>
    <w:rsid w:val="66B512A5"/>
    <w:rsid w:val="66C67458"/>
    <w:rsid w:val="670E2D2E"/>
    <w:rsid w:val="674C7A2E"/>
    <w:rsid w:val="67604905"/>
    <w:rsid w:val="67713939"/>
    <w:rsid w:val="677E766C"/>
    <w:rsid w:val="67A84B8F"/>
    <w:rsid w:val="67BB38A3"/>
    <w:rsid w:val="67CA7744"/>
    <w:rsid w:val="67D56573"/>
    <w:rsid w:val="680D41E2"/>
    <w:rsid w:val="681E36A1"/>
    <w:rsid w:val="685D7052"/>
    <w:rsid w:val="686167C2"/>
    <w:rsid w:val="686B6B0D"/>
    <w:rsid w:val="689B3B53"/>
    <w:rsid w:val="68FB77E4"/>
    <w:rsid w:val="692172D4"/>
    <w:rsid w:val="693B7D5A"/>
    <w:rsid w:val="694D5CE0"/>
    <w:rsid w:val="69960298"/>
    <w:rsid w:val="699D3371"/>
    <w:rsid w:val="69A00868"/>
    <w:rsid w:val="69B83AA1"/>
    <w:rsid w:val="69D41F5D"/>
    <w:rsid w:val="69ED36C9"/>
    <w:rsid w:val="69F778DA"/>
    <w:rsid w:val="6A097DB6"/>
    <w:rsid w:val="6A1A44A6"/>
    <w:rsid w:val="6A226255"/>
    <w:rsid w:val="6A4F1E24"/>
    <w:rsid w:val="6A514EC5"/>
    <w:rsid w:val="6A587E3E"/>
    <w:rsid w:val="6A6B140E"/>
    <w:rsid w:val="6A79680D"/>
    <w:rsid w:val="6A9F4D00"/>
    <w:rsid w:val="6AAE48C2"/>
    <w:rsid w:val="6ABC4E43"/>
    <w:rsid w:val="6ADB7A47"/>
    <w:rsid w:val="6B6D7B5B"/>
    <w:rsid w:val="6B976985"/>
    <w:rsid w:val="6B9E29A1"/>
    <w:rsid w:val="6BCF09EA"/>
    <w:rsid w:val="6BDA1175"/>
    <w:rsid w:val="6BEE37AA"/>
    <w:rsid w:val="6BF7325D"/>
    <w:rsid w:val="6C1256EA"/>
    <w:rsid w:val="6C211023"/>
    <w:rsid w:val="6C2F54B0"/>
    <w:rsid w:val="6C3269BB"/>
    <w:rsid w:val="6C4C4524"/>
    <w:rsid w:val="6C5747F4"/>
    <w:rsid w:val="6C8F104F"/>
    <w:rsid w:val="6CC769C2"/>
    <w:rsid w:val="6CE06587"/>
    <w:rsid w:val="6CE320AC"/>
    <w:rsid w:val="6CE57B79"/>
    <w:rsid w:val="6D0333BD"/>
    <w:rsid w:val="6D196605"/>
    <w:rsid w:val="6D283486"/>
    <w:rsid w:val="6D3C5FFB"/>
    <w:rsid w:val="6D422B72"/>
    <w:rsid w:val="6DAF28D9"/>
    <w:rsid w:val="6DBF105C"/>
    <w:rsid w:val="6DCA5491"/>
    <w:rsid w:val="6DCC3705"/>
    <w:rsid w:val="6DE84D99"/>
    <w:rsid w:val="6E0033A7"/>
    <w:rsid w:val="6E1868BC"/>
    <w:rsid w:val="6E2C5AAD"/>
    <w:rsid w:val="6E560EC3"/>
    <w:rsid w:val="6EB12481"/>
    <w:rsid w:val="6EB334F9"/>
    <w:rsid w:val="6EC51BF8"/>
    <w:rsid w:val="6ED9410C"/>
    <w:rsid w:val="6EEE1151"/>
    <w:rsid w:val="6EF43884"/>
    <w:rsid w:val="6EFB8B2B"/>
    <w:rsid w:val="6F300A2F"/>
    <w:rsid w:val="6F43337E"/>
    <w:rsid w:val="6F8A1A3C"/>
    <w:rsid w:val="6FBA3CC5"/>
    <w:rsid w:val="6FD87800"/>
    <w:rsid w:val="6FDC7647"/>
    <w:rsid w:val="70070077"/>
    <w:rsid w:val="702A28D7"/>
    <w:rsid w:val="70384FF4"/>
    <w:rsid w:val="704B111E"/>
    <w:rsid w:val="70765538"/>
    <w:rsid w:val="70774482"/>
    <w:rsid w:val="708F175D"/>
    <w:rsid w:val="70DA254F"/>
    <w:rsid w:val="70FC7222"/>
    <w:rsid w:val="7100444E"/>
    <w:rsid w:val="71597917"/>
    <w:rsid w:val="716F1705"/>
    <w:rsid w:val="71846782"/>
    <w:rsid w:val="71850D90"/>
    <w:rsid w:val="71B531DC"/>
    <w:rsid w:val="71BC08A4"/>
    <w:rsid w:val="71C231D8"/>
    <w:rsid w:val="71E1309B"/>
    <w:rsid w:val="71E371E1"/>
    <w:rsid w:val="7202338F"/>
    <w:rsid w:val="720E01EB"/>
    <w:rsid w:val="724C0ADB"/>
    <w:rsid w:val="726A16B0"/>
    <w:rsid w:val="727B155D"/>
    <w:rsid w:val="727C4D81"/>
    <w:rsid w:val="72A07619"/>
    <w:rsid w:val="72A7487C"/>
    <w:rsid w:val="72B67CCD"/>
    <w:rsid w:val="72D00E55"/>
    <w:rsid w:val="72D8486C"/>
    <w:rsid w:val="72E71000"/>
    <w:rsid w:val="72E8621E"/>
    <w:rsid w:val="72F343CF"/>
    <w:rsid w:val="73037217"/>
    <w:rsid w:val="733225A8"/>
    <w:rsid w:val="733E6593"/>
    <w:rsid w:val="735B585C"/>
    <w:rsid w:val="737A08C1"/>
    <w:rsid w:val="7386025F"/>
    <w:rsid w:val="73A94772"/>
    <w:rsid w:val="73C623F9"/>
    <w:rsid w:val="73DB56F4"/>
    <w:rsid w:val="73E90DA4"/>
    <w:rsid w:val="73EE6F70"/>
    <w:rsid w:val="740228B0"/>
    <w:rsid w:val="740B38AF"/>
    <w:rsid w:val="741A6936"/>
    <w:rsid w:val="74632294"/>
    <w:rsid w:val="746E36DA"/>
    <w:rsid w:val="7481675E"/>
    <w:rsid w:val="74872F86"/>
    <w:rsid w:val="74A964C0"/>
    <w:rsid w:val="74B74EDA"/>
    <w:rsid w:val="74F31E31"/>
    <w:rsid w:val="750F48A9"/>
    <w:rsid w:val="753C1C4E"/>
    <w:rsid w:val="75405158"/>
    <w:rsid w:val="754E52B9"/>
    <w:rsid w:val="75581C94"/>
    <w:rsid w:val="758E32E4"/>
    <w:rsid w:val="75921C74"/>
    <w:rsid w:val="75A66E88"/>
    <w:rsid w:val="75AF4F96"/>
    <w:rsid w:val="75B03015"/>
    <w:rsid w:val="75D32137"/>
    <w:rsid w:val="75E85651"/>
    <w:rsid w:val="76030786"/>
    <w:rsid w:val="760930D6"/>
    <w:rsid w:val="761C0BF1"/>
    <w:rsid w:val="764C7B3D"/>
    <w:rsid w:val="76562DE7"/>
    <w:rsid w:val="7659383B"/>
    <w:rsid w:val="7663382E"/>
    <w:rsid w:val="76831BEE"/>
    <w:rsid w:val="769F1E47"/>
    <w:rsid w:val="76B93BF0"/>
    <w:rsid w:val="76CF232D"/>
    <w:rsid w:val="76E3267A"/>
    <w:rsid w:val="76F854DD"/>
    <w:rsid w:val="7702489A"/>
    <w:rsid w:val="773144FB"/>
    <w:rsid w:val="774C29F1"/>
    <w:rsid w:val="775C1F10"/>
    <w:rsid w:val="775D17E4"/>
    <w:rsid w:val="775D4F19"/>
    <w:rsid w:val="7774599D"/>
    <w:rsid w:val="77AE6C5A"/>
    <w:rsid w:val="77C7126C"/>
    <w:rsid w:val="77CB4074"/>
    <w:rsid w:val="77CF4481"/>
    <w:rsid w:val="77E4617C"/>
    <w:rsid w:val="77E77CD8"/>
    <w:rsid w:val="78101C37"/>
    <w:rsid w:val="781C742A"/>
    <w:rsid w:val="787500B1"/>
    <w:rsid w:val="78915BE9"/>
    <w:rsid w:val="78BD0903"/>
    <w:rsid w:val="78CC6C21"/>
    <w:rsid w:val="78D8692C"/>
    <w:rsid w:val="78DE6954"/>
    <w:rsid w:val="78E505F3"/>
    <w:rsid w:val="78F803C3"/>
    <w:rsid w:val="79060822"/>
    <w:rsid w:val="7921668C"/>
    <w:rsid w:val="792B5776"/>
    <w:rsid w:val="793B5B55"/>
    <w:rsid w:val="795E2449"/>
    <w:rsid w:val="796D1795"/>
    <w:rsid w:val="79870D9A"/>
    <w:rsid w:val="79C40331"/>
    <w:rsid w:val="79FE1A4C"/>
    <w:rsid w:val="7A321C2E"/>
    <w:rsid w:val="7A582D2C"/>
    <w:rsid w:val="7A59457D"/>
    <w:rsid w:val="7A7C7169"/>
    <w:rsid w:val="7A7D215C"/>
    <w:rsid w:val="7A804FEF"/>
    <w:rsid w:val="7A8C79B7"/>
    <w:rsid w:val="7A954152"/>
    <w:rsid w:val="7AA84213"/>
    <w:rsid w:val="7AE07C8F"/>
    <w:rsid w:val="7AE572A8"/>
    <w:rsid w:val="7B017BBF"/>
    <w:rsid w:val="7B08588A"/>
    <w:rsid w:val="7B2264A1"/>
    <w:rsid w:val="7B3D1A9D"/>
    <w:rsid w:val="7B4712BD"/>
    <w:rsid w:val="7B520703"/>
    <w:rsid w:val="7B593A7F"/>
    <w:rsid w:val="7B5B7670"/>
    <w:rsid w:val="7B620AB5"/>
    <w:rsid w:val="7B7660D5"/>
    <w:rsid w:val="7B786A7F"/>
    <w:rsid w:val="7B9E467F"/>
    <w:rsid w:val="7BA14CC2"/>
    <w:rsid w:val="7BBC0AE7"/>
    <w:rsid w:val="7BD351C1"/>
    <w:rsid w:val="7BE61DA8"/>
    <w:rsid w:val="7C4B2FE0"/>
    <w:rsid w:val="7C574A90"/>
    <w:rsid w:val="7C5A6F8A"/>
    <w:rsid w:val="7C600CE1"/>
    <w:rsid w:val="7C9F75D1"/>
    <w:rsid w:val="7CC143F4"/>
    <w:rsid w:val="7CD32BBF"/>
    <w:rsid w:val="7CE01D83"/>
    <w:rsid w:val="7CE04BBD"/>
    <w:rsid w:val="7CFE3931"/>
    <w:rsid w:val="7D075C53"/>
    <w:rsid w:val="7D2D231D"/>
    <w:rsid w:val="7D30641A"/>
    <w:rsid w:val="7D485834"/>
    <w:rsid w:val="7D6D4B3B"/>
    <w:rsid w:val="7D741635"/>
    <w:rsid w:val="7DBC4C5B"/>
    <w:rsid w:val="7DC62240"/>
    <w:rsid w:val="7DD65E4C"/>
    <w:rsid w:val="7DE060DC"/>
    <w:rsid w:val="7DE70A2A"/>
    <w:rsid w:val="7DE73F17"/>
    <w:rsid w:val="7DEA73D2"/>
    <w:rsid w:val="7DEC7405"/>
    <w:rsid w:val="7E243510"/>
    <w:rsid w:val="7E2968C4"/>
    <w:rsid w:val="7E2D63B4"/>
    <w:rsid w:val="7E471391"/>
    <w:rsid w:val="7E693610"/>
    <w:rsid w:val="7EBA5F79"/>
    <w:rsid w:val="7EC5039A"/>
    <w:rsid w:val="7EF618DD"/>
    <w:rsid w:val="7EF93C6F"/>
    <w:rsid w:val="7EFB2552"/>
    <w:rsid w:val="7F273485"/>
    <w:rsid w:val="7F281935"/>
    <w:rsid w:val="7F3341E2"/>
    <w:rsid w:val="7F4C5624"/>
    <w:rsid w:val="7F563602"/>
    <w:rsid w:val="7F653B7F"/>
    <w:rsid w:val="7F7454C5"/>
    <w:rsid w:val="7F810FF1"/>
    <w:rsid w:val="7F9639E1"/>
    <w:rsid w:val="7FA04963"/>
    <w:rsid w:val="7FA35400"/>
    <w:rsid w:val="7FBD6AF8"/>
    <w:rsid w:val="7FFC4385"/>
    <w:rsid w:val="EDA73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3"/>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jc w:val="center"/>
      <w:outlineLvl w:val="0"/>
    </w:pPr>
    <w:rPr>
      <w:rFonts w:ascii="Arial" w:hAnsi="Arial" w:eastAsia="宋体" w:cs="Times New Roman"/>
      <w:b/>
      <w:sz w:val="32"/>
    </w:rPr>
  </w:style>
  <w:style w:type="paragraph" w:styleId="5">
    <w:name w:val="annotation text"/>
    <w:basedOn w:val="1"/>
    <w:qFormat/>
    <w:uiPriority w:val="0"/>
    <w:pPr>
      <w:jc w:val="left"/>
    </w:pPr>
  </w:style>
  <w:style w:type="paragraph" w:styleId="6">
    <w:name w:val="Body Text"/>
    <w:basedOn w:val="1"/>
    <w:next w:val="1"/>
    <w:qFormat/>
    <w:uiPriority w:val="0"/>
    <w:pPr>
      <w:spacing w:after="120"/>
    </w:pPr>
  </w:style>
  <w:style w:type="paragraph" w:styleId="7">
    <w:name w:val="Body Text Indent"/>
    <w:basedOn w:val="1"/>
    <w:next w:val="8"/>
    <w:qFormat/>
    <w:uiPriority w:val="0"/>
    <w:pPr>
      <w:ind w:firstLine="600"/>
    </w:pPr>
    <w:rPr>
      <w:sz w:val="30"/>
    </w:rPr>
  </w:style>
  <w:style w:type="paragraph" w:styleId="8">
    <w:name w:val="Body Text First Indent 2"/>
    <w:basedOn w:val="7"/>
    <w:next w:val="1"/>
    <w:qFormat/>
    <w:uiPriority w:val="0"/>
    <w:pPr>
      <w:ind w:firstLine="420" w:firstLineChars="200"/>
    </w:pPr>
  </w:style>
  <w:style w:type="paragraph" w:styleId="9">
    <w:name w:val="toc 3"/>
    <w:basedOn w:val="1"/>
    <w:next w:val="1"/>
    <w:qFormat/>
    <w:uiPriority w:val="0"/>
    <w:pPr>
      <w:ind w:left="840" w:leftChars="400"/>
    </w:pPr>
  </w:style>
  <w:style w:type="paragraph" w:styleId="10">
    <w:name w:val="Body Text Indent 2"/>
    <w:basedOn w:val="1"/>
    <w:unhideWhenUsed/>
    <w:qFormat/>
    <w:uiPriority w:val="99"/>
    <w:pPr>
      <w:spacing w:after="120" w:line="480" w:lineRule="auto"/>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qFormat/>
    <w:uiPriority w:val="0"/>
    <w:rPr>
      <w:color w:val="333333"/>
      <w:sz w:val="21"/>
      <w:szCs w:val="21"/>
      <w:u w:val="none"/>
    </w:rPr>
  </w:style>
  <w:style w:type="character" w:styleId="21">
    <w:name w:val="Emphasis"/>
    <w:basedOn w:val="18"/>
    <w:qFormat/>
    <w:uiPriority w:val="0"/>
    <w:rPr>
      <w:i/>
    </w:rPr>
  </w:style>
  <w:style w:type="character" w:styleId="22">
    <w:name w:val="Hyperlink"/>
    <w:basedOn w:val="18"/>
    <w:qFormat/>
    <w:uiPriority w:val="0"/>
    <w:rPr>
      <w:color w:val="333333"/>
      <w:sz w:val="21"/>
      <w:szCs w:val="21"/>
      <w:u w:val="none"/>
    </w:rPr>
  </w:style>
  <w:style w:type="paragraph" w:customStyle="1" w:styleId="23">
    <w:name w:val="Char"/>
    <w:basedOn w:val="1"/>
    <w:semiHidden/>
    <w:qFormat/>
    <w:uiPriority w:val="0"/>
    <w:rPr>
      <w:rFonts w:ascii="Calibri" w:hAnsi="Calibri" w:eastAsia="宋体"/>
      <w:sz w:val="21"/>
      <w:szCs w:val="24"/>
    </w:rPr>
  </w:style>
  <w:style w:type="paragraph" w:customStyle="1" w:styleId="24">
    <w:name w:val="No Spacing_ad81b47b-6779-4c76-b471-79375858c8cb"/>
    <w:basedOn w:val="1"/>
    <w:qFormat/>
    <w:uiPriority w:val="0"/>
    <w:pPr>
      <w:ind w:firstLine="200" w:firstLineChars="200"/>
    </w:pPr>
    <w:rPr>
      <w:rFonts w:ascii="Times New Roman" w:hAnsi="Times New Roman"/>
    </w:rPr>
  </w:style>
  <w:style w:type="paragraph" w:customStyle="1" w:styleId="25">
    <w:name w:val="NormalIndent"/>
    <w:basedOn w:val="1"/>
    <w:next w:val="1"/>
    <w:qFormat/>
    <w:uiPriority w:val="0"/>
    <w:pPr>
      <w:spacing w:line="280" w:lineRule="exact"/>
      <w:ind w:firstLine="420" w:firstLineChars="200"/>
    </w:pPr>
    <w:rPr>
      <w:rFonts w:ascii="Calibri" w:hAnsi="Calibri" w:eastAsia="宋体"/>
      <w:sz w:val="24"/>
      <w:szCs w:val="24"/>
    </w:rPr>
  </w:style>
  <w:style w:type="paragraph" w:customStyle="1" w:styleId="26">
    <w:name w:val="BodyText"/>
    <w:qFormat/>
    <w:uiPriority w:val="99"/>
    <w:pPr>
      <w:spacing w:after="120"/>
      <w:jc w:val="both"/>
      <w:textAlignment w:val="baseline"/>
    </w:pPr>
    <w:rPr>
      <w:rFonts w:ascii="Calibri" w:hAnsi="Calibri" w:eastAsia="宋体" w:cs="Calibri"/>
      <w:kern w:val="2"/>
      <w:sz w:val="21"/>
      <w:szCs w:val="21"/>
      <w:lang w:val="en-US" w:eastAsia="zh-CN" w:bidi="ar-SA"/>
    </w:rPr>
  </w:style>
  <w:style w:type="character" w:customStyle="1" w:styleId="27">
    <w:name w:val="font31"/>
    <w:basedOn w:val="18"/>
    <w:qFormat/>
    <w:uiPriority w:val="0"/>
    <w:rPr>
      <w:rFonts w:hint="eastAsia" w:ascii="宋体" w:hAnsi="宋体" w:eastAsia="宋体" w:cs="宋体"/>
      <w:color w:val="000000"/>
      <w:sz w:val="20"/>
      <w:szCs w:val="20"/>
      <w:u w:val="none"/>
    </w:rPr>
  </w:style>
  <w:style w:type="character" w:customStyle="1" w:styleId="28">
    <w:name w:val="font01"/>
    <w:basedOn w:val="18"/>
    <w:qFormat/>
    <w:uiPriority w:val="0"/>
    <w:rPr>
      <w:rFonts w:hint="eastAsia" w:ascii="宋体" w:hAnsi="宋体" w:eastAsia="宋体" w:cs="宋体"/>
      <w:color w:val="000000"/>
      <w:sz w:val="24"/>
      <w:szCs w:val="24"/>
      <w:u w:val="none"/>
    </w:rPr>
  </w:style>
  <w:style w:type="character" w:customStyle="1" w:styleId="29">
    <w:name w:val="font21"/>
    <w:basedOn w:val="18"/>
    <w:qFormat/>
    <w:uiPriority w:val="0"/>
    <w:rPr>
      <w:rFonts w:ascii="黑体" w:hAnsi="宋体" w:eastAsia="黑体" w:cs="黑体"/>
      <w:color w:val="000000"/>
      <w:sz w:val="20"/>
      <w:szCs w:val="20"/>
      <w:u w:val="none"/>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customStyle="1" w:styleId="32">
    <w:name w:val="WPSOffice手动目录 3"/>
    <w:qFormat/>
    <w:uiPriority w:val="0"/>
    <w:pPr>
      <w:ind w:leftChars="400"/>
    </w:pPr>
    <w:rPr>
      <w:rFonts w:ascii="Times New Roman" w:hAnsi="Times New Roman" w:eastAsia="宋体" w:cs="Times New Roman"/>
      <w:sz w:val="20"/>
      <w:szCs w:val="20"/>
    </w:rPr>
  </w:style>
  <w:style w:type="character" w:customStyle="1" w:styleId="33">
    <w:name w:val="NormalCharacter"/>
    <w:link w:val="1"/>
    <w:qFormat/>
    <w:uiPriority w:val="0"/>
    <w:rPr>
      <w:rFonts w:asciiTheme="minorHAnsi" w:hAnsiTheme="minorHAnsi" w:eastAsiaTheme="minorEastAsia" w:cstheme="minorBidi"/>
      <w:kern w:val="2"/>
      <w:sz w:val="21"/>
      <w:szCs w:val="24"/>
      <w:lang w:val="en-US" w:eastAsia="zh-CN" w:bidi="ar-SA"/>
    </w:rPr>
  </w:style>
  <w:style w:type="character" w:customStyle="1" w:styleId="34">
    <w:name w:val="UserStyle_4 Char"/>
    <w:link w:val="35"/>
    <w:qFormat/>
    <w:uiPriority w:val="0"/>
    <w:rPr>
      <w:rFonts w:ascii="Calibri" w:hAnsi="Calibri"/>
      <w:szCs w:val="21"/>
    </w:rPr>
  </w:style>
  <w:style w:type="paragraph" w:customStyle="1" w:styleId="35">
    <w:name w:val="UserStyle_4"/>
    <w:basedOn w:val="1"/>
    <w:link w:val="34"/>
    <w:qFormat/>
    <w:uiPriority w:val="0"/>
    <w:pPr>
      <w:textAlignment w:val="baseline"/>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6611;&#20856;&#23439;\2021&#39033;&#30446;\8&#26376;&#24037;&#20316;\&#38451;&#27849;&#29289;&#27969;\&#29289;&#27969;&#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26611;&#20856;&#23439;\2021&#39033;&#30446;\5&#26376;&#24037;&#20316;\&#38451;&#27849;&#29289;&#27969;&#21313;&#22235;&#20116;&#20462;&#25913;\&#32467;&#39064;&#35780;&#23457;\20210520-&#29289;&#27969;&#21313;&#22235;&#20116;&#35268;&#21010;&#21457;&#23637;&#22238;&#39038;&#21046;&#22270;&#25152;&#38656;&#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6611;&#20856;&#23439;\2021&#39033;&#30446;\5&#26376;&#24037;&#20316;\&#38451;&#27849;&#29289;&#27969;&#21313;&#22235;&#20116;&#20462;&#25913;\&#32467;&#39064;&#35780;&#23457;\20210520-&#29289;&#27969;&#21313;&#22235;&#20116;&#35268;&#21010;&#21457;&#23637;&#22238;&#39038;&#21046;&#22270;&#25152;&#38656;&#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[工作簿1]Sheet1!$B$1</c:f>
              <c:strCache>
                <c:ptCount val="1"/>
                <c:pt idx="0">
                  <c:v>工业总产值</c:v>
                </c:pt>
              </c:strCache>
            </c:strRef>
          </c:tx>
          <c:spPr>
            <a:solidFill>
              <a:schemeClr val="accent1"/>
            </a:solidFill>
            <a:ln>
              <a:noFill/>
            </a:ln>
            <a:effectLst/>
          </c:spPr>
          <c:invertIfNegative val="false"/>
          <c:dLbls>
            <c:dLbl>
              <c:idx val="0"/>
              <c:layout>
                <c:manualLayout>
                  <c:x val="0.00208333333333333"/>
                  <c:y val="-0.302083333333333"/>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r>
                      <a:rPr lang="en-US" altLang="zh-CN" sz="900"/>
                      <a:t>5600647</a:t>
                    </a:r>
                    <a:endParaRPr lang="en-US" altLang="zh-CN" sz="900"/>
                  </a:p>
                </c:rich>
              </c:tx>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0625"/>
                  <c:y val="-0.333333333333333"/>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r>
                      <a:rPr sz="900"/>
                      <a:t>5</a:t>
                    </a:r>
                    <a:r>
                      <a:rPr lang="en-US" altLang="zh-CN" sz="900"/>
                      <a:t>593584</a:t>
                    </a:r>
                    <a:endParaRPr lang="en-US" altLang="zh-CN" sz="900"/>
                  </a:p>
                </c:rich>
              </c:tx>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125"/>
                  <c:y val="-0.329861111111111"/>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r>
                      <a:rPr lang="en-US" altLang="zh-CN" sz="900"/>
                      <a:t>6084952</a:t>
                    </a:r>
                    <a:endParaRPr lang="en-US" altLang="zh-CN" sz="900"/>
                  </a:p>
                </c:rich>
              </c:tx>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0416666666666667"/>
                  <c:y val="-0.284722222222222"/>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r>
                      <a:rPr sz="900"/>
                      <a:t>5</a:t>
                    </a:r>
                    <a:r>
                      <a:rPr lang="en-US" altLang="zh-CN" sz="900"/>
                      <a:t>243669</a:t>
                    </a:r>
                    <a:endParaRPr lang="en-US" altLang="zh-CN" sz="900"/>
                  </a:p>
                </c:rich>
              </c:tx>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0625"/>
                  <c:y val="-0.298611111111111"/>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r>
                      <a:rPr lang="en-US" altLang="zh-CN" sz="900"/>
                      <a:t>5403237</a:t>
                    </a:r>
                    <a:endParaRPr lang="en-US" altLang="zh-CN" sz="900"/>
                  </a:p>
                </c:rich>
              </c:tx>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5"/>
              <c:layout>
                <c:manualLayout>
                  <c:x val="0.0104166666666667"/>
                  <c:y val="-0.291666666666667"/>
                </c:manualLayout>
              </c:layout>
              <c:tx>
                <c:rich>
                  <a:bodyPr rot="0" spcFirstLastPara="0" vertOverflow="ellipsis" vert="horz" wrap="square" lIns="38100" tIns="19050" rIns="38100" bIns="19050" anchor="ctr" anchorCtr="true"/>
                  <a:lstStyle/>
                  <a:p>
                    <a:pPr defTabSz="914400">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r>
                      <a:rPr lang="en-US" altLang="zh-CN" sz="900"/>
                      <a:t>5277666</a:t>
                    </a:r>
                    <a:endParaRPr lang="en-US" altLang="zh-CN" sz="900"/>
                  </a:p>
                </c:rich>
              </c:tx>
              <c:dLblPos val="ct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[工作簿1]Sheet1!$A$2:$A$7</c:f>
              <c:strCache>
                <c:ptCount val="6"/>
                <c:pt idx="0">
                  <c:v>2015年</c:v>
                </c:pt>
                <c:pt idx="1">
                  <c:v>2016年</c:v>
                </c:pt>
                <c:pt idx="2">
                  <c:v>2017年</c:v>
                </c:pt>
                <c:pt idx="3">
                  <c:v>2018年</c:v>
                </c:pt>
                <c:pt idx="4">
                  <c:v>2019年</c:v>
                </c:pt>
                <c:pt idx="5">
                  <c:v>2020年</c:v>
                </c:pt>
              </c:strCache>
            </c:strRef>
          </c:cat>
          <c:val>
            <c:numRef>
              <c:f>[工作簿1]Sheet1!$B$2:$B$7</c:f>
              <c:numCache>
                <c:formatCode>General</c:formatCode>
                <c:ptCount val="6"/>
                <c:pt idx="0">
                  <c:v>5368990</c:v>
                </c:pt>
                <c:pt idx="1">
                  <c:v>5367177</c:v>
                </c:pt>
                <c:pt idx="2">
                  <c:v>5856251</c:v>
                </c:pt>
                <c:pt idx="3">
                  <c:v>5004796</c:v>
                </c:pt>
                <c:pt idx="4">
                  <c:v>5149309</c:v>
                </c:pt>
                <c:pt idx="5">
                  <c:v>4972842</c:v>
                </c:pt>
              </c:numCache>
            </c:numRef>
          </c:val>
        </c:ser>
        <c:ser>
          <c:idx val="1"/>
          <c:order val="1"/>
          <c:tx>
            <c:strRef>
              <c:f>[工作簿1]Sheet1!$C$1</c:f>
              <c:strCache>
                <c:ptCount val="1"/>
                <c:pt idx="0">
                  <c:v>农林牧渔业总产值</c:v>
                </c:pt>
              </c:strCache>
            </c:strRef>
          </c:tx>
          <c:spPr>
            <a:solidFill>
              <a:schemeClr val="accent2"/>
            </a:solidFill>
            <a:ln>
              <a:noFill/>
            </a:ln>
            <a:effectLst/>
          </c:spPr>
          <c:invertIfNegative val="false"/>
          <c:dLbls>
            <c:delete val="true"/>
          </c:dLbls>
          <c:cat>
            <c:strRef>
              <c:f>[工作簿1]Sheet1!$A$2:$A$7</c:f>
              <c:strCache>
                <c:ptCount val="6"/>
                <c:pt idx="0">
                  <c:v>2015年</c:v>
                </c:pt>
                <c:pt idx="1">
                  <c:v>2016年</c:v>
                </c:pt>
                <c:pt idx="2">
                  <c:v>2017年</c:v>
                </c:pt>
                <c:pt idx="3">
                  <c:v>2018年</c:v>
                </c:pt>
                <c:pt idx="4">
                  <c:v>2019年</c:v>
                </c:pt>
                <c:pt idx="5">
                  <c:v>2020年</c:v>
                </c:pt>
              </c:strCache>
            </c:strRef>
          </c:cat>
          <c:val>
            <c:numRef>
              <c:f>[工作簿1]Sheet1!$C$2:$C$7</c:f>
              <c:numCache>
                <c:formatCode>General</c:formatCode>
                <c:ptCount val="6"/>
                <c:pt idx="0">
                  <c:v>198690</c:v>
                </c:pt>
                <c:pt idx="1">
                  <c:v>204968</c:v>
                </c:pt>
                <c:pt idx="2">
                  <c:v>203562</c:v>
                </c:pt>
                <c:pt idx="3">
                  <c:v>209648</c:v>
                </c:pt>
                <c:pt idx="4">
                  <c:v>203364</c:v>
                </c:pt>
                <c:pt idx="5">
                  <c:v>213451</c:v>
                </c:pt>
              </c:numCache>
            </c:numRef>
          </c:val>
        </c:ser>
        <c:ser>
          <c:idx val="2"/>
          <c:order val="2"/>
          <c:tx>
            <c:strRef>
              <c:f>[工作簿1]Sheet1!$D$1</c:f>
              <c:strCache>
                <c:ptCount val="1"/>
                <c:pt idx="0">
                  <c:v>进口总额</c:v>
                </c:pt>
              </c:strCache>
            </c:strRef>
          </c:tx>
          <c:spPr>
            <a:solidFill>
              <a:schemeClr val="accent6"/>
            </a:solidFill>
            <a:ln>
              <a:noFill/>
            </a:ln>
            <a:effectLst/>
          </c:spPr>
          <c:invertIfNegative val="false"/>
          <c:dLbls>
            <c:delete val="true"/>
          </c:dLbls>
          <c:cat>
            <c:strRef>
              <c:f>[工作簿1]Sheet1!$A$2:$A$7</c:f>
              <c:strCache>
                <c:ptCount val="6"/>
                <c:pt idx="0">
                  <c:v>2015年</c:v>
                </c:pt>
                <c:pt idx="1">
                  <c:v>2016年</c:v>
                </c:pt>
                <c:pt idx="2">
                  <c:v>2017年</c:v>
                </c:pt>
                <c:pt idx="3">
                  <c:v>2018年</c:v>
                </c:pt>
                <c:pt idx="4">
                  <c:v>2019年</c:v>
                </c:pt>
                <c:pt idx="5">
                  <c:v>2020年</c:v>
                </c:pt>
              </c:strCache>
            </c:strRef>
          </c:cat>
          <c:val>
            <c:numRef>
              <c:f>[工作簿1]Sheet1!$D$2:$D$7</c:f>
              <c:numCache>
                <c:formatCode>General</c:formatCode>
                <c:ptCount val="6"/>
                <c:pt idx="0">
                  <c:v>32967</c:v>
                </c:pt>
                <c:pt idx="1">
                  <c:v>21439</c:v>
                </c:pt>
                <c:pt idx="2">
                  <c:v>25139</c:v>
                </c:pt>
                <c:pt idx="3">
                  <c:v>29225</c:v>
                </c:pt>
                <c:pt idx="4">
                  <c:v>50564</c:v>
                </c:pt>
                <c:pt idx="5">
                  <c:v>91373</c:v>
                </c:pt>
              </c:numCache>
            </c:numRef>
          </c:val>
        </c:ser>
        <c:dLbls>
          <c:showLegendKey val="false"/>
          <c:showVal val="true"/>
          <c:showCatName val="false"/>
          <c:showSerName val="false"/>
          <c:showPercent val="false"/>
          <c:showBubbleSize val="false"/>
        </c:dLbls>
        <c:gapWidth val="150"/>
        <c:overlap val="100"/>
        <c:axId val="615312737"/>
        <c:axId val="79940986"/>
      </c:barChart>
      <c:catAx>
        <c:axId val="615312737"/>
        <c:scaling>
          <c:orientation val="minMax"/>
        </c:scaling>
        <c:delete val="false"/>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79940986"/>
        <c:crosses val="autoZero"/>
        <c:auto val="true"/>
        <c:lblAlgn val="ctr"/>
        <c:lblOffset val="100"/>
        <c:noMultiLvlLbl val="false"/>
      </c:catAx>
      <c:valAx>
        <c:axId val="79940986"/>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615312737"/>
        <c:crosses val="autoZero"/>
        <c:crossBetween val="between"/>
      </c:valAx>
      <c:dTable>
        <c:showHorzBorder val="true"/>
        <c:showVertBorder val="true"/>
        <c:showOutline val="true"/>
        <c:showKeys val="true"/>
        <c:spPr>
          <a:noFill/>
          <a:ln w="9525" cap="flat" cmpd="sng" algn="ctr">
            <a:solidFill>
              <a:schemeClr val="tx1">
                <a:lumMod val="15000"/>
                <a:lumOff val="85000"/>
              </a:schemeClr>
            </a:solidFill>
            <a:round/>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dTable>
      <c:spPr>
        <a:noFill/>
        <a:ln>
          <a:noFill/>
        </a:ln>
        <a:effectLst/>
      </c:spPr>
    </c:plotArea>
    <c:plotVisOnly val="true"/>
    <c:dispBlanksAs val="gap"/>
    <c:showDLblsOverMax val="false"/>
  </c:chart>
  <c:spPr>
    <a:solidFill>
      <a:schemeClr val="bg1"/>
    </a:solidFill>
    <a:ln w="9525" cap="flat" cmpd="sng" algn="ctr">
      <a:solidFill>
        <a:sysClr val="windowText" lastClr="000000"/>
      </a:solidFill>
      <a:round/>
    </a:ln>
    <a:effectLst/>
  </c:spPr>
  <c:txPr>
    <a:bodyPr/>
    <a:lstStyle/>
    <a:p>
      <a:pPr>
        <a:defRPr lang="zh-CN" sz="900">
          <a:latin typeface="Times New Roman" charset="0"/>
          <a:ea typeface="Times New Roman" charset="0"/>
          <a:cs typeface="Times New Roman" charset="0"/>
          <a:sym typeface="Times New Roman" charset="0"/>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[物流数据.xlsx]Sheet1!$H$13</c:f>
              <c:strCache>
                <c:ptCount val="1"/>
                <c:pt idx="0">
                  <c:v>物流业增加值（亿元）</c:v>
                </c:pt>
              </c:strCache>
            </c:strRef>
          </c:tx>
          <c:spPr>
            <a:solidFill>
              <a:schemeClr val="accent1"/>
            </a:solidFill>
            <a:ln>
              <a:noFill/>
            </a:ln>
            <a:effectLst/>
          </c:spPr>
          <c:invertIfNegative val="false"/>
          <c:dLbls>
            <c:delete val="true"/>
          </c:dLbls>
          <c:cat>
            <c:strRef>
              <c:f>[物流数据.xlsx]Sheet1!$G$14:$G$19</c:f>
              <c:strCache>
                <c:ptCount val="6"/>
                <c:pt idx="0">
                  <c:v>2015年</c:v>
                </c:pt>
                <c:pt idx="1">
                  <c:v>2016年</c:v>
                </c:pt>
                <c:pt idx="2">
                  <c:v>2017年</c:v>
                </c:pt>
                <c:pt idx="3">
                  <c:v>2018年</c:v>
                </c:pt>
                <c:pt idx="4">
                  <c:v>2019年</c:v>
                </c:pt>
                <c:pt idx="5">
                  <c:v>2020年</c:v>
                </c:pt>
              </c:strCache>
            </c:strRef>
          </c:cat>
          <c:val>
            <c:numRef>
              <c:f>[物流数据.xlsx]Sheet1!$H$14:$H$19</c:f>
              <c:numCache>
                <c:formatCode>General</c:formatCode>
                <c:ptCount val="6"/>
                <c:pt idx="0">
                  <c:v>50.63172</c:v>
                </c:pt>
                <c:pt idx="1">
                  <c:v>54.25524</c:v>
                </c:pt>
                <c:pt idx="2">
                  <c:v>55.08868</c:v>
                </c:pt>
                <c:pt idx="3">
                  <c:v>57.46682</c:v>
                </c:pt>
                <c:pt idx="4">
                  <c:v>49.49596</c:v>
                </c:pt>
                <c:pt idx="5">
                  <c:v>50.9374</c:v>
                </c:pt>
              </c:numCache>
            </c:numRef>
          </c:val>
        </c:ser>
        <c:dLbls>
          <c:showLegendKey val="false"/>
          <c:showVal val="false"/>
          <c:showCatName val="false"/>
          <c:showSerName val="false"/>
          <c:showPercent val="false"/>
          <c:showBubbleSize val="false"/>
        </c:dLbls>
        <c:gapWidth val="219"/>
        <c:overlap val="-27"/>
        <c:axId val="777091248"/>
        <c:axId val="546390871"/>
      </c:barChart>
      <c:lineChart>
        <c:grouping val="standard"/>
        <c:varyColors val="false"/>
        <c:ser>
          <c:idx val="1"/>
          <c:order val="1"/>
          <c:tx>
            <c:strRef>
              <c:f>[物流数据.xlsx]Sheet1!$I$13</c:f>
              <c:strCache>
                <c:ptCount val="1"/>
                <c:pt idx="0">
                  <c:v>占地区生产总值比重（%）</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delete val="true"/>
          </c:dLbls>
          <c:cat>
            <c:strRef>
              <c:f>[物流数据.xlsx]Sheet1!$G$14:$G$19</c:f>
              <c:strCache>
                <c:ptCount val="6"/>
                <c:pt idx="0">
                  <c:v>2015年</c:v>
                </c:pt>
                <c:pt idx="1">
                  <c:v>2016年</c:v>
                </c:pt>
                <c:pt idx="2">
                  <c:v>2017年</c:v>
                </c:pt>
                <c:pt idx="3">
                  <c:v>2018年</c:v>
                </c:pt>
                <c:pt idx="4">
                  <c:v>2019年</c:v>
                </c:pt>
                <c:pt idx="5">
                  <c:v>2020年</c:v>
                </c:pt>
              </c:strCache>
            </c:strRef>
          </c:cat>
          <c:val>
            <c:numRef>
              <c:f>[物流数据.xlsx]Sheet1!$I$14:$I$19</c:f>
              <c:numCache>
                <c:formatCode>0.00_ </c:formatCode>
                <c:ptCount val="6"/>
                <c:pt idx="0">
                  <c:v>8.49953332214202</c:v>
                </c:pt>
                <c:pt idx="1">
                  <c:v>8.71010435061808</c:v>
                </c:pt>
                <c:pt idx="2">
                  <c:v>8.19772023809524</c:v>
                </c:pt>
                <c:pt idx="3">
                  <c:v>7.8324683112989</c:v>
                </c:pt>
                <c:pt idx="4">
                  <c:v>6.8849575740715</c:v>
                </c:pt>
                <c:pt idx="5">
                  <c:v>6.8630288331986</c:v>
                </c:pt>
              </c:numCache>
            </c:numRef>
          </c:val>
          <c:smooth val="false"/>
        </c:ser>
        <c:ser>
          <c:idx val="2"/>
          <c:order val="2"/>
          <c:tx>
            <c:strRef>
              <c:f>[物流数据.xlsx]Sheet1!$J$13</c:f>
              <c:strCache>
                <c:ptCount val="1"/>
                <c:pt idx="0">
                  <c:v>占服务业增加值比重（%）</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true"/>
          </c:dLbls>
          <c:cat>
            <c:strRef>
              <c:f>[物流数据.xlsx]Sheet1!$G$14:$G$19</c:f>
              <c:strCache>
                <c:ptCount val="6"/>
                <c:pt idx="0">
                  <c:v>2015年</c:v>
                </c:pt>
                <c:pt idx="1">
                  <c:v>2016年</c:v>
                </c:pt>
                <c:pt idx="2">
                  <c:v>2017年</c:v>
                </c:pt>
                <c:pt idx="3">
                  <c:v>2018年</c:v>
                </c:pt>
                <c:pt idx="4">
                  <c:v>2019年</c:v>
                </c:pt>
                <c:pt idx="5">
                  <c:v>2020年</c:v>
                </c:pt>
              </c:strCache>
            </c:strRef>
          </c:cat>
          <c:val>
            <c:numRef>
              <c:f>[物流数据.xlsx]Sheet1!$J$14:$J$19</c:f>
              <c:numCache>
                <c:formatCode>0.00_ </c:formatCode>
                <c:ptCount val="6"/>
                <c:pt idx="0">
                  <c:v>17.5256905503634</c:v>
                </c:pt>
                <c:pt idx="1">
                  <c:v>17.3062966507177</c:v>
                </c:pt>
                <c:pt idx="2">
                  <c:v>16.1455685814771</c:v>
                </c:pt>
                <c:pt idx="3">
                  <c:v>15.2028624338624</c:v>
                </c:pt>
                <c:pt idx="4">
                  <c:v>13.0321116377041</c:v>
                </c:pt>
                <c:pt idx="5">
                  <c:v>12.8208910143468</c:v>
                </c:pt>
              </c:numCache>
            </c:numRef>
          </c:val>
          <c:smooth val="false"/>
        </c:ser>
        <c:dLbls>
          <c:showLegendKey val="false"/>
          <c:showVal val="false"/>
          <c:showCatName val="false"/>
          <c:showSerName val="false"/>
          <c:showPercent val="false"/>
          <c:showBubbleSize val="false"/>
        </c:dLbls>
        <c:marker val="true"/>
        <c:smooth val="false"/>
        <c:axId val="301402326"/>
        <c:axId val="33801655"/>
      </c:lineChart>
      <c:catAx>
        <c:axId val="777091248"/>
        <c:scaling>
          <c:orientation val="minMax"/>
        </c:scaling>
        <c:delete val="false"/>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546390871"/>
        <c:crosses val="autoZero"/>
        <c:auto val="true"/>
        <c:lblAlgn val="ctr"/>
        <c:lblOffset val="100"/>
        <c:noMultiLvlLbl val="false"/>
      </c:catAx>
      <c:valAx>
        <c:axId val="546390871"/>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777091248"/>
        <c:crosses val="autoZero"/>
        <c:crossBetween val="between"/>
      </c:valAx>
      <c:catAx>
        <c:axId val="301402326"/>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33801655"/>
        <c:crosses val="autoZero"/>
        <c:auto val="true"/>
        <c:lblAlgn val="ctr"/>
        <c:lblOffset val="100"/>
        <c:noMultiLvlLbl val="false"/>
      </c:catAx>
      <c:valAx>
        <c:axId val="33801655"/>
        <c:scaling>
          <c:orientation val="minMax"/>
        </c:scaling>
        <c:delete val="false"/>
        <c:axPos val="r"/>
        <c:numFmt formatCode="0.00_ " sourceLinked="true"/>
        <c:majorTickMark val="out"/>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301402326"/>
        <c:crosses val="max"/>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legendEntry>
      <c:legendEntry>
        <c:idx val="2"/>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legend>
    <c:plotVisOnly val="true"/>
    <c:dispBlanksAs val="gap"/>
    <c:showDLblsOverMax val="false"/>
  </c:chart>
  <c:spPr>
    <a:solidFill>
      <a:schemeClr val="bg1"/>
    </a:solidFill>
    <a:ln w="9525" cap="flat" cmpd="sng" algn="ctr">
      <a:solidFill>
        <a:sysClr val="windowText" lastClr="000000"/>
      </a:solidFill>
      <a:round/>
    </a:ln>
    <a:effectLst/>
  </c:spPr>
  <c:txPr>
    <a:bodyPr/>
    <a:lstStyle/>
    <a:p>
      <a:pPr>
        <a:defRPr lang="zh-CN" sz="900">
          <a:latin typeface="Times New Roman" charset="0"/>
          <a:ea typeface="Times New Roman" charset="0"/>
          <a:cs typeface="Times New Roman" charset="0"/>
          <a:sym typeface="Times New Roman" charset="0"/>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04195"/>
          <c:y val="0.127"/>
          <c:w val="0.927925"/>
          <c:h val="0.716566666666667"/>
        </c:manualLayout>
      </c:layout>
      <c:barChart>
        <c:barDir val="col"/>
        <c:grouping val="clustered"/>
        <c:varyColors val="false"/>
        <c:ser>
          <c:idx val="0"/>
          <c:order val="0"/>
          <c:tx>
            <c:strRef>
              <c:f>Sheet1!$B$1</c:f>
              <c:strCache>
                <c:ptCount val="1"/>
                <c:pt idx="0">
                  <c:v>交通运输、仓储邮政业增加值</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General</c:formatCode>
                <c:ptCount val="6"/>
                <c:pt idx="0">
                  <c:v>410717</c:v>
                </c:pt>
                <c:pt idx="1">
                  <c:v>444621</c:v>
                </c:pt>
                <c:pt idx="2">
                  <c:v>449668</c:v>
                </c:pt>
                <c:pt idx="3">
                  <c:v>467091</c:v>
                </c:pt>
                <c:pt idx="4">
                  <c:v>369044</c:v>
                </c:pt>
                <c:pt idx="5">
                  <c:v>390609</c:v>
                </c:pt>
              </c:numCache>
            </c:numRef>
          </c:val>
        </c:ser>
        <c:dLbls>
          <c:showLegendKey val="false"/>
          <c:showVal val="true"/>
          <c:showCatName val="false"/>
          <c:showSerName val="false"/>
          <c:showPercent val="false"/>
          <c:showBubbleSize val="false"/>
        </c:dLbls>
        <c:gapWidth val="219"/>
        <c:overlap val="-27"/>
        <c:axId val="262144701"/>
        <c:axId val="897190817"/>
      </c:barChart>
      <c:catAx>
        <c:axId val="262144701"/>
        <c:scaling>
          <c:orientation val="minMax"/>
        </c:scaling>
        <c:delete val="false"/>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897190817"/>
        <c:crosses val="autoZero"/>
        <c:auto val="true"/>
        <c:lblAlgn val="ctr"/>
        <c:lblOffset val="100"/>
        <c:noMultiLvlLbl val="false"/>
      </c:catAx>
      <c:valAx>
        <c:axId val="897190817"/>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262144701"/>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solidFill>
      <a:round/>
    </a:ln>
    <a:effectLst/>
  </c:spPr>
  <c:txPr>
    <a:bodyPr/>
    <a:lstStyle/>
    <a:p>
      <a:pPr>
        <a:defRPr lang="zh-CN" sz="900">
          <a:latin typeface="Times New Roman" charset="0"/>
          <a:ea typeface="Times New Roman" charset="0"/>
          <a:cs typeface="Times New Roman" charset="0"/>
          <a:sym typeface="Times New Roman" charset="0"/>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'[20210520-物流十四五规划发展回顾制图所需数据.xlsx]Sheet1'!$B$14</c:f>
              <c:strCache>
                <c:ptCount val="1"/>
                <c:pt idx="0">
                  <c:v>邮政业务总量（亿元）</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'[20210520-物流十四五规划发展回顾制图所需数据.xlsx]Sheet1'!$E$1:$J$1</c:f>
              <c:strCache>
                <c:ptCount val="6"/>
                <c:pt idx="0">
                  <c:v>2015年</c:v>
                </c:pt>
                <c:pt idx="1">
                  <c:v>2016年</c:v>
                </c:pt>
                <c:pt idx="2">
                  <c:v>2017年</c:v>
                </c:pt>
                <c:pt idx="3">
                  <c:v>2018年</c:v>
                </c:pt>
                <c:pt idx="4">
                  <c:v>2019年</c:v>
                </c:pt>
                <c:pt idx="5">
                  <c:v>2020年</c:v>
                </c:pt>
              </c:strCache>
            </c:strRef>
          </c:cat>
          <c:val>
            <c:numRef>
              <c:f>'[20210520-物流十四五规划发展回顾制图所需数据.xlsx]Sheet1'!$E$14:$J$14</c:f>
              <c:numCache>
                <c:formatCode>General</c:formatCode>
                <c:ptCount val="6"/>
                <c:pt idx="0">
                  <c:v>2.0048</c:v>
                </c:pt>
                <c:pt idx="1">
                  <c:v>3.1286</c:v>
                </c:pt>
                <c:pt idx="2">
                  <c:v>2.72</c:v>
                </c:pt>
                <c:pt idx="3">
                  <c:v>3.21</c:v>
                </c:pt>
                <c:pt idx="4">
                  <c:v>4.08</c:v>
                </c:pt>
                <c:pt idx="5">
                  <c:v>3.13</c:v>
                </c:pt>
              </c:numCache>
            </c:numRef>
          </c:val>
        </c:ser>
        <c:dLbls>
          <c:showLegendKey val="false"/>
          <c:showVal val="true"/>
          <c:showCatName val="false"/>
          <c:showSerName val="false"/>
          <c:showPercent val="false"/>
          <c:showBubbleSize val="false"/>
        </c:dLbls>
        <c:gapWidth val="219"/>
        <c:overlap val="-27"/>
        <c:axId val="979071909"/>
        <c:axId val="326986485"/>
      </c:barChart>
      <c:catAx>
        <c:axId val="979071909"/>
        <c:scaling>
          <c:orientation val="minMax"/>
        </c:scaling>
        <c:delete val="false"/>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326986485"/>
        <c:crosses val="autoZero"/>
        <c:auto val="true"/>
        <c:lblAlgn val="ctr"/>
        <c:lblOffset val="100"/>
        <c:noMultiLvlLbl val="false"/>
      </c:catAx>
      <c:valAx>
        <c:axId val="326986485"/>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979071909"/>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solidFill>
      <a:round/>
    </a:ln>
    <a:effectLst/>
  </c:spPr>
  <c:txPr>
    <a:bodyPr/>
    <a:lstStyle/>
    <a:p>
      <a:pPr>
        <a:defRPr lang="zh-CN" sz="900">
          <a:latin typeface="Times New Roman" charset="0"/>
          <a:ea typeface="Times New Roman" charset="0"/>
          <a:cs typeface="Times New Roman" charset="0"/>
          <a:sym typeface="Times New Roman" charset="0"/>
        </a:defRPr>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'[20210520-物流十四五规划发展回顾制图所需数据.xlsx]Sheet1'!$B$15</c:f>
              <c:strCache>
                <c:ptCount val="1"/>
                <c:pt idx="0">
                  <c:v>铁路货运量（万吨）</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Times New Roman" charset="0"/>
                    <a:ea typeface="Times New Roman" charset="0"/>
                    <a:cs typeface="Times New Roman" charset="0"/>
                    <a:sym typeface="Times New Roman"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'[20210520-物流十四五规划发展回顾制图所需数据.xlsx]Sheet1'!$E$1:$J$1</c:f>
              <c:strCache>
                <c:ptCount val="6"/>
                <c:pt idx="0">
                  <c:v>2015年</c:v>
                </c:pt>
                <c:pt idx="1">
                  <c:v>2016年</c:v>
                </c:pt>
                <c:pt idx="2">
                  <c:v>2017年</c:v>
                </c:pt>
                <c:pt idx="3">
                  <c:v>2018年</c:v>
                </c:pt>
                <c:pt idx="4">
                  <c:v>2019年</c:v>
                </c:pt>
                <c:pt idx="5">
                  <c:v>2020年</c:v>
                </c:pt>
              </c:strCache>
            </c:strRef>
          </c:cat>
          <c:val>
            <c:numRef>
              <c:f>'[20210520-物流十四五规划发展回顾制图所需数据.xlsx]Sheet1'!$E$15:$J$15</c:f>
              <c:numCache>
                <c:formatCode>General</c:formatCode>
                <c:ptCount val="6"/>
                <c:pt idx="0">
                  <c:v>4497</c:v>
                </c:pt>
                <c:pt idx="1">
                  <c:v>4337</c:v>
                </c:pt>
                <c:pt idx="2">
                  <c:v>4497</c:v>
                </c:pt>
                <c:pt idx="3">
                  <c:v>4548</c:v>
                </c:pt>
                <c:pt idx="4">
                  <c:v>4332</c:v>
                </c:pt>
                <c:pt idx="5">
                  <c:v>4238</c:v>
                </c:pt>
              </c:numCache>
            </c:numRef>
          </c:val>
        </c:ser>
        <c:dLbls>
          <c:showLegendKey val="false"/>
          <c:showVal val="true"/>
          <c:showCatName val="false"/>
          <c:showSerName val="false"/>
          <c:showPercent val="false"/>
          <c:showBubbleSize val="false"/>
        </c:dLbls>
        <c:gapWidth val="219"/>
        <c:overlap val="-27"/>
        <c:axId val="855287749"/>
        <c:axId val="681063945"/>
      </c:barChart>
      <c:catAx>
        <c:axId val="855287749"/>
        <c:scaling>
          <c:orientation val="minMax"/>
        </c:scaling>
        <c:delete val="false"/>
        <c:axPos val="b"/>
        <c:minorGridlines>
          <c:spPr>
            <a:ln w="9525" cap="flat" cmpd="sng" algn="ctr">
              <a:solidFill>
                <a:schemeClr val="tx1">
                  <a:lumMod val="5000"/>
                  <a:lumOff val="95000"/>
                </a:schemeClr>
              </a:solidFill>
              <a:round/>
            </a:ln>
            <a:effectLst/>
          </c:spPr>
        </c:min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681063945"/>
        <c:crosses val="autoZero"/>
        <c:auto val="true"/>
        <c:lblAlgn val="ctr"/>
        <c:lblOffset val="100"/>
        <c:noMultiLvlLbl val="false"/>
      </c:catAx>
      <c:valAx>
        <c:axId val="681063945"/>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Times New Roman" charset="0"/>
                <a:ea typeface="Times New Roman" charset="0"/>
                <a:cs typeface="Times New Roman" charset="0"/>
                <a:sym typeface="Times New Roman" charset="0"/>
              </a:defRPr>
            </a:pPr>
          </a:p>
        </c:txPr>
        <c:crossAx val="855287749"/>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solidFill>
      <a:round/>
    </a:ln>
    <a:effectLst/>
  </c:spPr>
  <c:txPr>
    <a:bodyPr/>
    <a:lstStyle/>
    <a:p>
      <a:pPr>
        <a:defRPr lang="zh-CN" sz="900">
          <a:latin typeface="Times New Roman" charset="0"/>
          <a:ea typeface="Times New Roman" charset="0"/>
          <a:cs typeface="Times New Roman" charset="0"/>
          <a:sym typeface="Times New Roman" charset="0"/>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21941</Words>
  <Characters>22548</Characters>
  <Lines>0</Lines>
  <Paragraphs>0</Paragraphs>
  <TotalTime>23</TotalTime>
  <ScaleCrop>false</ScaleCrop>
  <LinksUpToDate>false</LinksUpToDate>
  <CharactersWithSpaces>22770</CharactersWithSpaces>
  <Application>WPS Office_11.8.2.9793_F1E327BC-269C-435d-A152-05C5408002CA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2021-05-30T22:27:00Z</dcterms:created>
  <dc:creator>Pro</dc:creator>
  <cp:lastModifiedBy>baixin</cp:lastModifiedBy>
  <cp:lastPrinted>2022-03-08T03:49:00Z</cp:lastPrinted>
  <dcterms:modified xsi:type="dcterms:W3CDTF">2025-12-03T15:38:13Z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2052-11.8.2.9793</vt:lpwstr>
  </property>
  <property fmtid="{D5CDD505-2E9C-101B-9397-08002B2CF9AE}" pid="3" name="ICV">
    <vt:lpwstr>245C1C44BCDB4A63BEB526DA5F0E5B5C</vt:lpwstr>
  </property>
</Properties>
</file>