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bidi w:val="0"/>
        <w:adjustRightInd/>
        <w:snapToGrid/>
        <w:spacing w:line="360" w:lineRule="auto"/>
        <w:ind w:left="0" w:leftChars="0"/>
        <w:jc w:val="center"/>
        <w:textAlignment w:val="auto"/>
        <w:rPr>
          <w:rFonts w:hint="default" w:ascii="Times New Roman" w:hAnsi="Times New Roman" w:eastAsia="方正小标宋简体" w:cs="Times New Roman"/>
          <w:color w:val="auto"/>
          <w:sz w:val="44"/>
          <w:szCs w:val="52"/>
          <w:highlight w:val="none"/>
          <w:u w:val="none" w:color="auto"/>
          <w:lang w:val="en-US" w:eastAsia="zh-CN"/>
        </w:rPr>
      </w:pPr>
    </w:p>
    <w:p>
      <w:pPr>
        <w:keepNext w:val="0"/>
        <w:keepLines w:val="0"/>
        <w:pageBreakBefore w:val="0"/>
        <w:widowControl w:val="0"/>
        <w:kinsoku/>
        <w:wordWrap/>
        <w:bidi w:val="0"/>
        <w:adjustRightInd/>
        <w:snapToGrid/>
        <w:spacing w:line="360" w:lineRule="auto"/>
        <w:ind w:left="0" w:leftChars="0"/>
        <w:jc w:val="center"/>
        <w:textAlignment w:val="auto"/>
        <w:rPr>
          <w:rFonts w:hint="default" w:ascii="Times New Roman" w:hAnsi="Times New Roman" w:eastAsia="方正小标宋简体" w:cs="Times New Roman"/>
          <w:color w:val="auto"/>
          <w:sz w:val="44"/>
          <w:szCs w:val="52"/>
          <w:highlight w:val="none"/>
          <w:u w:val="none" w:color="auto"/>
          <w:lang w:val="en-US" w:eastAsia="zh-CN"/>
        </w:rPr>
      </w:pPr>
    </w:p>
    <w:p>
      <w:pPr>
        <w:keepNext w:val="0"/>
        <w:keepLines w:val="0"/>
        <w:pageBreakBefore w:val="0"/>
        <w:widowControl w:val="0"/>
        <w:kinsoku/>
        <w:wordWrap/>
        <w:bidi w:val="0"/>
        <w:adjustRightInd/>
        <w:snapToGrid/>
        <w:spacing w:line="360" w:lineRule="auto"/>
        <w:ind w:left="0" w:leftChars="0"/>
        <w:jc w:val="center"/>
        <w:textAlignment w:val="auto"/>
        <w:rPr>
          <w:rFonts w:hint="default" w:ascii="Times New Roman" w:hAnsi="Times New Roman" w:eastAsia="方正小标宋简体" w:cs="Times New Roman"/>
          <w:color w:val="auto"/>
          <w:sz w:val="44"/>
          <w:szCs w:val="52"/>
          <w:highlight w:val="none"/>
          <w:u w:val="none" w:color="auto"/>
          <w:lang w:val="en-US" w:eastAsia="zh-CN"/>
        </w:rPr>
      </w:pPr>
    </w:p>
    <w:p>
      <w:pPr>
        <w:keepNext w:val="0"/>
        <w:keepLines w:val="0"/>
        <w:pageBreakBefore w:val="0"/>
        <w:widowControl w:val="0"/>
        <w:kinsoku/>
        <w:wordWrap/>
        <w:bidi w:val="0"/>
        <w:adjustRightInd/>
        <w:snapToGrid/>
        <w:spacing w:line="360" w:lineRule="auto"/>
        <w:ind w:left="0" w:leftChars="0"/>
        <w:jc w:val="center"/>
        <w:textAlignment w:val="auto"/>
        <w:rPr>
          <w:rFonts w:hint="default" w:ascii="Times New Roman" w:hAnsi="Times New Roman" w:eastAsia="方正小标宋简体" w:cs="Times New Roman"/>
          <w:color w:val="auto"/>
          <w:sz w:val="44"/>
          <w:szCs w:val="52"/>
          <w:highlight w:val="none"/>
          <w:u w:val="none" w:color="auto"/>
          <w:lang w:val="en-US" w:eastAsia="zh-CN"/>
        </w:rPr>
      </w:pPr>
      <w:r>
        <w:rPr>
          <w:rFonts w:hint="default" w:ascii="Times New Roman" w:hAnsi="Times New Roman" w:eastAsia="方正小标宋简体" w:cs="Times New Roman"/>
          <w:color w:val="auto"/>
          <w:sz w:val="44"/>
          <w:szCs w:val="52"/>
          <w:highlight w:val="none"/>
          <w:u w:val="none" w:color="auto"/>
          <w:lang w:val="en-US" w:eastAsia="zh-CN"/>
        </w:rPr>
        <w:t>阳泉市</w:t>
      </w:r>
      <w:r>
        <w:rPr>
          <w:rFonts w:hint="default" w:ascii="Times New Roman" w:hAnsi="Times New Roman" w:eastAsia="方正小标宋简体" w:cs="Times New Roman"/>
          <w:color w:val="auto"/>
          <w:sz w:val="44"/>
          <w:szCs w:val="52"/>
          <w:highlight w:val="none"/>
          <w:u w:val="none" w:color="auto"/>
          <w:lang w:eastAsia="zh-CN"/>
        </w:rPr>
        <w:t>“</w:t>
      </w:r>
      <w:r>
        <w:rPr>
          <w:rFonts w:hint="default" w:ascii="Times New Roman" w:hAnsi="Times New Roman" w:eastAsia="方正小标宋简体" w:cs="Times New Roman"/>
          <w:color w:val="auto"/>
          <w:sz w:val="44"/>
          <w:szCs w:val="52"/>
          <w:highlight w:val="none"/>
          <w:u w:val="none" w:color="auto"/>
          <w:lang w:val="en-US" w:eastAsia="zh-CN"/>
        </w:rPr>
        <w:t>十四五</w:t>
      </w:r>
      <w:r>
        <w:rPr>
          <w:rFonts w:hint="default" w:ascii="Times New Roman" w:hAnsi="Times New Roman" w:eastAsia="方正小标宋简体" w:cs="Times New Roman"/>
          <w:color w:val="auto"/>
          <w:sz w:val="44"/>
          <w:szCs w:val="52"/>
          <w:highlight w:val="none"/>
          <w:u w:val="none" w:color="auto"/>
          <w:lang w:eastAsia="zh-CN"/>
        </w:rPr>
        <w:t>”</w:t>
      </w:r>
      <w:r>
        <w:rPr>
          <w:rFonts w:hint="default" w:ascii="Times New Roman" w:hAnsi="Times New Roman" w:eastAsia="方正小标宋简体" w:cs="Times New Roman"/>
          <w:color w:val="auto"/>
          <w:sz w:val="44"/>
          <w:szCs w:val="52"/>
          <w:highlight w:val="none"/>
          <w:u w:val="none" w:color="auto"/>
          <w:lang w:val="en-US" w:eastAsia="zh-CN"/>
        </w:rPr>
        <w:t>城乡人居环境建设规划</w:t>
      </w:r>
    </w:p>
    <w:p>
      <w:pPr>
        <w:jc w:val="center"/>
        <w:rPr>
          <w:rFonts w:hint="default" w:ascii="Times New Roman" w:hAnsi="Times New Roman" w:cs="Times New Roman"/>
          <w:b/>
          <w:bCs/>
          <w:color w:val="auto"/>
          <w:highlight w:val="none"/>
          <w:u w:val="none" w:color="auto"/>
        </w:rPr>
      </w:pPr>
    </w:p>
    <w:p>
      <w:pPr>
        <w:spacing w:line="360" w:lineRule="auto"/>
        <w:jc w:val="center"/>
        <w:rPr>
          <w:rFonts w:hint="default" w:ascii="Times New Roman" w:hAnsi="Times New Roman" w:eastAsia="楷体_GB2312" w:cs="Times New Roman"/>
          <w:color w:val="auto"/>
          <w:sz w:val="36"/>
          <w:szCs w:val="44"/>
          <w:highlight w:val="none"/>
          <w:u w:val="none" w:color="auto"/>
        </w:rPr>
      </w:pPr>
    </w:p>
    <w:p>
      <w:pPr>
        <w:pStyle w:val="20"/>
        <w:rPr>
          <w:rFonts w:hint="default" w:ascii="Times New Roman" w:hAnsi="Times New Roman" w:cs="Times New Roman"/>
          <w:color w:val="auto"/>
          <w:highlight w:val="none"/>
          <w:u w:val="none" w:color="auto"/>
          <w:lang w:val="en-US" w:eastAsia="zh-CN"/>
        </w:rPr>
      </w:pPr>
    </w:p>
    <w:p>
      <w:pPr>
        <w:pStyle w:val="7"/>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rPr>
          <w:rFonts w:hint="default" w:ascii="Times New Roman" w:hAnsi="Times New Roman" w:cs="Times New Roman"/>
          <w:color w:val="auto"/>
          <w:highlight w:val="none"/>
          <w:u w:val="none" w:color="auto"/>
          <w:lang w:val="en-US" w:eastAsia="zh-CN"/>
        </w:rPr>
      </w:pPr>
    </w:p>
    <w:p>
      <w:pPr>
        <w:pStyle w:val="9"/>
        <w:rPr>
          <w:rFonts w:hint="default" w:ascii="Times New Roman" w:hAnsi="Times New Roman" w:cs="Times New Roman"/>
          <w:color w:val="auto"/>
          <w:highlight w:val="none"/>
          <w:u w:val="none" w:color="auto"/>
          <w:lang w:val="en-US" w:eastAsia="zh-CN"/>
        </w:rPr>
      </w:pPr>
    </w:p>
    <w:p>
      <w:pPr>
        <w:jc w:val="center"/>
        <w:rPr>
          <w:rFonts w:hint="default" w:ascii="Times New Roman" w:hAnsi="Times New Roman" w:cs="Times New Roman"/>
          <w:color w:val="auto"/>
          <w:highlight w:val="none"/>
          <w:u w:val="none" w:color="auto"/>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楷体_GB2312" w:cs="Times New Roman"/>
          <w:color w:val="auto"/>
          <w:sz w:val="36"/>
          <w:szCs w:val="44"/>
          <w:highlight w:val="none"/>
          <w:u w:val="none" w:color="auto"/>
        </w:rPr>
        <w:t>202</w:t>
      </w:r>
      <w:r>
        <w:rPr>
          <w:rFonts w:hint="eastAsia" w:ascii="Times New Roman" w:hAnsi="Times New Roman" w:eastAsia="楷体_GB2312" w:cs="Times New Roman"/>
          <w:color w:val="auto"/>
          <w:sz w:val="36"/>
          <w:szCs w:val="44"/>
          <w:highlight w:val="none"/>
          <w:u w:val="none" w:color="auto"/>
          <w:lang w:val="en-US" w:eastAsia="zh-CN"/>
        </w:rPr>
        <w:t>2</w:t>
      </w:r>
      <w:r>
        <w:rPr>
          <w:rFonts w:hint="default" w:ascii="Times New Roman" w:hAnsi="Times New Roman" w:eastAsia="楷体_GB2312" w:cs="Times New Roman"/>
          <w:color w:val="auto"/>
          <w:sz w:val="36"/>
          <w:szCs w:val="44"/>
          <w:highlight w:val="none"/>
          <w:u w:val="none" w:color="auto"/>
        </w:rPr>
        <w:t>年</w:t>
      </w:r>
      <w:r>
        <w:rPr>
          <w:rFonts w:hint="eastAsia" w:ascii="Times New Roman" w:hAnsi="Times New Roman" w:eastAsia="楷体_GB2312" w:cs="Times New Roman"/>
          <w:color w:val="auto"/>
          <w:sz w:val="36"/>
          <w:szCs w:val="44"/>
          <w:highlight w:val="none"/>
          <w:u w:val="none" w:color="auto"/>
          <w:lang w:val="en-US" w:eastAsia="zh-CN"/>
        </w:rPr>
        <w:t>4</w:t>
      </w:r>
      <w:r>
        <w:rPr>
          <w:rFonts w:hint="default" w:ascii="Times New Roman" w:hAnsi="Times New Roman" w:eastAsia="楷体_GB2312" w:cs="Times New Roman"/>
          <w:color w:val="auto"/>
          <w:sz w:val="36"/>
          <w:szCs w:val="44"/>
          <w:highlight w:val="none"/>
          <w:u w:val="none" w:color="auto"/>
        </w:rPr>
        <w:t>月</w:t>
      </w:r>
    </w:p>
    <w:p>
      <w:pPr>
        <w:rPr>
          <w:rFonts w:hint="default" w:ascii="Times New Roman" w:hAnsi="Times New Roman" w:eastAsia="仿宋" w:cs="Times New Roman"/>
          <w:color w:val="auto"/>
          <w:sz w:val="32"/>
          <w:szCs w:val="32"/>
          <w:highlight w:val="none"/>
          <w:u w:val="none" w:color="auto"/>
          <w:lang w:val="en-US" w:eastAsia="zh-CN"/>
        </w:rPr>
      </w:pPr>
    </w:p>
    <w:p>
      <w:pPr>
        <w:rPr>
          <w:rFonts w:hint="default" w:ascii="Times New Roman" w:hAnsi="Times New Roman" w:eastAsia="仿宋" w:cs="Times New Roman"/>
          <w:color w:val="auto"/>
          <w:sz w:val="32"/>
          <w:szCs w:val="32"/>
          <w:highlight w:val="none"/>
          <w:u w:val="none" w:color="auto"/>
          <w:lang w:val="en-US" w:eastAsia="zh-CN"/>
        </w:rPr>
      </w:pPr>
    </w:p>
    <w:p>
      <w:pPr>
        <w:rPr>
          <w:rFonts w:hint="default" w:ascii="Times New Roman" w:hAnsi="Times New Roman" w:cs="Times New Roman"/>
          <w:color w:val="auto"/>
          <w:highlight w:val="none"/>
          <w:u w:val="none" w:color="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仿宋" w:cs="Times New Roman"/>
          <w:color w:val="auto"/>
          <w:sz w:val="32"/>
          <w:szCs w:val="32"/>
          <w:highlight w:val="none"/>
          <w:u w:val="none" w:color="auto"/>
          <w:lang w:val="en-US" w:eastAsia="zh-CN"/>
        </w:rPr>
        <w:t xml:space="preserve">   </w:t>
      </w:r>
    </w:p>
    <w:p>
      <w:pPr>
        <w:pStyle w:val="7"/>
        <w:ind w:left="0" w:leftChars="0" w:firstLine="0" w:firstLineChars="0"/>
        <w:jc w:val="center"/>
        <w:rPr>
          <w:rFonts w:hint="default" w:ascii="Times New Roman" w:hAnsi="Times New Roman" w:eastAsia="黑体" w:cs="Times New Roman"/>
          <w:b/>
          <w:bCs/>
          <w:color w:val="auto"/>
          <w:sz w:val="36"/>
          <w:szCs w:val="36"/>
          <w:highlight w:val="none"/>
          <w:u w:val="none" w:color="auto"/>
          <w:lang w:val="en-US" w:eastAsia="zh-CN"/>
        </w:rPr>
      </w:pPr>
      <w:r>
        <w:rPr>
          <w:rFonts w:hint="default" w:ascii="Times New Roman" w:hAnsi="Times New Roman" w:eastAsia="黑体" w:cs="Times New Roman"/>
          <w:b/>
          <w:bCs/>
          <w:color w:val="auto"/>
          <w:sz w:val="36"/>
          <w:szCs w:val="36"/>
          <w:highlight w:val="none"/>
          <w:u w:val="none" w:color="auto"/>
          <w:lang w:val="en-US" w:eastAsia="zh-CN"/>
        </w:rPr>
        <w:t>目  录</w:t>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instrText xml:space="preserve">TOC \o "1-2" \h \u </w:instrText>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separate"/>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_Toc20942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前  言</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_Toc20942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_Toc7845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第一章 全力打好污染防治攻坚战，高标准保护美丽阳泉</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_Toc7845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_Toc29430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第一节 “十三五”人居环境改善情况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_Toc29430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_Toc16242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第二节 “十四五”面临的机遇和挑战</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_Toc16242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_Toc20451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第二章 坚持生态立市，建设宜居宜业宜游现代化城市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_Toc20451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_Toc1621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第一节 指导思想</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_Toc1621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_Toc3935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第二节 基本原则</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_Toc3935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6</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_Toc1040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第三节 主要目标</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_Toc1040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6</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_Toc30656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第三章 推进城乡深度融合，打造共同富裕市域样板</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_Toc30656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_Toc25556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44"/>
          <w:sz w:val="32"/>
          <w:szCs w:val="32"/>
          <w:highlight w:val="none"/>
          <w:lang w:val="en-US" w:eastAsia="zh-CN" w:bidi="ar-SA"/>
        </w:rPr>
        <w:t>第一节 优化城市空间布局</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_Toc25556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_Toc21728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44"/>
          <w:sz w:val="32"/>
          <w:szCs w:val="32"/>
          <w:highlight w:val="none"/>
          <w:lang w:val="en-US" w:eastAsia="zh-CN" w:bidi="ar-SA"/>
        </w:rPr>
        <w:t>第二节 全面提升城市内涵品质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_Toc21728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_Toc471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44"/>
          <w:sz w:val="32"/>
          <w:szCs w:val="32"/>
          <w:highlight w:val="none"/>
          <w:lang w:val="en-US" w:eastAsia="zh-CN" w:bidi="ar-SA"/>
        </w:rPr>
        <w:t>第三节 加强高质量多层次住房保障</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_Toc471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14</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_Toc23251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44"/>
          <w:sz w:val="32"/>
          <w:szCs w:val="32"/>
          <w:highlight w:val="none"/>
          <w:lang w:val="en-US" w:eastAsia="zh-CN" w:bidi="ar-SA"/>
        </w:rPr>
        <w:t>第四节 加快建设美丽宜居乡村</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_Toc23251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16</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_Toc20395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44"/>
          <w:sz w:val="32"/>
          <w:szCs w:val="32"/>
          <w:highlight w:val="none"/>
          <w:lang w:val="en-US" w:eastAsia="zh-CN" w:bidi="ar-SA"/>
        </w:rPr>
        <w:t>第五节 打造城乡融合发展样板</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_Toc20395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19</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_Toc21357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第四章 深入推进污染防治，高水平保护生态环境</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_Toc21357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20</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_Toc15415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第一节 全面提升系统治水能力</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_Toc15415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20</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_Toc5333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第二节 推进大气污染协同治理</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_Toc5333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22</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_Toc17534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第三节 加强土壤环境质量安全保障</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_Toc17534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24</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_Toc29099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第五章 实施生态系统保护工程，高起点打造生态城市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_Toc29099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26</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_Toc15257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44"/>
          <w:sz w:val="32"/>
          <w:szCs w:val="32"/>
          <w:highlight w:val="none"/>
          <w:lang w:val="en-US" w:eastAsia="zh-CN" w:bidi="ar-SA"/>
        </w:rPr>
        <w:t>第一节 维护生态安全格局</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_Toc15257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26</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_Toc6047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第二节 全方位开展生态环境保护</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_Toc6047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28</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_Toc2961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第三节 加强矿山修复治理</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_Toc2961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30</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_Toc14174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第四节 健全环境监管体系</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_Toc14174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31</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_Toc32253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第五节 深化生态文明体制改革</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_Toc32253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32</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_Toc26943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第六章 坚持绿色发展，推动生产生活方式绿色转型</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_Toc26943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33</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_Toc21131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第一节 推动工业绿色低碳循环发展</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_Toc21131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33</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_Toc7200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2"/>
          <w:sz w:val="32"/>
          <w:szCs w:val="32"/>
          <w:highlight w:val="none"/>
          <w:lang w:val="en-US" w:eastAsia="zh-CN" w:bidi="ar-SA"/>
        </w:rPr>
        <w:t>第二节 推进农业绿色发展</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_Toc7200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35</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_Toc23265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bCs w:val="0"/>
          <w:kern w:val="2"/>
          <w:sz w:val="32"/>
          <w:szCs w:val="32"/>
          <w:highlight w:val="none"/>
          <w:lang w:val="en-US" w:eastAsia="zh-CN" w:bidi="ar-SA"/>
        </w:rPr>
        <w:t>第三节 倡导绿色消费和绿色生活方式</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_Toc23265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36</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4"/>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_Toc2123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方正小标宋简体" w:cs="Times New Roman"/>
          <w:bCs/>
          <w:caps w:val="0"/>
          <w:kern w:val="2"/>
          <w:sz w:val="32"/>
          <w:szCs w:val="32"/>
          <w:highlight w:val="none"/>
          <w:lang w:val="en-US" w:eastAsia="zh-CN" w:bidi="ar-SA"/>
        </w:rPr>
        <w:t>第七章 强化保障措施，确保规划全面实施</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_Toc2123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37</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_Toc20090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第一节 加强组织领导</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_Toc20090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37</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_Toc11865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第二节 强化政策支持</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_Toc11865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38</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_Toc24165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第三节 强化示范引领</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_Toc24165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38</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pStyle w:val="17"/>
        <w:tabs>
          <w:tab w:val="right" w:leader="dot" w:pos="8306"/>
        </w:tabs>
        <w:rPr>
          <w:rFonts w:hint="default" w:ascii="Times New Roman" w:hAnsi="Times New Roman" w:cs="Times New Roman"/>
          <w:sz w:val="32"/>
          <w:szCs w:val="32"/>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begin"/>
      </w:r>
      <w:r>
        <w:rPr>
          <w:rFonts w:hint="default" w:ascii="Times New Roman" w:hAnsi="Times New Roman" w:eastAsia="方正小标宋简体" w:cs="Times New Roman"/>
          <w:bCs/>
          <w:caps w:val="0"/>
          <w:kern w:val="2"/>
          <w:sz w:val="32"/>
          <w:szCs w:val="32"/>
          <w:highlight w:val="none"/>
          <w:lang w:val="en-US" w:eastAsia="zh-CN" w:bidi="ar-SA"/>
        </w:rPr>
        <w:instrText xml:space="preserve"> HYPERLINK \l _Toc27253 </w:instrText>
      </w:r>
      <w:r>
        <w:rPr>
          <w:rFonts w:hint="default" w:ascii="Times New Roman" w:hAnsi="Times New Roman" w:eastAsia="方正小标宋简体" w:cs="Times New Roman"/>
          <w:bCs/>
          <w:caps w:val="0"/>
          <w:kern w:val="2"/>
          <w:sz w:val="32"/>
          <w:szCs w:val="32"/>
          <w:highlight w:val="none"/>
          <w:lang w:val="en-US" w:eastAsia="zh-CN" w:bidi="ar-SA"/>
        </w:rPr>
        <w:fldChar w:fldCharType="separate"/>
      </w:r>
      <w:r>
        <w:rPr>
          <w:rFonts w:hint="default" w:ascii="Times New Roman" w:hAnsi="Times New Roman" w:eastAsia="黑体" w:cs="Times New Roman"/>
          <w:sz w:val="32"/>
          <w:szCs w:val="32"/>
          <w:highlight w:val="none"/>
          <w:lang w:val="en-US" w:eastAsia="zh-CN"/>
        </w:rPr>
        <w:t>第四节 加强监管督查</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_Toc27253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38</w:t>
      </w:r>
      <w:r>
        <w:rPr>
          <w:rFonts w:hint="default" w:ascii="Times New Roman" w:hAnsi="Times New Roman" w:cs="Times New Roman"/>
          <w:sz w:val="32"/>
          <w:szCs w:val="32"/>
        </w:rPr>
        <w:fldChar w:fldCharType="end"/>
      </w: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方正小标宋简体" w:cs="Times New Roman"/>
          <w:bCs/>
          <w:caps w:val="0"/>
          <w:color w:val="auto"/>
          <w:kern w:val="2"/>
          <w:szCs w:val="32"/>
          <w:highlight w:val="none"/>
          <w:u w:val="none" w:color="auto"/>
          <w:lang w:val="en-US" w:eastAsia="zh-CN" w:bidi="ar-SA"/>
        </w:rPr>
      </w:pPr>
      <w:r>
        <w:rPr>
          <w:rFonts w:hint="default" w:ascii="Times New Roman" w:hAnsi="Times New Roman" w:eastAsia="方正小标宋简体" w:cs="Times New Roman"/>
          <w:bCs/>
          <w:caps w:val="0"/>
          <w:color w:val="auto"/>
          <w:kern w:val="2"/>
          <w:sz w:val="32"/>
          <w:szCs w:val="32"/>
          <w:highlight w:val="none"/>
          <w:u w:val="none" w:color="auto"/>
          <w:lang w:val="en-US" w:eastAsia="zh-CN" w:bidi="ar-SA"/>
        </w:rPr>
        <w:fldChar w:fldCharType="end"/>
      </w:r>
    </w:p>
    <w:p>
      <w:pPr>
        <w:keepNext w:val="0"/>
        <w:keepLines w:val="0"/>
        <w:pageBreakBefore w:val="0"/>
        <w:widowControl w:val="0"/>
        <w:kinsoku/>
        <w:wordWrap/>
        <w:bidi w:val="0"/>
        <w:adjustRightInd/>
        <w:snapToGrid/>
        <w:ind w:left="0" w:leftChars="0"/>
        <w:jc w:val="center"/>
        <w:textAlignment w:val="auto"/>
        <w:rPr>
          <w:rFonts w:hint="default" w:ascii="Times New Roman" w:hAnsi="Times New Roman" w:eastAsia="方正小标宋简体" w:cs="Times New Roman"/>
          <w:bCs/>
          <w:caps w:val="0"/>
          <w:color w:val="auto"/>
          <w:kern w:val="2"/>
          <w:sz w:val="30"/>
          <w:szCs w:val="30"/>
          <w:highlight w:val="none"/>
          <w:u w:val="none" w:color="auto"/>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0"/>
        <w:rPr>
          <w:rFonts w:hint="default" w:ascii="Times New Roman" w:hAnsi="Times New Roman" w:cs="Times New Roman"/>
          <w:color w:val="auto"/>
          <w:highlight w:val="none"/>
          <w:u w:val="none" w:color="auto"/>
          <w:lang w:val="en-US" w:eastAsia="zh-CN"/>
        </w:rPr>
      </w:pPr>
    </w:p>
    <w:p>
      <w:pPr>
        <w:keepNext w:val="0"/>
        <w:keepLines w:val="0"/>
        <w:pageBreakBefore w:val="0"/>
        <w:widowControl w:val="0"/>
        <w:kinsoku/>
        <w:wordWrap/>
        <w:bidi w:val="0"/>
        <w:adjustRightInd/>
        <w:snapToGrid/>
        <w:ind w:left="0" w:leftChars="0"/>
        <w:jc w:val="center"/>
        <w:textAlignment w:val="auto"/>
        <w:outlineLvl w:val="0"/>
        <w:rPr>
          <w:rFonts w:hint="default" w:ascii="Times New Roman" w:hAnsi="Times New Roman" w:eastAsia="黑体" w:cs="Times New Roman"/>
          <w:smallCaps w:val="0"/>
          <w:color w:val="auto"/>
          <w:kern w:val="2"/>
          <w:sz w:val="30"/>
          <w:szCs w:val="30"/>
          <w:highlight w:val="none"/>
          <w:u w:val="none" w:color="auto"/>
          <w:shd w:val="clear" w:color="auto" w:fill="FFFFFF"/>
          <w:lang w:val="en-US" w:eastAsia="zh-CN"/>
        </w:rPr>
      </w:pPr>
      <w:bookmarkStart w:id="0" w:name="_Toc20942"/>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前  言</w:t>
      </w:r>
      <w:bookmarkEnd w:id="0"/>
    </w:p>
    <w:p>
      <w:pPr>
        <w:keepNext w:val="0"/>
        <w:keepLines w:val="0"/>
        <w:pageBreakBefore w:val="0"/>
        <w:widowControl w:val="0"/>
        <w:kinsoku/>
        <w:wordWrap/>
        <w:bidi w:val="0"/>
        <w:adjustRightInd/>
        <w:snapToGrid/>
        <w:ind w:left="0" w:leftChars="0" w:firstLine="640" w:firstLineChars="200"/>
        <w:jc w:val="both"/>
        <w:textAlignment w:val="auto"/>
        <w:rPr>
          <w:rFonts w:hint="default" w:ascii="Times New Roman" w:hAnsi="Times New Roman" w:eastAsia="仿宋_GB2312" w:cs="Times New Roman"/>
          <w:b w:val="0"/>
          <w:bCs/>
          <w:color w:val="auto"/>
          <w:kern w:val="2"/>
          <w:sz w:val="32"/>
          <w:szCs w:val="32"/>
          <w:highlight w:val="none"/>
          <w:u w:val="none" w:color="auto"/>
          <w:lang w:val="en-US" w:eastAsia="zh-CN" w:bidi="ar-SA"/>
        </w:rPr>
      </w:pPr>
    </w:p>
    <w:p>
      <w:pPr>
        <w:keepNext w:val="0"/>
        <w:keepLines w:val="0"/>
        <w:pageBreakBefore w:val="0"/>
        <w:widowControl w:val="0"/>
        <w:kinsoku/>
        <w:wordWrap/>
        <w:bidi w:val="0"/>
        <w:adjustRightInd/>
        <w:snapToGrid/>
        <w:ind w:left="0" w:leftChars="0" w:firstLine="640" w:firstLineChars="200"/>
        <w:jc w:val="both"/>
        <w:textAlignment w:val="auto"/>
        <w:rPr>
          <w:rFonts w:hint="default" w:ascii="Times New Roman" w:hAnsi="Times New Roman" w:eastAsia="仿宋_GB2312" w:cs="Times New Roman"/>
          <w:b w:val="0"/>
          <w:bCs/>
          <w:color w:val="auto"/>
          <w:kern w:val="2"/>
          <w:sz w:val="32"/>
          <w:szCs w:val="32"/>
          <w:highlight w:val="none"/>
          <w:u w:val="none" w:color="auto"/>
          <w:lang w:val="en-US" w:eastAsia="zh-CN" w:bidi="ar-SA"/>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仿宋_GB2312" w:cs="Times New Roman"/>
          <w:b w:val="0"/>
          <w:bCs/>
          <w:color w:val="auto"/>
          <w:kern w:val="2"/>
          <w:sz w:val="32"/>
          <w:szCs w:val="32"/>
          <w:highlight w:val="none"/>
          <w:u w:val="none" w:color="auto"/>
          <w:lang w:val="en-US" w:eastAsia="zh-CN" w:bidi="ar-SA"/>
        </w:rPr>
        <w:t>加强城乡人居环境建设是</w:t>
      </w:r>
      <w:r>
        <w:rPr>
          <w:rFonts w:hint="eastAsia" w:ascii="Times New Roman" w:hAnsi="Times New Roman" w:eastAsia="仿宋_GB2312" w:cs="Times New Roman"/>
          <w:b w:val="0"/>
          <w:bCs/>
          <w:color w:val="auto"/>
          <w:kern w:val="2"/>
          <w:sz w:val="32"/>
          <w:szCs w:val="32"/>
          <w:highlight w:val="none"/>
          <w:u w:val="none" w:color="auto"/>
          <w:lang w:val="en-US" w:eastAsia="zh-CN" w:bidi="ar-SA"/>
        </w:rPr>
        <w:t>全方位推进</w:t>
      </w:r>
      <w:r>
        <w:rPr>
          <w:rFonts w:hint="default" w:ascii="Times New Roman" w:hAnsi="Times New Roman" w:eastAsia="仿宋_GB2312" w:cs="Times New Roman"/>
          <w:b w:val="0"/>
          <w:bCs/>
          <w:color w:val="auto"/>
          <w:kern w:val="2"/>
          <w:sz w:val="32"/>
          <w:szCs w:val="32"/>
          <w:highlight w:val="none"/>
          <w:u w:val="none" w:color="auto"/>
          <w:lang w:val="en-US" w:eastAsia="zh-CN" w:bidi="ar-SA"/>
        </w:rPr>
        <w:t>高质量发展的重要举措，是贯彻以人民为中心的发展思想的重要体现，是建设美丽阳泉的重要内容。“十三五”以来，阳泉市牢固树立绿色发展理念，切实把生态文明建设作为转变经济发展方式、实现可持续发展、提高城市功能的重要抓手，贯彻到全领域全过程中，生态环境保护取得新成效，人居环境整治跃上新台阶，为“十四五”城乡人居环境建设奠定了坚实基础。“十四五”时期，是阳泉市</w:t>
      </w:r>
      <w:r>
        <w:rPr>
          <w:rFonts w:hint="eastAsia" w:ascii="Times New Roman" w:hAnsi="Times New Roman" w:eastAsia="仿宋_GB2312" w:cs="Times New Roman"/>
          <w:b w:val="0"/>
          <w:bCs/>
          <w:color w:val="auto"/>
          <w:kern w:val="2"/>
          <w:sz w:val="32"/>
          <w:szCs w:val="32"/>
          <w:highlight w:val="none"/>
          <w:u w:val="none" w:color="auto"/>
          <w:lang w:val="en-US" w:eastAsia="zh-CN" w:bidi="ar-SA"/>
        </w:rPr>
        <w:t>打造</w:t>
      </w:r>
      <w:r>
        <w:rPr>
          <w:rFonts w:hint="default" w:ascii="Times New Roman" w:hAnsi="Times New Roman" w:eastAsia="仿宋_GB2312" w:cs="Times New Roman"/>
          <w:b w:val="0"/>
          <w:bCs/>
          <w:color w:val="auto"/>
          <w:kern w:val="2"/>
          <w:sz w:val="32"/>
          <w:szCs w:val="32"/>
          <w:highlight w:val="none"/>
          <w:u w:val="none" w:color="auto"/>
          <w:lang w:val="en-US" w:eastAsia="zh-CN" w:bidi="ar-SA"/>
        </w:rPr>
        <w:t>城乡一体共同富裕市域样板的关键时期，也是环境质量全面改善的攻坚期。全市将深入贯彻习近平生态文明思想，坚定不移贯彻新发展理念，以满足人民日益增长的美好生活需要为根本目的，创造良好生产生活环境，加快建设生态空间合理、资源高效利用、生态环境优良、产业绿色低碳、群众满意认可的美丽城市。</w:t>
      </w:r>
      <w:bookmarkStart w:id="1" w:name="_Toc987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方正小标宋简体" w:cs="Times New Roman"/>
          <w:bCs/>
          <w:caps w:val="0"/>
          <w:color w:val="auto"/>
          <w:kern w:val="2"/>
          <w:sz w:val="30"/>
          <w:szCs w:val="30"/>
          <w:highlight w:val="none"/>
          <w:u w:val="none" w:color="auto"/>
          <w:lang w:val="en-US" w:eastAsia="zh-CN" w:bidi="ar-SA"/>
        </w:rPr>
      </w:pPr>
      <w:bookmarkStart w:id="2" w:name="_Toc7845"/>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第一章 全力打好污染防治攻坚战，高标准保护美丽阳泉</w:t>
      </w:r>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黑体" w:cs="Times New Roman"/>
          <w:color w:val="auto"/>
          <w:sz w:val="32"/>
          <w:szCs w:val="32"/>
          <w:highlight w:val="none"/>
          <w:u w:val="none" w:color="auto"/>
          <w:lang w:val="en-US" w:eastAsia="zh-CN"/>
        </w:rPr>
      </w:pPr>
      <w:r>
        <w:rPr>
          <w:rFonts w:hint="default" w:ascii="Times New Roman" w:hAnsi="Times New Roman" w:eastAsia="仿宋_GB2312" w:cs="Times New Roman"/>
          <w:b w:val="0"/>
          <w:bCs/>
          <w:color w:val="auto"/>
          <w:kern w:val="2"/>
          <w:sz w:val="32"/>
          <w:szCs w:val="32"/>
          <w:highlight w:val="none"/>
          <w:u w:val="none" w:color="auto"/>
          <w:lang w:val="en-US" w:eastAsia="zh-CN" w:bidi="ar-SA"/>
        </w:rPr>
        <w:t>改善城乡人居环境是一项打基础、利长远、惠民生的系统工程、民生工程，是统筹城乡发展、推进乡村振兴的重要内容。全市始终坚持以人民为中心，以生态优先、绿色发展为导向，持续加强污染治理、环保监管和生态建设，推动城乡人居环境品质不断提升，群众民生福祉持续增进。</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3" w:name="_Toc29430"/>
      <w:bookmarkStart w:id="4" w:name="_Toc25924"/>
      <w:r>
        <w:rPr>
          <w:rFonts w:hint="default" w:ascii="Times New Roman" w:hAnsi="Times New Roman" w:eastAsia="黑体" w:cs="Times New Roman"/>
          <w:color w:val="auto"/>
          <w:sz w:val="32"/>
          <w:szCs w:val="32"/>
          <w:highlight w:val="none"/>
          <w:u w:val="none" w:color="auto"/>
          <w:lang w:val="en-US" w:eastAsia="zh-CN"/>
        </w:rPr>
        <w:t>第一节 “十三五”人居环境改善情况</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color="auto"/>
        </w:rPr>
      </w:pPr>
      <w:r>
        <w:rPr>
          <w:rFonts w:hint="default" w:ascii="Times New Roman" w:hAnsi="Times New Roman" w:eastAsia="仿宋_GB2312" w:cs="Times New Roman"/>
          <w:b w:val="0"/>
          <w:bCs/>
          <w:color w:val="auto"/>
          <w:kern w:val="2"/>
          <w:sz w:val="32"/>
          <w:szCs w:val="32"/>
          <w:highlight w:val="none"/>
          <w:u w:val="none" w:color="auto"/>
          <w:lang w:val="en-US" w:eastAsia="zh-CN" w:bidi="ar-SA"/>
        </w:rPr>
        <w:t>“十三五”期间，在市委、市政府的正确领导下，全市坚持新发展理念</w:t>
      </w:r>
      <w:r>
        <w:rPr>
          <w:rFonts w:hint="default" w:ascii="Times New Roman" w:hAnsi="Times New Roman" w:eastAsia="仿宋_GB2312" w:cs="Times New Roman"/>
          <w:bCs/>
          <w:color w:val="auto"/>
          <w:sz w:val="32"/>
          <w:szCs w:val="32"/>
          <w:highlight w:val="none"/>
          <w:u w:val="none" w:color="auto"/>
          <w:lang w:eastAsia="zh-CN"/>
        </w:rPr>
        <w:t>，</w:t>
      </w:r>
      <w:r>
        <w:rPr>
          <w:rFonts w:hint="default" w:ascii="Times New Roman" w:hAnsi="Times New Roman" w:eastAsia="仿宋_GB2312" w:cs="Times New Roman"/>
          <w:b w:val="0"/>
          <w:bCs/>
          <w:color w:val="auto"/>
          <w:kern w:val="2"/>
          <w:sz w:val="32"/>
          <w:szCs w:val="32"/>
          <w:highlight w:val="none"/>
          <w:u w:val="none" w:color="auto"/>
          <w:lang w:val="en-US" w:eastAsia="zh-CN" w:bidi="ar-SA"/>
        </w:rPr>
        <w:t>坚决打赢污染防治攻坚战，城乡建设取得明显成效，人居环境得到持续改善，人民群众获得感幸福感安全感显著增强。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textAlignment w:val="auto"/>
        <w:outlineLvl w:val="2"/>
        <w:rPr>
          <w:rFonts w:hint="default" w:ascii="Times New Roman" w:hAnsi="Times New Roman" w:eastAsia="仿宋_GB2312" w:cs="Times New Roman"/>
          <w:color w:val="auto"/>
          <w:sz w:val="32"/>
          <w:highlight w:val="none"/>
          <w:u w:val="none" w:color="auto"/>
        </w:rPr>
      </w:pPr>
      <w:bookmarkStart w:id="5" w:name="_Toc26604"/>
      <w:r>
        <w:rPr>
          <w:rFonts w:hint="default" w:ascii="Times New Roman" w:hAnsi="Times New Roman" w:eastAsia="仿宋_GB2312" w:cs="Times New Roman"/>
          <w:b/>
          <w:bCs/>
          <w:color w:val="auto"/>
          <w:sz w:val="32"/>
          <w:highlight w:val="none"/>
          <w:u w:val="none" w:color="auto"/>
        </w:rPr>
        <w:t>国土空间开发格局</w:t>
      </w:r>
      <w:r>
        <w:rPr>
          <w:rFonts w:hint="default" w:ascii="Times New Roman" w:hAnsi="Times New Roman" w:eastAsia="仿宋_GB2312" w:cs="Times New Roman"/>
          <w:b/>
          <w:bCs/>
          <w:color w:val="auto"/>
          <w:sz w:val="32"/>
          <w:highlight w:val="none"/>
          <w:u w:val="none" w:color="auto"/>
          <w:lang w:val="en-US" w:eastAsia="zh-CN"/>
        </w:rPr>
        <w:t>持续</w:t>
      </w:r>
      <w:r>
        <w:rPr>
          <w:rFonts w:hint="default" w:ascii="Times New Roman" w:hAnsi="Times New Roman" w:eastAsia="仿宋_GB2312" w:cs="Times New Roman"/>
          <w:b/>
          <w:bCs/>
          <w:color w:val="auto"/>
          <w:sz w:val="32"/>
          <w:highlight w:val="none"/>
          <w:u w:val="none" w:color="auto"/>
        </w:rPr>
        <w:t>优化。</w:t>
      </w:r>
      <w:r>
        <w:rPr>
          <w:rFonts w:hint="default" w:ascii="Times New Roman" w:hAnsi="Times New Roman" w:eastAsia="仿宋_GB2312" w:cs="Times New Roman"/>
          <w:b w:val="0"/>
          <w:bCs/>
          <w:color w:val="auto"/>
          <w:kern w:val="2"/>
          <w:sz w:val="32"/>
          <w:szCs w:val="32"/>
          <w:highlight w:val="none"/>
          <w:u w:val="none" w:color="auto"/>
          <w:lang w:val="en-US" w:eastAsia="zh-CN" w:bidi="ar-SA"/>
        </w:rPr>
        <w:t>中心城市框架全面拓展、提速建设</w:t>
      </w:r>
      <w:r>
        <w:rPr>
          <w:rFonts w:hint="default" w:ascii="Times New Roman" w:hAnsi="Times New Roman" w:eastAsia="仿宋_GB2312" w:cs="Times New Roman"/>
          <w:color w:val="auto"/>
          <w:sz w:val="32"/>
          <w:highlight w:val="none"/>
          <w:u w:val="none" w:color="auto"/>
        </w:rPr>
        <w:t>，生态新城进入实质性开发，</w:t>
      </w:r>
      <w:r>
        <w:rPr>
          <w:rFonts w:hint="default" w:ascii="Times New Roman" w:hAnsi="Times New Roman" w:eastAsia="仿宋_GB2312" w:cs="Times New Roman"/>
          <w:color w:val="auto"/>
          <w:sz w:val="32"/>
          <w:highlight w:val="none"/>
          <w:u w:val="none" w:color="auto"/>
          <w:lang w:val="en-US" w:eastAsia="zh-CN"/>
        </w:rPr>
        <w:t>基本</w:t>
      </w:r>
      <w:r>
        <w:rPr>
          <w:rFonts w:hint="default" w:ascii="Times New Roman" w:hAnsi="Times New Roman" w:eastAsia="仿宋_GB2312" w:cs="Times New Roman"/>
          <w:color w:val="auto"/>
          <w:sz w:val="32"/>
          <w:highlight w:val="none"/>
          <w:u w:val="none" w:color="auto"/>
        </w:rPr>
        <w:t>形成“三轴两心多特色镇”总体</w:t>
      </w:r>
      <w:r>
        <w:rPr>
          <w:rFonts w:hint="default" w:ascii="Times New Roman" w:hAnsi="Times New Roman" w:eastAsia="仿宋_GB2312" w:cs="Times New Roman"/>
          <w:color w:val="auto"/>
          <w:sz w:val="32"/>
          <w:highlight w:val="none"/>
          <w:u w:val="none" w:color="auto"/>
          <w:lang w:val="en-US" w:eastAsia="zh-CN"/>
        </w:rPr>
        <w:t>发展</w:t>
      </w:r>
      <w:r>
        <w:rPr>
          <w:rFonts w:hint="default" w:ascii="Times New Roman" w:hAnsi="Times New Roman" w:eastAsia="仿宋_GB2312" w:cs="Times New Roman"/>
          <w:color w:val="auto"/>
          <w:sz w:val="32"/>
          <w:highlight w:val="none"/>
          <w:u w:val="none" w:color="auto"/>
        </w:rPr>
        <w:t>格局</w:t>
      </w:r>
      <w:r>
        <w:rPr>
          <w:rFonts w:hint="default" w:ascii="Times New Roman" w:hAnsi="Times New Roman" w:eastAsia="仿宋_GB2312" w:cs="Times New Roman"/>
          <w:color w:val="auto"/>
          <w:sz w:val="32"/>
          <w:highlight w:val="none"/>
          <w:u w:val="none" w:color="auto"/>
          <w:lang w:eastAsia="zh-CN"/>
        </w:rPr>
        <w:t>。</w:t>
      </w:r>
      <w:r>
        <w:rPr>
          <w:rFonts w:hint="default" w:ascii="Times New Roman" w:hAnsi="Times New Roman" w:eastAsia="仿宋_GB2312" w:cs="Times New Roman"/>
          <w:color w:val="auto"/>
          <w:sz w:val="32"/>
          <w:highlight w:val="none"/>
          <w:u w:val="none" w:color="auto"/>
        </w:rPr>
        <w:t>阳泉市城镇发展主轴成为市域内集聚人口和产业的承载地</w:t>
      </w:r>
      <w:r>
        <w:rPr>
          <w:rFonts w:hint="default" w:ascii="Times New Roman" w:hAnsi="Times New Roman" w:eastAsia="仿宋_GB2312" w:cs="Times New Roman"/>
          <w:color w:val="auto"/>
          <w:sz w:val="32"/>
          <w:highlight w:val="none"/>
          <w:u w:val="none" w:color="auto"/>
          <w:lang w:eastAsia="zh-CN"/>
        </w:rPr>
        <w:t>，中心城市、县城和重点特色镇基础设施配套进一步互联互通、协调推进，市区、平定县城、荫营镇区一体化发展</w:t>
      </w:r>
      <w:r>
        <w:rPr>
          <w:rFonts w:hint="default" w:ascii="Times New Roman" w:hAnsi="Times New Roman" w:eastAsia="仿宋_GB2312" w:cs="Times New Roman"/>
          <w:color w:val="auto"/>
          <w:sz w:val="32"/>
          <w:highlight w:val="none"/>
          <w:u w:val="none" w:color="auto"/>
          <w:lang w:val="en-US" w:eastAsia="zh-CN"/>
        </w:rPr>
        <w:t>步伐</w:t>
      </w:r>
      <w:r>
        <w:rPr>
          <w:rFonts w:hint="default" w:ascii="Times New Roman" w:hAnsi="Times New Roman" w:eastAsia="仿宋_GB2312" w:cs="Times New Roman"/>
          <w:color w:val="auto"/>
          <w:sz w:val="32"/>
          <w:highlight w:val="none"/>
          <w:u w:val="none" w:color="auto"/>
          <w:lang w:eastAsia="zh-CN"/>
        </w:rPr>
        <w:t>加快</w:t>
      </w:r>
      <w:r>
        <w:rPr>
          <w:rFonts w:hint="default" w:ascii="Times New Roman" w:hAnsi="Times New Roman" w:eastAsia="仿宋_GB2312" w:cs="Times New Roman"/>
          <w:color w:val="auto"/>
          <w:sz w:val="32"/>
          <w:highlight w:val="none"/>
          <w:u w:val="none" w:color="auto"/>
        </w:rPr>
        <w:t>。产业转移和环保搬迁有序推进</w:t>
      </w:r>
      <w:r>
        <w:rPr>
          <w:rFonts w:hint="default" w:ascii="Times New Roman" w:hAnsi="Times New Roman" w:eastAsia="仿宋_GB2312" w:cs="Times New Roman"/>
          <w:color w:val="auto"/>
          <w:sz w:val="32"/>
          <w:highlight w:val="none"/>
          <w:u w:val="none" w:color="auto"/>
          <w:lang w:eastAsia="zh-CN"/>
        </w:rPr>
        <w:t>，</w:t>
      </w:r>
      <w:r>
        <w:rPr>
          <w:rFonts w:hint="default" w:ascii="Times New Roman" w:hAnsi="Times New Roman" w:eastAsia="仿宋_GB2312" w:cs="Times New Roman"/>
          <w:color w:val="auto"/>
          <w:sz w:val="32"/>
          <w:highlight w:val="none"/>
          <w:u w:val="none" w:color="auto"/>
          <w:lang w:val="en-US" w:eastAsia="zh-CN"/>
        </w:rPr>
        <w:t>中心</w:t>
      </w:r>
      <w:r>
        <w:rPr>
          <w:rFonts w:hint="default" w:ascii="Times New Roman" w:hAnsi="Times New Roman" w:eastAsia="仿宋_GB2312" w:cs="Times New Roman"/>
          <w:color w:val="auto"/>
          <w:sz w:val="32"/>
          <w:highlight w:val="none"/>
          <w:u w:val="none" w:color="auto"/>
        </w:rPr>
        <w:t>城区</w:t>
      </w:r>
      <w:r>
        <w:rPr>
          <w:rFonts w:hint="default" w:ascii="Times New Roman" w:hAnsi="Times New Roman" w:eastAsia="仿宋_GB2312" w:cs="Times New Roman"/>
          <w:color w:val="auto"/>
          <w:sz w:val="32"/>
          <w:highlight w:val="none"/>
          <w:u w:val="none" w:color="auto"/>
          <w:lang w:val="en-US" w:eastAsia="zh-CN"/>
        </w:rPr>
        <w:t>一批</w:t>
      </w:r>
      <w:r>
        <w:rPr>
          <w:rFonts w:hint="default" w:ascii="Times New Roman" w:hAnsi="Times New Roman" w:eastAsia="仿宋_GB2312" w:cs="Times New Roman"/>
          <w:color w:val="auto"/>
          <w:sz w:val="32"/>
          <w:highlight w:val="none"/>
          <w:u w:val="none" w:color="auto"/>
        </w:rPr>
        <w:t>工业生产企业</w:t>
      </w:r>
      <w:r>
        <w:rPr>
          <w:rFonts w:hint="default" w:ascii="Times New Roman" w:hAnsi="Times New Roman" w:eastAsia="仿宋_GB2312" w:cs="Times New Roman"/>
          <w:color w:val="auto"/>
          <w:sz w:val="32"/>
          <w:highlight w:val="none"/>
          <w:u w:val="none" w:color="auto"/>
          <w:lang w:val="en-US" w:eastAsia="zh-CN"/>
        </w:rPr>
        <w:t>加快</w:t>
      </w:r>
      <w:r>
        <w:rPr>
          <w:rFonts w:hint="default" w:ascii="Times New Roman" w:hAnsi="Times New Roman" w:eastAsia="仿宋_GB2312" w:cs="Times New Roman"/>
          <w:color w:val="auto"/>
          <w:sz w:val="32"/>
          <w:highlight w:val="none"/>
          <w:u w:val="none" w:color="auto"/>
        </w:rPr>
        <w:t>“退城入园”，</w:t>
      </w:r>
      <w:r>
        <w:rPr>
          <w:rFonts w:hint="default" w:ascii="Times New Roman" w:hAnsi="Times New Roman" w:eastAsia="仿宋_GB2312" w:cs="Times New Roman"/>
          <w:color w:val="auto"/>
          <w:sz w:val="32"/>
          <w:highlight w:val="none"/>
          <w:u w:val="none" w:color="auto"/>
          <w:lang w:val="en-US" w:eastAsia="zh-CN"/>
        </w:rPr>
        <w:t>桃河沿线基本</w:t>
      </w:r>
      <w:r>
        <w:rPr>
          <w:rFonts w:hint="default" w:ascii="Times New Roman" w:hAnsi="Times New Roman" w:eastAsia="仿宋_GB2312" w:cs="Times New Roman"/>
          <w:color w:val="auto"/>
          <w:sz w:val="32"/>
          <w:highlight w:val="none"/>
          <w:u w:val="none" w:color="auto"/>
        </w:rPr>
        <w:t>实现“零化工生产企业”。</w:t>
      </w:r>
      <w:bookmarkEnd w:id="5"/>
    </w:p>
    <w:p>
      <w:pPr>
        <w:pStyle w:val="20"/>
        <w:keepNext w:val="0"/>
        <w:keepLines w:val="0"/>
        <w:pageBreakBefore w:val="0"/>
        <w:widowControl w:val="0"/>
        <w:kinsoku/>
        <w:wordWrap/>
        <w:overflowPunct/>
        <w:topLinePunct w:val="0"/>
        <w:autoSpaceDE/>
        <w:autoSpaceDN/>
        <w:bidi w:val="0"/>
        <w:adjustRightInd/>
        <w:snapToGrid/>
        <w:spacing w:after="0"/>
        <w:ind w:firstLine="642" w:firstLineChars="200"/>
        <w:textAlignment w:val="auto"/>
        <w:outlineLvl w:val="2"/>
        <w:rPr>
          <w:rFonts w:hint="default" w:ascii="Times New Roman" w:hAnsi="Times New Roman" w:eastAsia="仿宋_GB2312" w:cs="Times New Roman"/>
          <w:color w:val="auto"/>
          <w:sz w:val="32"/>
          <w:highlight w:val="none"/>
          <w:u w:val="none" w:color="auto"/>
        </w:rPr>
      </w:pPr>
      <w:bookmarkStart w:id="6" w:name="_Toc32712"/>
      <w:r>
        <w:rPr>
          <w:rFonts w:hint="default" w:ascii="Times New Roman" w:hAnsi="Times New Roman" w:eastAsia="仿宋_GB2312" w:cs="Times New Roman"/>
          <w:b/>
          <w:bCs/>
          <w:color w:val="auto"/>
          <w:sz w:val="32"/>
          <w:highlight w:val="none"/>
          <w:u w:val="none" w:color="auto"/>
          <w:lang w:val="en-US" w:eastAsia="zh-CN"/>
        </w:rPr>
        <w:t>城市综合承载能力不断增强</w:t>
      </w:r>
      <w:r>
        <w:rPr>
          <w:rFonts w:hint="default" w:ascii="Times New Roman" w:hAnsi="Times New Roman" w:eastAsia="仿宋_GB2312" w:cs="Times New Roman"/>
          <w:b/>
          <w:bCs/>
          <w:color w:val="auto"/>
          <w:sz w:val="32"/>
          <w:highlight w:val="none"/>
          <w:u w:val="none" w:color="auto"/>
        </w:rPr>
        <w:t>。</w:t>
      </w:r>
      <w:r>
        <w:rPr>
          <w:rFonts w:hint="default" w:ascii="Times New Roman" w:hAnsi="Times New Roman" w:eastAsia="仿宋_GB2312" w:cs="Times New Roman"/>
          <w:b w:val="0"/>
          <w:bCs w:val="0"/>
          <w:color w:val="auto"/>
          <w:sz w:val="32"/>
          <w:highlight w:val="none"/>
          <w:u w:val="none" w:color="auto"/>
          <w:lang w:val="en-US" w:eastAsia="zh-CN"/>
        </w:rPr>
        <w:t>深入</w:t>
      </w:r>
      <w:r>
        <w:rPr>
          <w:rFonts w:hint="default" w:ascii="Times New Roman" w:hAnsi="Times New Roman" w:eastAsia="仿宋_GB2312" w:cs="Times New Roman"/>
          <w:b w:val="0"/>
          <w:bCs w:val="0"/>
          <w:color w:val="auto"/>
          <w:sz w:val="32"/>
          <w:highlight w:val="none"/>
          <w:u w:val="none" w:color="auto"/>
        </w:rPr>
        <w:t>实施“1355”工程</w:t>
      </w:r>
      <w:r>
        <w:rPr>
          <w:rFonts w:hint="default" w:ascii="Times New Roman" w:hAnsi="Times New Roman" w:eastAsia="仿宋_GB2312" w:cs="Times New Roman"/>
          <w:color w:val="auto"/>
          <w:sz w:val="32"/>
          <w:highlight w:val="none"/>
          <w:u w:val="none" w:color="auto"/>
        </w:rPr>
        <w:t>，</w:t>
      </w:r>
      <w:r>
        <w:rPr>
          <w:rFonts w:hint="eastAsia" w:ascii="Times New Roman" w:hAnsi="Times New Roman" w:eastAsia="仿宋_GB2312" w:cs="Times New Roman"/>
          <w:color w:val="auto"/>
          <w:sz w:val="32"/>
          <w:highlight w:val="none"/>
          <w:u w:val="none" w:color="auto"/>
          <w:lang w:val="en-US" w:eastAsia="zh-CN"/>
        </w:rPr>
        <w:t>全市常住</w:t>
      </w:r>
      <w:r>
        <w:rPr>
          <w:rFonts w:hint="default" w:ascii="Times New Roman" w:hAnsi="Times New Roman" w:eastAsia="仿宋_GB2312" w:cs="Times New Roman"/>
          <w:color w:val="auto"/>
          <w:sz w:val="32"/>
          <w:highlight w:val="none"/>
          <w:u w:val="none" w:color="auto"/>
          <w:lang w:val="en-US" w:eastAsia="zh-CN"/>
        </w:rPr>
        <w:t>人口</w:t>
      </w:r>
      <w:r>
        <w:rPr>
          <w:rFonts w:hint="default" w:ascii="Times New Roman" w:hAnsi="Times New Roman" w:eastAsia="仿宋_GB2312" w:cs="Times New Roman"/>
          <w:color w:val="auto"/>
          <w:sz w:val="32"/>
          <w:highlight w:val="none"/>
          <w:u w:val="none" w:color="auto"/>
        </w:rPr>
        <w:t>城镇化率达到70.5%</w:t>
      </w:r>
      <w:r>
        <w:rPr>
          <w:rFonts w:hint="eastAsia" w:ascii="Times New Roman" w:hAnsi="Times New Roman" w:eastAsia="仿宋_GB2312" w:cs="Times New Roman"/>
          <w:color w:val="auto"/>
          <w:sz w:val="32"/>
          <w:highlight w:val="none"/>
          <w:u w:val="none" w:color="auto"/>
          <w:lang w:eastAsia="zh-CN"/>
        </w:rPr>
        <w:t>，比2015年增长4.64个百分点</w:t>
      </w:r>
      <w:r>
        <w:rPr>
          <w:rFonts w:hint="default" w:ascii="Times New Roman" w:hAnsi="Times New Roman" w:eastAsia="仿宋_GB2312" w:cs="Times New Roman"/>
          <w:color w:val="auto"/>
          <w:sz w:val="32"/>
          <w:highlight w:val="none"/>
          <w:u w:val="none" w:color="auto"/>
        </w:rPr>
        <w:t>。</w:t>
      </w:r>
      <w:r>
        <w:rPr>
          <w:rFonts w:hint="default" w:ascii="Times New Roman" w:hAnsi="Times New Roman" w:eastAsia="仿宋_GB2312" w:cs="Times New Roman"/>
          <w:i w:val="0"/>
          <w:caps w:val="0"/>
          <w:color w:val="auto"/>
          <w:spacing w:val="0"/>
          <w:sz w:val="32"/>
          <w:szCs w:val="24"/>
          <w:highlight w:val="none"/>
          <w:u w:val="none" w:color="auto"/>
          <w:shd w:val="clear" w:color="auto" w:fill="auto"/>
        </w:rPr>
        <w:t>城镇棚户区住房改造基本建成</w:t>
      </w:r>
      <w:r>
        <w:rPr>
          <w:rFonts w:hint="default" w:ascii="Times New Roman" w:hAnsi="Times New Roman" w:eastAsia="仿宋_GB2312" w:cs="Times New Roman"/>
          <w:i w:val="0"/>
          <w:caps w:val="0"/>
          <w:color w:val="auto"/>
          <w:spacing w:val="0"/>
          <w:sz w:val="32"/>
          <w:szCs w:val="24"/>
          <w:highlight w:val="none"/>
          <w:u w:val="none" w:color="auto"/>
          <w:shd w:val="clear" w:color="auto" w:fill="auto"/>
          <w:lang w:val="en-US" w:eastAsia="zh-CN"/>
        </w:rPr>
        <w:t>39753</w:t>
      </w:r>
      <w:r>
        <w:rPr>
          <w:rFonts w:hint="default" w:ascii="Times New Roman" w:hAnsi="Times New Roman" w:eastAsia="仿宋_GB2312" w:cs="Times New Roman"/>
          <w:i w:val="0"/>
          <w:caps w:val="0"/>
          <w:color w:val="auto"/>
          <w:spacing w:val="0"/>
          <w:sz w:val="32"/>
          <w:szCs w:val="24"/>
          <w:highlight w:val="none"/>
          <w:u w:val="none" w:color="auto"/>
          <w:shd w:val="clear" w:color="auto" w:fill="auto"/>
        </w:rPr>
        <w:t>套</w:t>
      </w:r>
      <w:r>
        <w:rPr>
          <w:rFonts w:hint="eastAsia" w:ascii="Times New Roman" w:hAnsi="Times New Roman" w:eastAsia="仿宋_GB2312" w:cs="Times New Roman"/>
          <w:i w:val="0"/>
          <w:caps w:val="0"/>
          <w:color w:val="auto"/>
          <w:spacing w:val="0"/>
          <w:sz w:val="32"/>
          <w:szCs w:val="24"/>
          <w:highlight w:val="none"/>
          <w:u w:val="none" w:color="auto"/>
          <w:shd w:val="clear" w:color="auto" w:fill="auto"/>
          <w:lang w:eastAsia="zh-CN"/>
        </w:rPr>
        <w:t>，</w:t>
      </w:r>
      <w:r>
        <w:rPr>
          <w:rFonts w:hint="default" w:ascii="Times New Roman" w:hAnsi="Times New Roman" w:eastAsia="仿宋_GB2312" w:cs="Times New Roman"/>
          <w:color w:val="auto"/>
          <w:sz w:val="32"/>
          <w:highlight w:val="none"/>
          <w:u w:val="none" w:color="auto"/>
        </w:rPr>
        <w:t>城市功能</w:t>
      </w:r>
      <w:r>
        <w:rPr>
          <w:rFonts w:hint="default" w:ascii="Times New Roman" w:hAnsi="Times New Roman" w:eastAsia="仿宋_GB2312" w:cs="Times New Roman"/>
          <w:color w:val="auto"/>
          <w:sz w:val="32"/>
          <w:highlight w:val="none"/>
          <w:u w:val="none" w:color="auto"/>
          <w:lang w:val="en-US" w:eastAsia="zh-CN"/>
        </w:rPr>
        <w:t>与品质显著提升</w:t>
      </w:r>
      <w:r>
        <w:rPr>
          <w:rFonts w:hint="default" w:ascii="Times New Roman" w:hAnsi="Times New Roman" w:eastAsia="仿宋_GB2312" w:cs="Times New Roman"/>
          <w:color w:val="auto"/>
          <w:sz w:val="32"/>
          <w:highlight w:val="none"/>
          <w:u w:val="none" w:color="auto"/>
        </w:rPr>
        <w:t>，</w:t>
      </w:r>
      <w:r>
        <w:rPr>
          <w:rFonts w:hint="default" w:ascii="Times New Roman" w:hAnsi="Times New Roman" w:eastAsia="仿宋_GB2312" w:cs="Times New Roman"/>
          <w:color w:val="auto"/>
          <w:sz w:val="32"/>
          <w:highlight w:val="none"/>
          <w:u w:val="none" w:color="auto"/>
          <w:lang w:val="en-US" w:eastAsia="zh-CN"/>
        </w:rPr>
        <w:t>智慧城市</w:t>
      </w:r>
      <w:r>
        <w:rPr>
          <w:rFonts w:hint="default" w:ascii="Times New Roman" w:hAnsi="Times New Roman" w:eastAsia="仿宋_GB2312" w:cs="Times New Roman"/>
          <w:color w:val="auto"/>
          <w:sz w:val="32"/>
          <w:highlight w:val="none"/>
          <w:u w:val="none" w:color="auto"/>
        </w:rPr>
        <w:t>建设取得积极进展</w:t>
      </w:r>
      <w:r>
        <w:rPr>
          <w:rFonts w:hint="default" w:ascii="Times New Roman" w:hAnsi="Times New Roman" w:eastAsia="仿宋_GB2312" w:cs="Times New Roman"/>
          <w:i w:val="0"/>
          <w:caps w:val="0"/>
          <w:color w:val="auto"/>
          <w:spacing w:val="0"/>
          <w:sz w:val="32"/>
          <w:szCs w:val="24"/>
          <w:highlight w:val="none"/>
          <w:u w:val="none" w:color="auto"/>
          <w:shd w:val="clear" w:color="auto" w:fill="auto"/>
        </w:rPr>
        <w:t>。</w:t>
      </w:r>
      <w:r>
        <w:rPr>
          <w:rFonts w:hint="default" w:ascii="Times New Roman" w:hAnsi="Times New Roman" w:eastAsia="仿宋_GB2312" w:cs="Times New Roman"/>
          <w:color w:val="auto"/>
          <w:sz w:val="32"/>
          <w:highlight w:val="none"/>
          <w:u w:val="none" w:color="auto"/>
        </w:rPr>
        <w:t>城</w:t>
      </w:r>
      <w:r>
        <w:rPr>
          <w:rFonts w:hint="default" w:ascii="Times New Roman" w:hAnsi="Times New Roman" w:eastAsia="仿宋_GB2312" w:cs="Times New Roman"/>
          <w:color w:val="auto"/>
          <w:sz w:val="32"/>
          <w:highlight w:val="none"/>
          <w:u w:val="none" w:color="auto"/>
          <w:lang w:val="en-US" w:eastAsia="zh-CN"/>
        </w:rPr>
        <w:t>乡</w:t>
      </w:r>
      <w:r>
        <w:rPr>
          <w:rFonts w:hint="default" w:ascii="Times New Roman" w:hAnsi="Times New Roman" w:eastAsia="仿宋_GB2312" w:cs="Times New Roman"/>
          <w:color w:val="auto"/>
          <w:sz w:val="32"/>
          <w:highlight w:val="none"/>
          <w:u w:val="none" w:color="auto"/>
        </w:rPr>
        <w:t>基础设施建设实现跨越式发展，</w:t>
      </w:r>
      <w:r>
        <w:rPr>
          <w:rFonts w:hint="default" w:ascii="Times New Roman" w:hAnsi="Times New Roman" w:eastAsia="仿宋_GB2312" w:cs="Times New Roman"/>
          <w:i w:val="0"/>
          <w:caps w:val="0"/>
          <w:color w:val="auto"/>
          <w:spacing w:val="0"/>
          <w:sz w:val="32"/>
          <w:szCs w:val="24"/>
          <w:highlight w:val="none"/>
          <w:u w:val="none" w:color="auto"/>
          <w:shd w:val="clear" w:color="auto" w:fill="auto"/>
        </w:rPr>
        <w:t>国道307/207绕城改线、国道239</w:t>
      </w:r>
      <w:r>
        <w:rPr>
          <w:rFonts w:hint="eastAsia" w:ascii="Times New Roman" w:hAnsi="Times New Roman" w:eastAsia="仿宋_GB2312" w:cs="Times New Roman"/>
          <w:i w:val="0"/>
          <w:caps w:val="0"/>
          <w:color w:val="auto"/>
          <w:spacing w:val="0"/>
          <w:sz w:val="32"/>
          <w:szCs w:val="24"/>
          <w:highlight w:val="none"/>
          <w:u w:val="none" w:color="auto"/>
          <w:shd w:val="clear" w:color="auto" w:fill="auto"/>
          <w:lang w:val="en-US" w:eastAsia="zh-CN"/>
        </w:rPr>
        <w:t>郊区段</w:t>
      </w:r>
      <w:r>
        <w:rPr>
          <w:rFonts w:hint="default" w:ascii="Times New Roman" w:hAnsi="Times New Roman" w:eastAsia="仿宋_GB2312" w:cs="Times New Roman"/>
          <w:i w:val="0"/>
          <w:caps w:val="0"/>
          <w:color w:val="auto"/>
          <w:spacing w:val="0"/>
          <w:sz w:val="32"/>
          <w:szCs w:val="24"/>
          <w:highlight w:val="none"/>
          <w:u w:val="none" w:color="auto"/>
          <w:shd w:val="clear" w:color="auto" w:fill="auto"/>
        </w:rPr>
        <w:t>改线、阳大铁路</w:t>
      </w:r>
      <w:r>
        <w:rPr>
          <w:rFonts w:hint="default" w:ascii="Times New Roman" w:hAnsi="Times New Roman" w:eastAsia="仿宋_GB2312" w:cs="Times New Roman"/>
          <w:i w:val="0"/>
          <w:caps w:val="0"/>
          <w:color w:val="auto"/>
          <w:spacing w:val="0"/>
          <w:sz w:val="32"/>
          <w:szCs w:val="24"/>
          <w:highlight w:val="none"/>
          <w:u w:val="none" w:color="auto"/>
          <w:shd w:val="clear" w:color="auto" w:fill="auto"/>
          <w:lang w:val="en-US" w:eastAsia="zh-CN"/>
        </w:rPr>
        <w:t>等工程顺利</w:t>
      </w:r>
      <w:r>
        <w:rPr>
          <w:rFonts w:hint="default" w:ascii="Times New Roman" w:hAnsi="Times New Roman" w:eastAsia="仿宋_GB2312" w:cs="Times New Roman"/>
          <w:i w:val="0"/>
          <w:caps w:val="0"/>
          <w:color w:val="auto"/>
          <w:spacing w:val="0"/>
          <w:sz w:val="32"/>
          <w:szCs w:val="24"/>
          <w:highlight w:val="none"/>
          <w:u w:val="none" w:color="auto"/>
          <w:shd w:val="clear" w:color="auto" w:fill="auto"/>
        </w:rPr>
        <w:t>推进，</w:t>
      </w:r>
      <w:r>
        <w:rPr>
          <w:rFonts w:hint="default" w:ascii="Times New Roman" w:hAnsi="Times New Roman" w:eastAsia="仿宋_GB2312" w:cs="Times New Roman"/>
          <w:color w:val="auto"/>
          <w:sz w:val="32"/>
          <w:highlight w:val="none"/>
          <w:u w:val="none" w:color="auto"/>
        </w:rPr>
        <w:t>轨道交通实现</w:t>
      </w:r>
      <w:r>
        <w:rPr>
          <w:rFonts w:hint="default" w:ascii="Times New Roman" w:hAnsi="Times New Roman" w:eastAsia="仿宋_GB2312" w:cs="Times New Roman"/>
          <w:color w:val="auto"/>
          <w:sz w:val="32"/>
          <w:highlight w:val="none"/>
          <w:u w:val="none" w:color="auto"/>
          <w:lang w:val="en-US" w:eastAsia="zh-CN"/>
        </w:rPr>
        <w:t>高效</w:t>
      </w:r>
      <w:r>
        <w:rPr>
          <w:rFonts w:hint="default" w:ascii="Times New Roman" w:hAnsi="Times New Roman" w:eastAsia="仿宋_GB2312" w:cs="Times New Roman"/>
          <w:color w:val="auto"/>
          <w:sz w:val="32"/>
          <w:highlight w:val="none"/>
          <w:u w:val="none" w:color="auto"/>
        </w:rPr>
        <w:t>运行</w:t>
      </w:r>
      <w:r>
        <w:rPr>
          <w:rFonts w:hint="default" w:ascii="Times New Roman" w:hAnsi="Times New Roman" w:eastAsia="仿宋_GB2312" w:cs="Times New Roman"/>
          <w:color w:val="auto"/>
          <w:sz w:val="32"/>
          <w:highlight w:val="none"/>
          <w:u w:val="none" w:color="auto"/>
          <w:lang w:eastAsia="zh-CN"/>
        </w:rPr>
        <w:t>，综合交通客运枢纽</w:t>
      </w:r>
      <w:r>
        <w:rPr>
          <w:rFonts w:hint="default" w:ascii="Times New Roman" w:hAnsi="Times New Roman" w:eastAsia="仿宋_GB2312" w:cs="Times New Roman"/>
          <w:color w:val="auto"/>
          <w:sz w:val="32"/>
          <w:highlight w:val="none"/>
          <w:u w:val="none" w:color="auto"/>
          <w:lang w:val="en-US" w:eastAsia="zh-CN"/>
        </w:rPr>
        <w:t>建成并运营</w:t>
      </w:r>
      <w:r>
        <w:rPr>
          <w:rFonts w:hint="default" w:ascii="Times New Roman" w:hAnsi="Times New Roman" w:eastAsia="仿宋_GB2312" w:cs="Times New Roman"/>
          <w:b w:val="0"/>
          <w:bCs w:val="0"/>
          <w:color w:val="auto"/>
          <w:kern w:val="2"/>
          <w:sz w:val="32"/>
          <w:szCs w:val="24"/>
          <w:highlight w:val="none"/>
          <w:u w:val="none" w:color="auto"/>
          <w:lang w:val="en-US" w:eastAsia="zh-CN" w:bidi="ar-SA"/>
        </w:rPr>
        <w:t>。高标准建设</w:t>
      </w:r>
      <w:r>
        <w:rPr>
          <w:rFonts w:hint="default" w:ascii="Times New Roman" w:hAnsi="Times New Roman" w:eastAsia="仿宋_GB2312" w:cs="Times New Roman"/>
          <w:color w:val="auto"/>
          <w:sz w:val="32"/>
          <w:highlight w:val="none"/>
          <w:u w:val="none" w:color="auto"/>
        </w:rPr>
        <w:t>太行山一号旅游公路、桃河湿地公园</w:t>
      </w:r>
      <w:r>
        <w:rPr>
          <w:rFonts w:hint="default" w:ascii="Times New Roman" w:hAnsi="Times New Roman" w:eastAsia="仿宋_GB2312" w:cs="Times New Roman"/>
          <w:color w:val="auto"/>
          <w:sz w:val="32"/>
          <w:highlight w:val="none"/>
          <w:u w:val="none" w:color="auto"/>
          <w:lang w:eastAsia="zh-CN"/>
        </w:rPr>
        <w:t>、五渡湿地公园</w:t>
      </w:r>
      <w:r>
        <w:rPr>
          <w:rFonts w:hint="default" w:ascii="Times New Roman" w:hAnsi="Times New Roman" w:eastAsia="仿宋_GB2312" w:cs="Times New Roman"/>
          <w:color w:val="auto"/>
          <w:sz w:val="32"/>
          <w:highlight w:val="none"/>
          <w:u w:val="none" w:color="auto"/>
        </w:rPr>
        <w:t>等一批重点生态</w:t>
      </w:r>
      <w:r>
        <w:rPr>
          <w:rFonts w:hint="default" w:ascii="Times New Roman" w:hAnsi="Times New Roman" w:eastAsia="仿宋_GB2312" w:cs="Times New Roman"/>
          <w:color w:val="auto"/>
          <w:sz w:val="32"/>
          <w:highlight w:val="none"/>
          <w:u w:val="none" w:color="auto"/>
          <w:lang w:val="en-US" w:eastAsia="zh-CN"/>
        </w:rPr>
        <w:t>旅游</w:t>
      </w:r>
      <w:r>
        <w:rPr>
          <w:rFonts w:hint="default" w:ascii="Times New Roman" w:hAnsi="Times New Roman" w:eastAsia="仿宋_GB2312" w:cs="Times New Roman"/>
          <w:color w:val="auto"/>
          <w:sz w:val="32"/>
          <w:highlight w:val="none"/>
          <w:u w:val="none" w:color="auto"/>
        </w:rPr>
        <w:t>工程，建成区绿化覆盖率提高到</w:t>
      </w:r>
      <w:r>
        <w:rPr>
          <w:rFonts w:hint="default" w:ascii="Times New Roman" w:hAnsi="Times New Roman" w:eastAsia="仿宋_GB2312" w:cs="Times New Roman"/>
          <w:color w:val="auto"/>
          <w:sz w:val="32"/>
          <w:highlight w:val="none"/>
          <w:u w:val="none" w:color="auto"/>
          <w:lang w:val="en-US" w:eastAsia="zh-CN"/>
        </w:rPr>
        <w:t>38.</w:t>
      </w:r>
      <w:r>
        <w:rPr>
          <w:rFonts w:hint="eastAsia" w:ascii="Times New Roman" w:hAnsi="Times New Roman" w:eastAsia="仿宋_GB2312" w:cs="Times New Roman"/>
          <w:color w:val="auto"/>
          <w:sz w:val="32"/>
          <w:highlight w:val="none"/>
          <w:u w:val="none" w:color="auto"/>
          <w:lang w:val="en-US" w:eastAsia="zh-CN"/>
        </w:rPr>
        <w:t>86</w:t>
      </w:r>
      <w:r>
        <w:rPr>
          <w:rFonts w:hint="default" w:ascii="Times New Roman" w:hAnsi="Times New Roman" w:eastAsia="仿宋_GB2312" w:cs="Times New Roman"/>
          <w:color w:val="auto"/>
          <w:sz w:val="32"/>
          <w:highlight w:val="none"/>
          <w:u w:val="none" w:color="auto"/>
        </w:rPr>
        <w:t>%。“五城联创”取得突破性进展，</w:t>
      </w:r>
      <w:r>
        <w:rPr>
          <w:rFonts w:hint="eastAsia" w:ascii="Times New Roman" w:hAnsi="Times New Roman" w:eastAsia="仿宋_GB2312" w:cs="Times New Roman"/>
          <w:color w:val="auto"/>
          <w:sz w:val="32"/>
          <w:highlight w:val="none"/>
          <w:u w:val="none" w:color="auto"/>
          <w:lang w:val="en-US" w:eastAsia="zh-CN"/>
        </w:rPr>
        <w:t>成功创建国家卫生城市</w:t>
      </w:r>
      <w:r>
        <w:rPr>
          <w:rFonts w:hint="default" w:ascii="Times New Roman" w:hAnsi="Times New Roman" w:eastAsia="仿宋_GB2312" w:cs="Times New Roman"/>
          <w:color w:val="auto"/>
          <w:sz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textAlignment w:val="auto"/>
        <w:outlineLvl w:val="2"/>
        <w:rPr>
          <w:rFonts w:hint="default" w:ascii="Times New Roman" w:hAnsi="Times New Roman" w:eastAsia="仿宋_GB2312" w:cs="Times New Roman"/>
          <w:b w:val="0"/>
          <w:bCs w:val="0"/>
          <w:color w:val="auto"/>
          <w:kern w:val="2"/>
          <w:sz w:val="32"/>
          <w:szCs w:val="24"/>
          <w:highlight w:val="none"/>
          <w:u w:val="none" w:color="auto"/>
          <w:lang w:val="en-US" w:eastAsia="zh-CN" w:bidi="ar-SA"/>
        </w:rPr>
      </w:pPr>
      <w:r>
        <w:rPr>
          <w:rFonts w:hint="default" w:ascii="Times New Roman" w:hAnsi="Times New Roman" w:eastAsia="仿宋_GB2312" w:cs="Times New Roman"/>
          <w:b/>
          <w:bCs/>
          <w:color w:val="auto"/>
          <w:sz w:val="32"/>
          <w:highlight w:val="none"/>
          <w:u w:val="none" w:color="auto"/>
          <w:lang w:val="en-US" w:eastAsia="zh-CN"/>
        </w:rPr>
        <w:t>乡村人居环境整治成效显著。</w:t>
      </w:r>
      <w:r>
        <w:rPr>
          <w:rFonts w:hint="default" w:ascii="Times New Roman" w:hAnsi="Times New Roman" w:eastAsia="仿宋_GB2312" w:cs="Times New Roman"/>
          <w:color w:val="auto"/>
          <w:sz w:val="32"/>
          <w:highlight w:val="none"/>
          <w:u w:val="none" w:color="auto"/>
        </w:rPr>
        <w:t>建成改善农村人居环境示范片区6个、示范村60个</w:t>
      </w:r>
      <w:r>
        <w:rPr>
          <w:rFonts w:hint="default" w:ascii="Times New Roman" w:hAnsi="Times New Roman" w:eastAsia="仿宋_GB2312" w:cs="Times New Roman"/>
          <w:color w:val="auto"/>
          <w:sz w:val="32"/>
          <w:highlight w:val="none"/>
          <w:u w:val="none" w:color="auto"/>
          <w:lang w:eastAsia="zh-CN"/>
        </w:rPr>
        <w:t>，</w:t>
      </w:r>
      <w:r>
        <w:rPr>
          <w:rFonts w:hint="eastAsia" w:ascii="Times New Roman" w:hAnsi="Times New Roman" w:eastAsia="仿宋_GB2312" w:cs="Times New Roman"/>
          <w:color w:val="auto"/>
          <w:sz w:val="32"/>
          <w:highlight w:val="none"/>
          <w:u w:val="none" w:color="auto"/>
          <w:lang w:val="en-US" w:eastAsia="zh-CN"/>
        </w:rPr>
        <w:t>郊区</w:t>
      </w:r>
      <w:r>
        <w:rPr>
          <w:rFonts w:hint="default" w:ascii="Times New Roman" w:hAnsi="Times New Roman" w:eastAsia="仿宋_GB2312" w:cs="Times New Roman"/>
          <w:color w:val="auto"/>
          <w:sz w:val="32"/>
          <w:highlight w:val="none"/>
          <w:u w:val="none" w:color="auto"/>
          <w:lang w:eastAsia="zh-CN"/>
        </w:rPr>
        <w:t>桃林沟</w:t>
      </w:r>
      <w:r>
        <w:rPr>
          <w:rFonts w:hint="eastAsia" w:ascii="Times New Roman" w:hAnsi="Times New Roman" w:eastAsia="仿宋_GB2312" w:cs="Times New Roman"/>
          <w:color w:val="auto"/>
          <w:sz w:val="32"/>
          <w:highlight w:val="none"/>
          <w:u w:val="none" w:color="auto"/>
          <w:lang w:val="en-US" w:eastAsia="zh-CN"/>
        </w:rPr>
        <w:t>入选</w:t>
      </w:r>
      <w:r>
        <w:rPr>
          <w:rFonts w:hint="default" w:ascii="Times New Roman" w:hAnsi="Times New Roman" w:eastAsia="仿宋_GB2312" w:cs="Times New Roman"/>
          <w:color w:val="auto"/>
          <w:sz w:val="32"/>
          <w:highlight w:val="none"/>
          <w:u w:val="none" w:color="auto"/>
          <w:lang w:eastAsia="zh-CN"/>
        </w:rPr>
        <w:t>国家级美丽乡村标准化试点</w:t>
      </w:r>
      <w:r>
        <w:rPr>
          <w:rFonts w:hint="eastAsia" w:ascii="Times New Roman" w:hAnsi="Times New Roman" w:eastAsia="仿宋_GB2312" w:cs="Times New Roman"/>
          <w:color w:val="auto"/>
          <w:sz w:val="32"/>
          <w:highlight w:val="none"/>
          <w:u w:val="none" w:color="auto"/>
          <w:lang w:eastAsia="zh-CN"/>
        </w:rPr>
        <w:t>，</w:t>
      </w:r>
      <w:r>
        <w:rPr>
          <w:rFonts w:hint="default" w:ascii="Times New Roman" w:hAnsi="Times New Roman" w:eastAsia="仿宋_GB2312" w:cs="Times New Roman"/>
          <w:color w:val="auto"/>
          <w:sz w:val="32"/>
          <w:highlight w:val="none"/>
          <w:u w:val="none" w:color="auto"/>
          <w:lang w:eastAsia="zh-CN"/>
        </w:rPr>
        <w:t>平定县半沟村入选全国“一村一品”示范村，盂县孙家庄镇成为国家农业产业强镇示范建设乡镇，乡村产业融合发展先导区建设列入省级标杆项目</w:t>
      </w:r>
      <w:r>
        <w:rPr>
          <w:rFonts w:hint="default" w:ascii="Times New Roman" w:hAnsi="Times New Roman" w:eastAsia="仿宋_GB2312" w:cs="Times New Roman"/>
          <w:color w:val="auto"/>
          <w:sz w:val="32"/>
          <w:highlight w:val="none"/>
          <w:u w:val="none" w:color="auto"/>
        </w:rPr>
        <w:t>。</w:t>
      </w:r>
      <w:r>
        <w:rPr>
          <w:rFonts w:hint="default" w:ascii="Times New Roman" w:hAnsi="Times New Roman" w:eastAsia="仿宋_GB2312" w:cs="Times New Roman"/>
          <w:b w:val="0"/>
          <w:bCs w:val="0"/>
          <w:color w:val="auto"/>
          <w:kern w:val="2"/>
          <w:sz w:val="32"/>
          <w:szCs w:val="24"/>
          <w:highlight w:val="none"/>
          <w:u w:val="none" w:color="auto"/>
          <w:lang w:val="en-US" w:eastAsia="zh-CN" w:bidi="ar-SA"/>
        </w:rPr>
        <w:t>娘子关村入选全国乡村旅游重点村，甘泉井村入选全国最美休闲乡村。农村基础设施提档升级，实施危房改造2689户，新（改）建“四好农村路”2988.6公里，改造农村户厕20484户。</w:t>
      </w:r>
    </w:p>
    <w:bookmarkEnd w:id="6"/>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textAlignment w:val="auto"/>
        <w:outlineLvl w:val="2"/>
        <w:rPr>
          <w:rFonts w:hint="default" w:ascii="Times New Roman" w:hAnsi="Times New Roman" w:eastAsia="仿宋_GB2312" w:cs="Times New Roman"/>
          <w:color w:val="auto"/>
          <w:highlight w:val="none"/>
          <w:u w:val="none" w:color="auto"/>
          <w:lang w:val="en-US" w:eastAsia="zh-CN"/>
        </w:rPr>
      </w:pPr>
      <w:bookmarkStart w:id="7" w:name="_Toc1066"/>
      <w:r>
        <w:rPr>
          <w:rFonts w:hint="default" w:ascii="Times New Roman" w:hAnsi="Times New Roman" w:eastAsia="仿宋_GB2312" w:cs="Times New Roman"/>
          <w:b/>
          <w:bCs/>
          <w:color w:val="auto"/>
          <w:sz w:val="32"/>
          <w:highlight w:val="none"/>
          <w:u w:val="none" w:color="auto"/>
        </w:rPr>
        <w:t>生态环境质量总体趋好。</w:t>
      </w:r>
      <w:r>
        <w:rPr>
          <w:rFonts w:hint="default" w:ascii="Times New Roman" w:hAnsi="Times New Roman" w:eastAsia="仿宋_GB2312" w:cs="Times New Roman"/>
          <w:color w:val="auto"/>
          <w:sz w:val="32"/>
          <w:highlight w:val="none"/>
          <w:u w:val="none" w:color="auto"/>
        </w:rPr>
        <w:t>污染防治</w:t>
      </w:r>
      <w:r>
        <w:rPr>
          <w:rFonts w:hint="default" w:ascii="Times New Roman" w:hAnsi="Times New Roman" w:eastAsia="仿宋_GB2312" w:cs="Times New Roman"/>
          <w:color w:val="auto"/>
          <w:sz w:val="32"/>
          <w:highlight w:val="none"/>
          <w:u w:val="none" w:color="auto"/>
          <w:lang w:val="en-US" w:eastAsia="zh-CN"/>
        </w:rPr>
        <w:t>攻坚战</w:t>
      </w:r>
      <w:r>
        <w:rPr>
          <w:rFonts w:hint="default" w:ascii="Times New Roman" w:hAnsi="Times New Roman" w:eastAsia="仿宋_GB2312" w:cs="Times New Roman"/>
          <w:color w:val="auto"/>
          <w:sz w:val="32"/>
          <w:highlight w:val="none"/>
          <w:u w:val="none" w:color="auto"/>
        </w:rPr>
        <w:t>取得</w:t>
      </w:r>
      <w:r>
        <w:rPr>
          <w:rFonts w:hint="default" w:ascii="Times New Roman" w:hAnsi="Times New Roman" w:eastAsia="仿宋_GB2312" w:cs="Times New Roman"/>
          <w:color w:val="auto"/>
          <w:sz w:val="32"/>
          <w:highlight w:val="none"/>
          <w:u w:val="none" w:color="auto"/>
          <w:lang w:val="en-US" w:eastAsia="zh-CN"/>
        </w:rPr>
        <w:t>显著成</w:t>
      </w:r>
      <w:r>
        <w:rPr>
          <w:rFonts w:hint="default" w:ascii="Times New Roman" w:hAnsi="Times New Roman" w:eastAsia="仿宋_GB2312" w:cs="Times New Roman"/>
          <w:color w:val="auto"/>
          <w:sz w:val="32"/>
          <w:highlight w:val="none"/>
          <w:u w:val="none" w:color="auto"/>
        </w:rPr>
        <w:t>效，</w:t>
      </w:r>
      <w:r>
        <w:rPr>
          <w:rFonts w:hint="default" w:ascii="Times New Roman" w:hAnsi="Times New Roman" w:eastAsia="仿宋_GB2312" w:cs="Times New Roman"/>
          <w:color w:val="auto"/>
          <w:sz w:val="32"/>
          <w:highlight w:val="none"/>
          <w:u w:val="none" w:color="auto"/>
          <w:lang w:val="en-US" w:eastAsia="zh-CN"/>
        </w:rPr>
        <w:t>“夏季攻坚”“百日清零”等专项行动持续开展，</w:t>
      </w:r>
      <w:r>
        <w:rPr>
          <w:rFonts w:hint="default" w:ascii="Times New Roman" w:hAnsi="Times New Roman" w:eastAsia="仿宋_GB2312" w:cs="Times New Roman"/>
          <w:color w:val="auto"/>
          <w:sz w:val="32"/>
          <w:highlight w:val="none"/>
          <w:u w:val="none" w:color="auto"/>
        </w:rPr>
        <w:t>主要污染物排放总量逐年下降。坚持“减煤、转型、治企、控车、降尘”，全力实施大气污染防治攻坚，PM</w:t>
      </w:r>
      <w:r>
        <w:rPr>
          <w:rFonts w:hint="default" w:ascii="Times New Roman" w:hAnsi="Times New Roman" w:eastAsia="仿宋_GB2312" w:cs="Times New Roman"/>
          <w:color w:val="auto"/>
          <w:sz w:val="32"/>
          <w:highlight w:val="none"/>
          <w:u w:val="none" w:color="auto"/>
          <w:vertAlign w:val="subscript"/>
        </w:rPr>
        <w:t>2.5</w:t>
      </w:r>
      <w:r>
        <w:rPr>
          <w:rFonts w:hint="default" w:ascii="Times New Roman" w:hAnsi="Times New Roman" w:eastAsia="仿宋_GB2312" w:cs="Times New Roman"/>
          <w:color w:val="auto"/>
          <w:sz w:val="32"/>
          <w:highlight w:val="none"/>
          <w:u w:val="none" w:color="auto"/>
          <w:vertAlign w:val="baseline"/>
        </w:rPr>
        <w:t>平均浓度降到46μg/m</w:t>
      </w:r>
      <w:r>
        <w:rPr>
          <w:rFonts w:hint="default" w:ascii="Times New Roman" w:hAnsi="Times New Roman" w:eastAsia="仿宋_GB2312" w:cs="Times New Roman"/>
          <w:color w:val="auto"/>
          <w:sz w:val="32"/>
          <w:highlight w:val="none"/>
          <w:u w:val="none" w:color="auto"/>
          <w:vertAlign w:val="superscript"/>
        </w:rPr>
        <w:t>3</w:t>
      </w:r>
      <w:r>
        <w:rPr>
          <w:rFonts w:hint="default" w:ascii="Times New Roman" w:hAnsi="Times New Roman" w:eastAsia="仿宋_GB2312" w:cs="Times New Roman"/>
          <w:color w:val="auto"/>
          <w:sz w:val="32"/>
          <w:highlight w:val="none"/>
          <w:u w:val="none" w:color="auto"/>
          <w:vertAlign w:val="baseline"/>
        </w:rPr>
        <w:t>，改善率全省排名第四</w:t>
      </w:r>
      <w:r>
        <w:rPr>
          <w:rFonts w:hint="default" w:ascii="Times New Roman" w:hAnsi="Times New Roman" w:eastAsia="仿宋_GB2312" w:cs="Times New Roman"/>
          <w:color w:val="auto"/>
          <w:sz w:val="32"/>
          <w:highlight w:val="none"/>
          <w:u w:val="none" w:color="auto"/>
        </w:rPr>
        <w:t>。优良天数比例为69.9%</w:t>
      </w:r>
      <w:r>
        <w:rPr>
          <w:rFonts w:hint="default" w:ascii="Times New Roman" w:hAnsi="Times New Roman" w:eastAsia="仿宋_GB2312" w:cs="Times New Roman"/>
          <w:color w:val="auto"/>
          <w:sz w:val="32"/>
          <w:highlight w:val="none"/>
          <w:u w:val="none" w:color="auto"/>
          <w:lang w:eastAsia="zh-CN"/>
        </w:rPr>
        <w:t>，</w:t>
      </w:r>
      <w:r>
        <w:rPr>
          <w:rFonts w:hint="default" w:ascii="Times New Roman" w:hAnsi="Times New Roman" w:eastAsia="仿宋_GB2312" w:cs="Times New Roman"/>
          <w:color w:val="auto"/>
          <w:sz w:val="32"/>
          <w:highlight w:val="none"/>
          <w:u w:val="none" w:color="auto"/>
          <w:lang w:val="en-US" w:eastAsia="zh-CN"/>
        </w:rPr>
        <w:t>全省排名第7</w:t>
      </w:r>
      <w:r>
        <w:rPr>
          <w:rFonts w:hint="default" w:ascii="Times New Roman" w:hAnsi="Times New Roman" w:eastAsia="仿宋_GB2312" w:cs="Times New Roman"/>
          <w:color w:val="auto"/>
          <w:sz w:val="32"/>
          <w:highlight w:val="none"/>
          <w:u w:val="none" w:color="auto"/>
        </w:rPr>
        <w:t>。水环境质量</w:t>
      </w:r>
      <w:r>
        <w:rPr>
          <w:rFonts w:hint="default" w:ascii="Times New Roman" w:hAnsi="Times New Roman" w:eastAsia="仿宋_GB2312" w:cs="Times New Roman"/>
          <w:color w:val="auto"/>
          <w:sz w:val="32"/>
          <w:highlight w:val="none"/>
          <w:u w:val="none" w:color="auto"/>
          <w:lang w:val="en-US" w:eastAsia="zh-CN"/>
        </w:rPr>
        <w:t>持续</w:t>
      </w:r>
      <w:r>
        <w:rPr>
          <w:rFonts w:hint="default" w:ascii="Times New Roman" w:hAnsi="Times New Roman" w:eastAsia="仿宋_GB2312" w:cs="Times New Roman"/>
          <w:color w:val="auto"/>
          <w:sz w:val="32"/>
          <w:highlight w:val="none"/>
          <w:u w:val="none" w:color="auto"/>
        </w:rPr>
        <w:t>改善</w:t>
      </w:r>
      <w:r>
        <w:rPr>
          <w:rFonts w:hint="default" w:ascii="Times New Roman" w:hAnsi="Times New Roman" w:eastAsia="仿宋_GB2312" w:cs="Times New Roman"/>
          <w:b w:val="0"/>
          <w:bCs/>
          <w:color w:val="auto"/>
          <w:kern w:val="2"/>
          <w:sz w:val="32"/>
          <w:szCs w:val="32"/>
          <w:highlight w:val="none"/>
          <w:u w:val="none" w:color="auto"/>
          <w:lang w:val="en-US" w:eastAsia="zh-CN" w:bidi="ar-SA"/>
        </w:rPr>
        <w:t>，国考断面劣Ⅴ类水质全部退出</w:t>
      </w:r>
      <w:r>
        <w:rPr>
          <w:rFonts w:hint="default" w:ascii="Times New Roman" w:hAnsi="Times New Roman" w:eastAsia="仿宋_GB2312" w:cs="Times New Roman"/>
          <w:color w:val="auto"/>
          <w:sz w:val="32"/>
          <w:highlight w:val="none"/>
          <w:u w:val="none" w:color="auto"/>
        </w:rPr>
        <w:t>。</w:t>
      </w:r>
      <w:r>
        <w:rPr>
          <w:rFonts w:hint="default" w:ascii="Times New Roman" w:hAnsi="Times New Roman" w:eastAsia="仿宋_GB2312" w:cs="Times New Roman"/>
          <w:b w:val="0"/>
          <w:bCs/>
          <w:color w:val="auto"/>
          <w:kern w:val="2"/>
          <w:sz w:val="32"/>
          <w:szCs w:val="32"/>
          <w:highlight w:val="none"/>
          <w:u w:val="none" w:color="auto"/>
          <w:lang w:val="en-US" w:eastAsia="zh-CN" w:bidi="ar-SA"/>
        </w:rPr>
        <w:t>稳步抓好土壤污染防治，在全省率先推行重点监管企业土壤环境隐患排查与自行监测工作。扎实开展生态修复治理，造林绿化、水土流失治理、煤矸石山生态修复任务全面完成。</w:t>
      </w:r>
      <w:r>
        <w:rPr>
          <w:rFonts w:hint="default" w:ascii="Times New Roman" w:hAnsi="Times New Roman" w:eastAsia="仿宋_GB2312" w:cs="Times New Roman"/>
          <w:color w:val="auto"/>
          <w:sz w:val="32"/>
          <w:highlight w:val="none"/>
          <w:u w:val="none" w:color="auto"/>
        </w:rPr>
        <w:t>生态环境总体安全，未发生较大以上突发环境污染事件。</w:t>
      </w:r>
      <w:bookmarkEnd w:id="7"/>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textAlignment w:val="auto"/>
        <w:outlineLvl w:val="2"/>
        <w:rPr>
          <w:rFonts w:hint="default" w:ascii="Times New Roman" w:hAnsi="Times New Roman" w:eastAsia="仿宋_GB2312" w:cs="Times New Roman"/>
          <w:color w:val="auto"/>
          <w:sz w:val="32"/>
          <w:highlight w:val="none"/>
          <w:u w:val="none" w:color="auto"/>
        </w:rPr>
      </w:pPr>
      <w:bookmarkStart w:id="8" w:name="_Toc26859"/>
      <w:r>
        <w:rPr>
          <w:rFonts w:hint="default" w:ascii="Times New Roman" w:hAnsi="Times New Roman" w:eastAsia="仿宋_GB2312" w:cs="Times New Roman"/>
          <w:b/>
          <w:bCs/>
          <w:color w:val="auto"/>
          <w:sz w:val="32"/>
          <w:highlight w:val="none"/>
          <w:u w:val="none" w:color="auto"/>
        </w:rPr>
        <w:t>资源能源节约集约利用水平</w:t>
      </w:r>
      <w:r>
        <w:rPr>
          <w:rFonts w:hint="default" w:ascii="Times New Roman" w:hAnsi="Times New Roman" w:eastAsia="仿宋_GB2312" w:cs="Times New Roman"/>
          <w:b/>
          <w:bCs/>
          <w:color w:val="auto"/>
          <w:sz w:val="32"/>
          <w:highlight w:val="none"/>
          <w:u w:val="none" w:color="auto"/>
          <w:lang w:val="en-US" w:eastAsia="zh-CN"/>
        </w:rPr>
        <w:t>不断</w:t>
      </w:r>
      <w:r>
        <w:rPr>
          <w:rFonts w:hint="default" w:ascii="Times New Roman" w:hAnsi="Times New Roman" w:eastAsia="仿宋_GB2312" w:cs="Times New Roman"/>
          <w:b/>
          <w:bCs/>
          <w:color w:val="auto"/>
          <w:sz w:val="32"/>
          <w:highlight w:val="none"/>
          <w:u w:val="none" w:color="auto"/>
        </w:rPr>
        <w:t>提高。</w:t>
      </w:r>
      <w:r>
        <w:rPr>
          <w:rFonts w:hint="default" w:ascii="Times New Roman" w:hAnsi="Times New Roman" w:eastAsia="仿宋_GB2312" w:cs="Times New Roman"/>
          <w:color w:val="auto"/>
          <w:sz w:val="32"/>
          <w:highlight w:val="none"/>
          <w:u w:val="none" w:color="auto"/>
        </w:rPr>
        <w:t>能源利用效率明显提高，“十</w:t>
      </w:r>
      <w:r>
        <w:rPr>
          <w:rFonts w:hint="default" w:ascii="Times New Roman" w:hAnsi="Times New Roman" w:eastAsia="仿宋_GB2312" w:cs="Times New Roman"/>
          <w:color w:val="auto"/>
          <w:sz w:val="32"/>
          <w:highlight w:val="none"/>
          <w:u w:val="none" w:color="auto"/>
          <w:lang w:val="en-US" w:eastAsia="zh-CN"/>
        </w:rPr>
        <w:t>三</w:t>
      </w:r>
      <w:r>
        <w:rPr>
          <w:rFonts w:hint="default" w:ascii="Times New Roman" w:hAnsi="Times New Roman" w:eastAsia="仿宋_GB2312" w:cs="Times New Roman"/>
          <w:color w:val="auto"/>
          <w:sz w:val="32"/>
          <w:highlight w:val="none"/>
          <w:u w:val="none" w:color="auto"/>
        </w:rPr>
        <w:t>五”期间万元</w:t>
      </w:r>
      <w:r>
        <w:rPr>
          <w:rFonts w:hint="default" w:ascii="Times New Roman" w:hAnsi="Times New Roman" w:eastAsia="仿宋_GB2312" w:cs="Times New Roman"/>
          <w:color w:val="auto"/>
          <w:sz w:val="32"/>
          <w:highlight w:val="none"/>
          <w:u w:val="none" w:color="auto"/>
          <w:lang w:val="en-US" w:eastAsia="zh-CN"/>
        </w:rPr>
        <w:t>GDP</w:t>
      </w:r>
      <w:r>
        <w:rPr>
          <w:rFonts w:hint="default" w:ascii="Times New Roman" w:hAnsi="Times New Roman" w:eastAsia="仿宋_GB2312" w:cs="Times New Roman"/>
          <w:color w:val="auto"/>
          <w:sz w:val="32"/>
          <w:highlight w:val="none"/>
          <w:u w:val="none" w:color="auto"/>
        </w:rPr>
        <w:t>能耗累计下降</w:t>
      </w:r>
      <w:r>
        <w:rPr>
          <w:rFonts w:hint="eastAsia" w:ascii="Times New Roman" w:hAnsi="Times New Roman" w:eastAsia="仿宋_GB2312" w:cs="Times New Roman"/>
          <w:color w:val="auto"/>
          <w:sz w:val="32"/>
          <w:highlight w:val="none"/>
          <w:u w:val="none" w:color="auto"/>
          <w:lang w:val="en-US" w:eastAsia="zh-CN"/>
        </w:rPr>
        <w:t>17.5</w:t>
      </w:r>
      <w:r>
        <w:rPr>
          <w:rFonts w:hint="default" w:ascii="Times New Roman" w:hAnsi="Times New Roman" w:eastAsia="仿宋_GB2312" w:cs="Times New Roman"/>
          <w:color w:val="auto"/>
          <w:sz w:val="32"/>
          <w:highlight w:val="none"/>
          <w:u w:val="none" w:color="auto"/>
        </w:rPr>
        <w:t>%，完成省下达</w:t>
      </w:r>
      <w:r>
        <w:rPr>
          <w:rFonts w:hint="default" w:ascii="Times New Roman" w:hAnsi="Times New Roman" w:eastAsia="仿宋_GB2312" w:cs="Times New Roman"/>
          <w:color w:val="auto"/>
          <w:sz w:val="32"/>
          <w:highlight w:val="none"/>
          <w:u w:val="none" w:color="auto"/>
          <w:lang w:val="en-US" w:eastAsia="zh-CN"/>
        </w:rPr>
        <w:t>目标</w:t>
      </w:r>
      <w:r>
        <w:rPr>
          <w:rFonts w:hint="default" w:ascii="Times New Roman" w:hAnsi="Times New Roman" w:eastAsia="仿宋_GB2312" w:cs="Times New Roman"/>
          <w:color w:val="auto"/>
          <w:sz w:val="32"/>
          <w:highlight w:val="none"/>
          <w:u w:val="none" w:color="auto"/>
        </w:rPr>
        <w:t>任务。</w:t>
      </w:r>
      <w:r>
        <w:rPr>
          <w:rFonts w:hint="default" w:ascii="Times New Roman" w:hAnsi="Times New Roman" w:eastAsia="仿宋_GB2312" w:cs="Times New Roman"/>
          <w:b w:val="0"/>
          <w:bCs w:val="0"/>
          <w:color w:val="auto"/>
          <w:kern w:val="2"/>
          <w:sz w:val="32"/>
          <w:szCs w:val="24"/>
          <w:highlight w:val="none"/>
          <w:u w:val="none" w:color="auto"/>
          <w:lang w:val="en-US" w:eastAsia="zh-CN" w:bidi="ar-SA"/>
        </w:rPr>
        <w:t>工业园区循环低碳发展积极推进，绿色产业链和资源循环利用链加快构建。</w:t>
      </w:r>
      <w:r>
        <w:rPr>
          <w:rFonts w:hint="default" w:ascii="Times New Roman" w:hAnsi="Times New Roman" w:eastAsia="仿宋_GB2312" w:cs="Times New Roman"/>
          <w:color w:val="auto"/>
          <w:sz w:val="32"/>
          <w:highlight w:val="none"/>
          <w:u w:val="none" w:color="auto"/>
          <w:lang w:val="en-US" w:eastAsia="zh-CN"/>
        </w:rPr>
        <w:t>总量</w:t>
      </w:r>
      <w:r>
        <w:rPr>
          <w:rFonts w:hint="default" w:ascii="Times New Roman" w:hAnsi="Times New Roman" w:eastAsia="仿宋_GB2312" w:cs="Times New Roman"/>
          <w:color w:val="auto"/>
          <w:sz w:val="32"/>
          <w:highlight w:val="none"/>
          <w:u w:val="none" w:color="auto"/>
        </w:rPr>
        <w:t>减排任务</w:t>
      </w:r>
      <w:r>
        <w:rPr>
          <w:rFonts w:hint="default" w:ascii="Times New Roman" w:hAnsi="Times New Roman" w:eastAsia="仿宋_GB2312" w:cs="Times New Roman"/>
          <w:color w:val="auto"/>
          <w:sz w:val="32"/>
          <w:highlight w:val="none"/>
          <w:u w:val="none" w:color="auto"/>
          <w:lang w:val="en-US" w:eastAsia="zh-CN"/>
        </w:rPr>
        <w:t>超额</w:t>
      </w:r>
      <w:r>
        <w:rPr>
          <w:rFonts w:hint="default" w:ascii="Times New Roman" w:hAnsi="Times New Roman" w:eastAsia="仿宋_GB2312" w:cs="Times New Roman"/>
          <w:color w:val="auto"/>
          <w:sz w:val="32"/>
          <w:highlight w:val="none"/>
          <w:u w:val="none" w:color="auto"/>
        </w:rPr>
        <w:t>完成，主要污染物化学需氧量、二氧化硫、氨氮和氮氧化物排放</w:t>
      </w:r>
      <w:r>
        <w:rPr>
          <w:rFonts w:hint="default" w:ascii="Times New Roman" w:hAnsi="Times New Roman" w:eastAsia="仿宋_GB2312" w:cs="Times New Roman"/>
          <w:color w:val="auto"/>
          <w:sz w:val="32"/>
          <w:highlight w:val="none"/>
          <w:u w:val="none" w:color="auto"/>
          <w:lang w:val="en-US" w:eastAsia="zh-CN"/>
        </w:rPr>
        <w:t>量显著减少</w:t>
      </w:r>
      <w:r>
        <w:rPr>
          <w:rFonts w:hint="default" w:ascii="Times New Roman" w:hAnsi="Times New Roman" w:eastAsia="仿宋_GB2312" w:cs="Times New Roman"/>
          <w:color w:val="auto"/>
          <w:sz w:val="32"/>
          <w:highlight w:val="none"/>
          <w:u w:val="none" w:color="auto"/>
        </w:rPr>
        <w:t>。水资源利用效率明显提高，全市单位GDP用水量逐</w:t>
      </w:r>
      <w:r>
        <w:rPr>
          <w:rFonts w:hint="default" w:ascii="Times New Roman" w:hAnsi="Times New Roman" w:eastAsia="仿宋_GB2312" w:cs="Times New Roman"/>
          <w:color w:val="auto"/>
          <w:sz w:val="32"/>
          <w:highlight w:val="none"/>
          <w:u w:val="none" w:color="auto"/>
          <w:lang w:val="en-US" w:eastAsia="zh-CN"/>
        </w:rPr>
        <w:t>年</w:t>
      </w:r>
      <w:r>
        <w:rPr>
          <w:rFonts w:hint="default" w:ascii="Times New Roman" w:hAnsi="Times New Roman" w:eastAsia="仿宋_GB2312" w:cs="Times New Roman"/>
          <w:color w:val="auto"/>
          <w:sz w:val="32"/>
          <w:highlight w:val="none"/>
          <w:u w:val="none" w:color="auto"/>
        </w:rPr>
        <w:t>降低。</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9" w:name="_Toc16242"/>
      <w:r>
        <w:rPr>
          <w:rFonts w:hint="default" w:ascii="Times New Roman" w:hAnsi="Times New Roman" w:eastAsia="黑体" w:cs="Times New Roman"/>
          <w:color w:val="auto"/>
          <w:sz w:val="32"/>
          <w:szCs w:val="32"/>
          <w:highlight w:val="none"/>
          <w:u w:val="none" w:color="auto"/>
          <w:lang w:val="en-US" w:eastAsia="zh-CN"/>
        </w:rPr>
        <w:t>第二节 “十四五”面临的机遇和挑战</w:t>
      </w:r>
      <w:bookmarkEnd w:id="8"/>
      <w:bookmarkEnd w:id="9"/>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“十四五”时期，是全市</w:t>
      </w:r>
      <w:r>
        <w:rPr>
          <w:rFonts w:hint="eastAsia" w:ascii="Times New Roman" w:hAnsi="Times New Roman" w:eastAsia="仿宋_GB2312" w:cs="Times New Roman"/>
          <w:color w:val="auto"/>
          <w:kern w:val="2"/>
          <w:sz w:val="32"/>
          <w:szCs w:val="32"/>
          <w:highlight w:val="none"/>
          <w:u w:val="none" w:color="auto"/>
          <w:lang w:val="en-US" w:eastAsia="zh-CN" w:bidi="ar-SA"/>
        </w:rPr>
        <w:t>勇蹚</w:t>
      </w:r>
      <w:r>
        <w:rPr>
          <w:rFonts w:hint="default" w:ascii="Times New Roman" w:hAnsi="Times New Roman" w:eastAsia="仿宋_GB2312" w:cs="Times New Roman"/>
          <w:color w:val="auto"/>
          <w:kern w:val="2"/>
          <w:sz w:val="32"/>
          <w:szCs w:val="32"/>
          <w:highlight w:val="none"/>
          <w:u w:val="none" w:color="auto"/>
          <w:lang w:val="en-US" w:eastAsia="zh-CN" w:bidi="ar-SA"/>
        </w:rPr>
        <w:t>转型新路</w:t>
      </w:r>
      <w:r>
        <w:rPr>
          <w:rFonts w:hint="default" w:ascii="Times New Roman" w:hAnsi="Times New Roman" w:eastAsia="仿宋_GB2312" w:cs="Times New Roman"/>
          <w:color w:val="auto"/>
          <w:sz w:val="32"/>
          <w:szCs w:val="32"/>
          <w:highlight w:val="none"/>
          <w:u w:val="none" w:color="auto"/>
        </w:rPr>
        <w:t>的关键期</w:t>
      </w:r>
      <w:r>
        <w:rPr>
          <w:rFonts w:hint="default" w:ascii="Times New Roman" w:hAnsi="Times New Roman" w:eastAsia="仿宋_GB2312" w:cs="Times New Roman"/>
          <w:color w:val="auto"/>
          <w:kern w:val="2"/>
          <w:sz w:val="32"/>
          <w:szCs w:val="32"/>
          <w:highlight w:val="none"/>
          <w:u w:val="none" w:color="auto"/>
          <w:lang w:val="en-US" w:eastAsia="zh-CN" w:bidi="ar-SA"/>
        </w:rPr>
        <w:t>，也是环境质量全面改善的攻坚期，人居环境建设工作面临历史性的发展机遇，也面临重大挑战。</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rPr>
        <w:t>“十</w:t>
      </w:r>
      <w:r>
        <w:rPr>
          <w:rFonts w:hint="default" w:ascii="Times New Roman" w:hAnsi="Times New Roman" w:eastAsia="仿宋_GB2312" w:cs="Times New Roman"/>
          <w:color w:val="auto"/>
          <w:kern w:val="2"/>
          <w:sz w:val="32"/>
          <w:szCs w:val="32"/>
          <w:highlight w:val="none"/>
          <w:u w:val="none" w:color="auto"/>
          <w:lang w:val="en-US" w:eastAsia="zh-CN" w:bidi="ar-SA"/>
        </w:rPr>
        <w:t>四五”时期，建设生态宜居人居环境仍处于大有作为的重要时期。全省转型发展将站上新的历史起点，转型目标、区域格局、政策制度发生重大变化，将为我市城乡人居环境建设提供有力支撑。绿色发展理念深入贯彻，生产生活方式绿色转型加快推进，将为新时代城市发展指明前进方向。城镇化步入质量和规模双提升的关键阶段，人民群众对生态宜居环境的需求更加迫切，将为建设生态文明城市带来有利条件。环境保护政策不断优化，将为建立多元共治的环境治理体系提供制度保障和政策红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b w:val="0"/>
          <w:bCs/>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rPr>
        <w:t>“十</w:t>
      </w:r>
      <w:r>
        <w:rPr>
          <w:rFonts w:hint="default" w:ascii="Times New Roman" w:hAnsi="Times New Roman" w:eastAsia="仿宋_GB2312" w:cs="Times New Roman"/>
          <w:color w:val="auto"/>
          <w:sz w:val="32"/>
          <w:szCs w:val="32"/>
          <w:highlight w:val="none"/>
          <w:u w:val="none" w:color="auto"/>
          <w:lang w:val="en-US" w:eastAsia="zh-CN"/>
        </w:rPr>
        <w:t>四</w:t>
      </w:r>
      <w:r>
        <w:rPr>
          <w:rFonts w:hint="default" w:ascii="Times New Roman" w:hAnsi="Times New Roman" w:eastAsia="仿宋_GB2312" w:cs="Times New Roman"/>
          <w:color w:val="auto"/>
          <w:sz w:val="32"/>
          <w:szCs w:val="32"/>
          <w:highlight w:val="none"/>
          <w:u w:val="none" w:color="auto"/>
        </w:rPr>
        <w:t>五”</w:t>
      </w:r>
      <w:r>
        <w:rPr>
          <w:rFonts w:hint="default" w:ascii="Times New Roman" w:hAnsi="Times New Roman" w:eastAsia="仿宋_GB2312" w:cs="Times New Roman"/>
          <w:color w:val="auto"/>
          <w:sz w:val="32"/>
          <w:szCs w:val="32"/>
          <w:highlight w:val="none"/>
          <w:u w:val="none" w:color="auto"/>
          <w:lang w:val="en-US" w:eastAsia="zh-CN"/>
        </w:rPr>
        <w:t>，全市城乡人居环境也面临一些严峻挑战，主要是：城乡区域发展不平衡；</w:t>
      </w:r>
      <w:r>
        <w:rPr>
          <w:rFonts w:hint="default" w:ascii="Times New Roman" w:hAnsi="Times New Roman" w:eastAsia="仿宋_GB2312" w:cs="Times New Roman"/>
          <w:b w:val="0"/>
          <w:bCs/>
          <w:color w:val="auto"/>
          <w:kern w:val="2"/>
          <w:sz w:val="32"/>
          <w:szCs w:val="32"/>
          <w:highlight w:val="none"/>
          <w:u w:val="none" w:color="auto"/>
          <w:lang w:val="en-US" w:eastAsia="zh-CN" w:bidi="ar-SA"/>
        </w:rPr>
        <w:t>城镇化空间有待优化完善；</w:t>
      </w:r>
      <w:r>
        <w:rPr>
          <w:rFonts w:hint="default" w:ascii="Times New Roman" w:hAnsi="Times New Roman" w:eastAsia="仿宋_GB2312" w:cs="Times New Roman"/>
          <w:color w:val="auto"/>
          <w:sz w:val="32"/>
          <w:szCs w:val="32"/>
          <w:highlight w:val="none"/>
          <w:u w:val="none" w:color="auto"/>
          <w:lang w:val="en-US" w:eastAsia="zh-CN"/>
        </w:rPr>
        <w:t>民生保障压力依然较大；资源约束趋紧，生态环境质量尚未根本好转；生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态环保成果脆弱，</w:t>
      </w:r>
      <w:r>
        <w:rPr>
          <w:rFonts w:hint="default" w:ascii="Times New Roman" w:hAnsi="Times New Roman" w:eastAsia="仿宋_GB2312" w:cs="Times New Roman"/>
          <w:b w:val="0"/>
          <w:bCs/>
          <w:color w:val="auto"/>
          <w:kern w:val="2"/>
          <w:sz w:val="32"/>
          <w:szCs w:val="32"/>
          <w:highlight w:val="none"/>
          <w:u w:val="none" w:color="auto"/>
          <w:lang w:val="en-US" w:eastAsia="zh-CN" w:bidi="ar-SA"/>
        </w:rPr>
        <w:t>城乡环境综合治理还需持续巩固；</w:t>
      </w:r>
      <w:r>
        <w:rPr>
          <w:rFonts w:hint="default" w:ascii="Times New Roman" w:hAnsi="Times New Roman" w:eastAsia="仿宋_GB2312" w:cs="Times New Roman"/>
          <w:color w:val="auto"/>
          <w:sz w:val="32"/>
          <w:szCs w:val="32"/>
          <w:highlight w:val="none"/>
          <w:u w:val="none" w:color="auto"/>
          <w:lang w:val="en-US" w:eastAsia="zh-CN"/>
        </w:rPr>
        <w:t>市民文明素质和社会文明程度有待提高；</w:t>
      </w:r>
      <w:r>
        <w:rPr>
          <w:rFonts w:hint="default" w:ascii="Times New Roman" w:hAnsi="Times New Roman" w:eastAsia="仿宋_GB2312" w:cs="Times New Roman"/>
          <w:b w:val="0"/>
          <w:bCs/>
          <w:color w:val="auto"/>
          <w:kern w:val="2"/>
          <w:sz w:val="32"/>
          <w:szCs w:val="32"/>
          <w:highlight w:val="none"/>
          <w:u w:val="none" w:color="auto"/>
          <w:lang w:val="en-US" w:eastAsia="zh-CN" w:bidi="ar-SA"/>
        </w:rPr>
        <w:t>与生态文明建设相适应的政策法规、制度尚不健全，全面推进市域社会治理现代化的相关政策体系尚未完全建立。</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0"/>
        <w:rPr>
          <w:rFonts w:hint="default" w:ascii="Times New Roman" w:hAnsi="Times New Roman" w:eastAsia="方正小标宋简体" w:cs="Times New Roman"/>
          <w:bCs/>
          <w:caps w:val="0"/>
          <w:color w:val="auto"/>
          <w:kern w:val="2"/>
          <w:sz w:val="30"/>
          <w:szCs w:val="30"/>
          <w:highlight w:val="none"/>
          <w:u w:val="none" w:color="auto"/>
          <w:lang w:val="en-US" w:eastAsia="zh-CN" w:bidi="ar-SA"/>
        </w:rPr>
      </w:pPr>
      <w:bookmarkStart w:id="10" w:name="_Toc23739"/>
      <w:bookmarkStart w:id="11" w:name="_Toc20451"/>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第二章 坚持生态立市，建设宜居宜业宜游现代化城市</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按照高质量发展要求，系统提升生态环境质量，建设充满活力、富有特色、宜居宜业宜游的现代化城市，不断提升城市综合实力和核心竞争力，为在转型发展上率先蹚出一条新路来注入强大动能。</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12" w:name="_Toc112"/>
      <w:bookmarkStart w:id="13" w:name="_Toc1621"/>
      <w:r>
        <w:rPr>
          <w:rFonts w:hint="default" w:ascii="Times New Roman" w:hAnsi="Times New Roman" w:eastAsia="黑体" w:cs="Times New Roman"/>
          <w:color w:val="auto"/>
          <w:sz w:val="32"/>
          <w:szCs w:val="32"/>
          <w:highlight w:val="none"/>
          <w:u w:val="none" w:color="auto"/>
          <w:lang w:val="en-US" w:eastAsia="zh-CN"/>
        </w:rPr>
        <w:t>第一节 指导思想</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高举中国特色社会主义伟大旗帜，</w:t>
      </w:r>
      <w:r>
        <w:rPr>
          <w:rFonts w:hint="eastAsia" w:ascii="Times New Roman" w:hAnsi="Times New Roman" w:eastAsia="仿宋_GB2312" w:cs="Times New Roman"/>
          <w:color w:val="auto"/>
          <w:sz w:val="32"/>
          <w:szCs w:val="32"/>
          <w:highlight w:val="none"/>
          <w:u w:val="none" w:color="auto"/>
          <w:lang w:val="en-US" w:eastAsia="zh-CN"/>
        </w:rPr>
        <w:t>坚持</w:t>
      </w:r>
      <w:r>
        <w:rPr>
          <w:rFonts w:hint="default" w:ascii="Times New Roman" w:hAnsi="Times New Roman" w:eastAsia="仿宋_GB2312" w:cs="Times New Roman"/>
          <w:color w:val="auto"/>
          <w:sz w:val="32"/>
          <w:szCs w:val="32"/>
          <w:highlight w:val="none"/>
          <w:u w:val="none" w:color="auto"/>
          <w:lang w:val="en-US" w:eastAsia="zh-CN"/>
        </w:rPr>
        <w:t>以习近平新时代中国特色社会主义思想为指导，</w:t>
      </w:r>
      <w:r>
        <w:rPr>
          <w:rFonts w:hint="eastAsia" w:ascii="Times New Roman" w:hAnsi="Times New Roman" w:eastAsia="仿宋_GB2312" w:cs="Times New Roman"/>
          <w:color w:val="auto"/>
          <w:sz w:val="32"/>
          <w:szCs w:val="32"/>
          <w:highlight w:val="none"/>
          <w:u w:val="none" w:color="auto"/>
          <w:lang w:val="en-US" w:eastAsia="zh-CN"/>
        </w:rPr>
        <w:t>全面</w:t>
      </w:r>
      <w:r>
        <w:rPr>
          <w:rFonts w:hint="default" w:ascii="Times New Roman" w:hAnsi="Times New Roman" w:eastAsia="仿宋_GB2312" w:cs="Times New Roman"/>
          <w:color w:val="auto"/>
          <w:sz w:val="32"/>
          <w:szCs w:val="32"/>
          <w:highlight w:val="none"/>
          <w:u w:val="none" w:color="auto"/>
          <w:lang w:val="en-US" w:eastAsia="zh-CN"/>
        </w:rPr>
        <w:t>贯彻</w:t>
      </w:r>
      <w:r>
        <w:rPr>
          <w:rFonts w:hint="eastAsia" w:ascii="Times New Roman" w:hAnsi="Times New Roman" w:eastAsia="仿宋_GB2312" w:cs="Times New Roman"/>
          <w:color w:val="auto"/>
          <w:sz w:val="32"/>
          <w:szCs w:val="32"/>
          <w:highlight w:val="none"/>
          <w:u w:val="none" w:color="auto"/>
          <w:lang w:val="en-US" w:eastAsia="zh-CN"/>
        </w:rPr>
        <w:t>落实</w:t>
      </w:r>
      <w:r>
        <w:rPr>
          <w:rFonts w:hint="default" w:ascii="Times New Roman" w:hAnsi="Times New Roman" w:eastAsia="仿宋_GB2312" w:cs="Times New Roman"/>
          <w:color w:val="auto"/>
          <w:sz w:val="32"/>
          <w:szCs w:val="32"/>
          <w:highlight w:val="none"/>
          <w:u w:val="none" w:color="auto"/>
          <w:lang w:val="en-US" w:eastAsia="zh-CN"/>
        </w:rPr>
        <w:t>党的十九大和十九届二中、三中、四中、五中</w:t>
      </w:r>
      <w:r>
        <w:rPr>
          <w:rFonts w:hint="eastAsia" w:ascii="Times New Roman" w:hAnsi="Times New Roman" w:cs="Times New Roman"/>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六中</w:t>
      </w:r>
      <w:r>
        <w:rPr>
          <w:rFonts w:hint="default" w:ascii="Times New Roman" w:hAnsi="Times New Roman" w:eastAsia="仿宋_GB2312" w:cs="Times New Roman"/>
          <w:color w:val="auto"/>
          <w:sz w:val="32"/>
          <w:szCs w:val="32"/>
          <w:highlight w:val="none"/>
          <w:u w:val="none" w:color="auto"/>
          <w:lang w:val="en-US" w:eastAsia="zh-CN"/>
        </w:rPr>
        <w:t>全会精神，</w:t>
      </w:r>
      <w:r>
        <w:rPr>
          <w:rFonts w:hint="eastAsia" w:ascii="Times New Roman" w:hAnsi="Times New Roman" w:eastAsia="仿宋_GB2312" w:cs="Times New Roman"/>
          <w:color w:val="auto"/>
          <w:sz w:val="32"/>
          <w:szCs w:val="32"/>
          <w:highlight w:val="none"/>
          <w:u w:val="none" w:color="auto"/>
          <w:lang w:val="en-US" w:eastAsia="zh-CN"/>
        </w:rPr>
        <w:t>深入</w:t>
      </w:r>
      <w:r>
        <w:rPr>
          <w:rFonts w:hint="default" w:ascii="Times New Roman" w:hAnsi="Times New Roman" w:eastAsia="仿宋_GB2312" w:cs="Times New Roman"/>
          <w:color w:val="auto"/>
          <w:sz w:val="32"/>
          <w:szCs w:val="32"/>
          <w:highlight w:val="none"/>
          <w:u w:val="none" w:color="auto"/>
          <w:lang w:val="en-US" w:eastAsia="zh-CN"/>
        </w:rPr>
        <w:t>贯彻落实习近平总书记视察山西重要讲话重要指示</w:t>
      </w:r>
      <w:r>
        <w:rPr>
          <w:rFonts w:hint="eastAsia" w:ascii="Times New Roman" w:hAnsi="Times New Roman" w:eastAsia="仿宋_GB2312" w:cs="Times New Roman"/>
          <w:color w:val="auto"/>
          <w:sz w:val="32"/>
          <w:szCs w:val="32"/>
          <w:highlight w:val="none"/>
          <w:u w:val="none" w:color="auto"/>
          <w:lang w:val="en-US" w:eastAsia="zh-CN"/>
        </w:rPr>
        <w:t>精神</w:t>
      </w:r>
      <w:r>
        <w:rPr>
          <w:rFonts w:hint="default" w:ascii="Times New Roman" w:hAnsi="Times New Roman" w:eastAsia="仿宋_GB2312" w:cs="Times New Roman"/>
          <w:color w:val="auto"/>
          <w:sz w:val="32"/>
          <w:szCs w:val="32"/>
          <w:highlight w:val="none"/>
          <w:u w:val="none" w:color="auto"/>
          <w:lang w:val="en-US" w:eastAsia="zh-CN"/>
        </w:rPr>
        <w:t>，</w:t>
      </w:r>
      <w:r>
        <w:rPr>
          <w:rFonts w:hint="eastAsia" w:ascii="Times New Roman" w:hAnsi="Times New Roman" w:eastAsia="仿宋_GB2312" w:cs="Times New Roman"/>
          <w:color w:val="auto"/>
          <w:sz w:val="32"/>
          <w:szCs w:val="32"/>
          <w:highlight w:val="none"/>
          <w:u w:val="none" w:color="auto"/>
          <w:lang w:val="en-US" w:eastAsia="zh-CN"/>
        </w:rPr>
        <w:t>坚持“14510”的总体思路和部署，</w:t>
      </w:r>
      <w:r>
        <w:rPr>
          <w:rFonts w:hint="default" w:ascii="Times New Roman" w:hAnsi="Times New Roman" w:eastAsia="仿宋_GB2312" w:cs="Times New Roman"/>
          <w:color w:val="auto"/>
          <w:sz w:val="32"/>
          <w:szCs w:val="32"/>
          <w:highlight w:val="none"/>
          <w:u w:val="none" w:color="auto"/>
          <w:lang w:val="en-US" w:eastAsia="zh-CN"/>
        </w:rPr>
        <w:t>坚持新发展理念，实施可持续发展战略，</w:t>
      </w:r>
      <w:r>
        <w:rPr>
          <w:rFonts w:hint="default" w:ascii="Times New Roman" w:hAnsi="Times New Roman" w:eastAsia="仿宋_GB2312" w:cs="Times New Roman"/>
          <w:color w:val="auto"/>
          <w:sz w:val="32"/>
          <w:szCs w:val="32"/>
          <w:highlight w:val="none"/>
          <w:u w:val="none" w:color="auto"/>
        </w:rPr>
        <w:t>以城乡人居环境突出问题为导向，</w:t>
      </w:r>
      <w:r>
        <w:rPr>
          <w:rFonts w:hint="default" w:ascii="Times New Roman" w:hAnsi="Times New Roman" w:eastAsia="仿宋_GB2312" w:cs="Times New Roman"/>
          <w:color w:val="auto"/>
          <w:sz w:val="32"/>
          <w:szCs w:val="32"/>
          <w:highlight w:val="none"/>
          <w:u w:val="none" w:color="auto"/>
          <w:lang w:val="en-US" w:eastAsia="zh-CN"/>
        </w:rPr>
        <w:t>以增强综合承载能力为重点，优化国土空间布局，改善城乡人居环境，促进低碳循环发展，践行绿色生活方式，完善环境监管体系，加强社会治理能力，加快建设生态空间合理、资源高效利用、生态环境优良、产业绿色低碳、群众满意认可的美丽城市。</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14" w:name="_Toc18902"/>
      <w:bookmarkStart w:id="15" w:name="_Toc3935"/>
      <w:r>
        <w:rPr>
          <w:rFonts w:hint="default" w:ascii="Times New Roman" w:hAnsi="Times New Roman" w:eastAsia="黑体" w:cs="Times New Roman"/>
          <w:color w:val="auto"/>
          <w:sz w:val="32"/>
          <w:szCs w:val="32"/>
          <w:highlight w:val="none"/>
          <w:u w:val="none" w:color="auto"/>
          <w:lang w:val="en-US" w:eastAsia="zh-CN"/>
        </w:rPr>
        <w:t>第二节 基本原则</w:t>
      </w:r>
      <w:bookmarkEnd w:id="14"/>
      <w:bookmarkEnd w:id="15"/>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系统推进，重点突破。</w:t>
      </w:r>
      <w:r>
        <w:rPr>
          <w:rFonts w:hint="default" w:ascii="Times New Roman" w:hAnsi="Times New Roman" w:eastAsia="仿宋_GB2312" w:cs="Times New Roman"/>
          <w:color w:val="auto"/>
          <w:kern w:val="2"/>
          <w:sz w:val="32"/>
          <w:szCs w:val="32"/>
          <w:highlight w:val="none"/>
          <w:u w:val="none" w:color="auto"/>
          <w:lang w:val="en-US" w:eastAsia="zh-CN" w:bidi="ar-SA"/>
        </w:rPr>
        <w:t>遵循生态系统内在规律，整体性推进多污染源综合治理、多污染物共同削减、多环境要素协同改善。着力解决对经济社会可持续发展制约性强、群众反映强烈的突出环境问题，实现城乡环境质量的全面提升和均衡改善。</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生态优先，绿色发展。</w:t>
      </w:r>
      <w:r>
        <w:rPr>
          <w:rFonts w:hint="default" w:ascii="Times New Roman" w:hAnsi="Times New Roman" w:eastAsia="仿宋_GB2312" w:cs="Times New Roman"/>
          <w:color w:val="auto"/>
          <w:kern w:val="2"/>
          <w:sz w:val="32"/>
          <w:szCs w:val="32"/>
          <w:highlight w:val="none"/>
          <w:u w:val="none" w:color="auto"/>
          <w:lang w:val="en-US" w:eastAsia="zh-CN" w:bidi="ar-SA"/>
        </w:rPr>
        <w:t>践行“绿水青山就是金山银山”的理念，推进绿色低碳循环发展，从源头减少环境污染和生态破坏，推动生产方式、生活方式和消费模式绿色转型，实现有质量的稳定增长和可持续的全面发展。</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深化改革，创新驱动。</w:t>
      </w:r>
      <w:r>
        <w:rPr>
          <w:rFonts w:hint="default" w:ascii="Times New Roman" w:hAnsi="Times New Roman" w:eastAsia="仿宋_GB2312" w:cs="Times New Roman"/>
          <w:color w:val="auto"/>
          <w:kern w:val="2"/>
          <w:sz w:val="32"/>
          <w:szCs w:val="32"/>
          <w:highlight w:val="none"/>
          <w:u w:val="none" w:color="auto"/>
          <w:lang w:val="en-US" w:eastAsia="zh-CN" w:bidi="ar-SA"/>
        </w:rPr>
        <w:t>深化环保体制改革和机制创新，建立产权清晰、多元参与、激励约束并重、系统完整的生态文明制度体系。强化科技创新引领作用，积极推广先进适用科技成果，为生态文明建设注入强大动力。</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jc w:val="left"/>
        <w:textAlignment w:val="auto"/>
        <w:rPr>
          <w:rFonts w:hint="default" w:ascii="Times New Roman" w:hAnsi="Times New Roman" w:eastAsia="宋体" w:cs="Times New Roman"/>
          <w:i w:val="0"/>
          <w:caps w:val="0"/>
          <w:color w:val="auto"/>
          <w:spacing w:val="0"/>
          <w:sz w:val="24"/>
          <w:szCs w:val="24"/>
          <w:highlight w:val="none"/>
          <w:u w:val="none" w:color="auto"/>
          <w:shd w:val="clear" w:color="auto" w:fill="FFFFFF"/>
          <w:lang w:val="en-US" w:eastAsia="zh-CN"/>
        </w:rPr>
      </w:pPr>
      <w:r>
        <w:rPr>
          <w:rFonts w:hint="default" w:ascii="Times New Roman" w:hAnsi="Times New Roman" w:eastAsia="仿宋_GB2312" w:cs="Times New Roman"/>
          <w:b/>
          <w:bCs/>
          <w:color w:val="auto"/>
          <w:kern w:val="2"/>
          <w:sz w:val="32"/>
          <w:szCs w:val="32"/>
          <w:highlight w:val="none"/>
          <w:u w:val="none" w:color="auto"/>
          <w:lang w:val="en-US" w:eastAsia="zh-CN" w:bidi="ar-SA"/>
        </w:rPr>
        <w:t>社会共治、合力推进。</w:t>
      </w:r>
      <w:r>
        <w:rPr>
          <w:rFonts w:hint="default" w:ascii="Times New Roman" w:hAnsi="Times New Roman" w:eastAsia="仿宋_GB2312" w:cs="Times New Roman"/>
          <w:color w:val="auto"/>
          <w:kern w:val="2"/>
          <w:sz w:val="32"/>
          <w:szCs w:val="32"/>
          <w:highlight w:val="none"/>
          <w:u w:val="none" w:color="auto"/>
          <w:lang w:val="en-US" w:eastAsia="zh-CN" w:bidi="ar-SA"/>
        </w:rPr>
        <w:t>加强政府和企事业单位环境信息公开，以公开推动监督，以监督推动落实。推进市域治理体系和治理能力现代化，引导社会公众有序参与决策、治理和监督，加快形成政府、企业、公众合力推进的长效机制。</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16" w:name="_Toc1040"/>
      <w:bookmarkStart w:id="17" w:name="_Toc31301"/>
      <w:r>
        <w:rPr>
          <w:rFonts w:hint="default" w:ascii="Times New Roman" w:hAnsi="Times New Roman" w:eastAsia="黑体" w:cs="Times New Roman"/>
          <w:color w:val="auto"/>
          <w:sz w:val="32"/>
          <w:szCs w:val="32"/>
          <w:highlight w:val="none"/>
          <w:u w:val="none" w:color="auto"/>
          <w:lang w:val="en-US" w:eastAsia="zh-CN"/>
        </w:rPr>
        <w:t>第三节 主要目标</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到2025年，市域中心城市承载力明显增强，中心城区人口集中度显著提升，生态环境质量明显改善，绿色发展水平不断提高，人民群众获得感幸福感安全感显著增强。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国土空间开发保护新格局加快形成。</w:t>
      </w:r>
      <w:r>
        <w:rPr>
          <w:rFonts w:hint="default" w:ascii="Times New Roman" w:hAnsi="Times New Roman" w:eastAsia="仿宋_GB2312" w:cs="Times New Roman"/>
          <w:color w:val="auto"/>
          <w:kern w:val="2"/>
          <w:sz w:val="32"/>
          <w:szCs w:val="32"/>
          <w:highlight w:val="none"/>
          <w:u w:val="none" w:color="auto"/>
          <w:lang w:val="en-US" w:eastAsia="zh-CN" w:bidi="ar-SA"/>
        </w:rPr>
        <w:t>国土空间开发得到有效管控，城市开发边界逐渐明晰，集约紧凑高效的城镇化和产业空间格局基本形成。资源利用效率明显提高，单位GDP能耗消耗降低、单位GDP二氧化碳排放降低完成省下达目标</w:t>
      </w:r>
      <w:r>
        <w:rPr>
          <w:rFonts w:hint="eastAsia" w:ascii="Times New Roman" w:hAnsi="Times New Roman" w:eastAsia="仿宋_GB2312" w:cs="Times New Roman"/>
          <w:color w:val="auto"/>
          <w:kern w:val="2"/>
          <w:sz w:val="32"/>
          <w:szCs w:val="32"/>
          <w:highlight w:val="none"/>
          <w:u w:val="none" w:color="auto"/>
          <w:lang w:val="en-US" w:eastAsia="zh-CN" w:bidi="ar-SA"/>
        </w:rPr>
        <w:t>，山清水秀、绿色发展的新典范加快建设</w:t>
      </w:r>
      <w:r>
        <w:rPr>
          <w:rFonts w:hint="default" w:ascii="Times New Roman" w:hAnsi="Times New Roman" w:eastAsia="仿宋_GB2312" w:cs="Times New Roman"/>
          <w:color w:val="auto"/>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城乡人居环境全面改善。</w:t>
      </w:r>
      <w:r>
        <w:rPr>
          <w:rFonts w:hint="default" w:ascii="Times New Roman" w:hAnsi="Times New Roman" w:eastAsia="仿宋_GB2312" w:cs="Times New Roman"/>
          <w:color w:val="auto"/>
          <w:kern w:val="2"/>
          <w:sz w:val="32"/>
          <w:szCs w:val="32"/>
          <w:highlight w:val="none"/>
          <w:u w:val="none" w:color="auto"/>
          <w:lang w:val="en-US" w:eastAsia="zh-CN" w:bidi="ar-SA"/>
        </w:rPr>
        <w:t>基本公共服务均等化水平明显提高，统筹城乡的基本公共服务实施标准进一步完善。以公园建设为主体的自然保护地体系加快形成，建成区人均公园绿地面积达到12平方米/人，农村生活垃圾、污水处理、厕所卫生治理取得新成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绿色</w:t>
      </w:r>
      <w:r>
        <w:rPr>
          <w:rFonts w:hint="eastAsia" w:ascii="Times New Roman" w:hAnsi="Times New Roman" w:eastAsia="仿宋_GB2312" w:cs="Times New Roman"/>
          <w:b/>
          <w:bCs/>
          <w:color w:val="auto"/>
          <w:kern w:val="2"/>
          <w:sz w:val="32"/>
          <w:szCs w:val="32"/>
          <w:highlight w:val="none"/>
          <w:u w:val="none" w:color="auto"/>
          <w:lang w:val="en-US" w:eastAsia="zh-CN" w:bidi="ar-SA"/>
        </w:rPr>
        <w:t>生产生活</w:t>
      </w:r>
      <w:r>
        <w:rPr>
          <w:rFonts w:hint="default" w:ascii="Times New Roman" w:hAnsi="Times New Roman" w:eastAsia="仿宋_GB2312" w:cs="Times New Roman"/>
          <w:b/>
          <w:bCs/>
          <w:color w:val="auto"/>
          <w:kern w:val="2"/>
          <w:sz w:val="32"/>
          <w:szCs w:val="32"/>
          <w:highlight w:val="none"/>
          <w:u w:val="none" w:color="auto"/>
          <w:lang w:val="en-US" w:eastAsia="zh-CN" w:bidi="ar-SA"/>
        </w:rPr>
        <w:t>方式加快形成。</w:t>
      </w:r>
      <w:r>
        <w:rPr>
          <w:rFonts w:hint="default" w:ascii="Times New Roman" w:hAnsi="Times New Roman" w:eastAsia="仿宋_GB2312" w:cs="Times New Roman"/>
          <w:color w:val="auto"/>
          <w:kern w:val="2"/>
          <w:sz w:val="32"/>
          <w:szCs w:val="32"/>
          <w:highlight w:val="none"/>
          <w:u w:val="none" w:color="auto"/>
          <w:lang w:val="en-US" w:eastAsia="zh-CN" w:bidi="ar-SA"/>
        </w:rPr>
        <w:t>生态文明理念融入社会生活的全过程，绿色生活的基本保障体系不断完善，基本形成绿色消费、节能办公和低碳出行的新风尚。产业绿色转型取得新突破，生态经济占经济总量不断提高。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bCs/>
          <w:color w:val="auto"/>
          <w:kern w:val="2"/>
          <w:sz w:val="32"/>
          <w:szCs w:val="32"/>
          <w:highlight w:val="none"/>
          <w:u w:val="none" w:color="auto"/>
          <w:lang w:val="en-US" w:eastAsia="zh-CN" w:bidi="ar-SA"/>
        </w:rPr>
        <w:t>社会治理现代化能力显著增强。</w:t>
      </w:r>
      <w:r>
        <w:rPr>
          <w:rFonts w:hint="default" w:ascii="Times New Roman" w:hAnsi="Times New Roman" w:eastAsia="仿宋_GB2312" w:cs="Times New Roman"/>
          <w:color w:val="auto"/>
          <w:kern w:val="2"/>
          <w:sz w:val="32"/>
          <w:szCs w:val="32"/>
          <w:highlight w:val="none"/>
          <w:u w:val="none" w:color="auto"/>
          <w:lang w:val="en-US" w:eastAsia="zh-CN" w:bidi="ar-SA"/>
        </w:rPr>
        <w:t>数字政府建设取得突破性进展，“平安阳泉”建设不断深化，群众安全感和满意度逐年上升。生态文明制度体系全面形成，美丽阳泉全方位呈现。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到2035年，主体功能区布局全面形成，经济、人口布局向均衡方向发展，城乡结构和空间布局明显优化。经济发展质量和效益显著提高，资源利用率更加高效，产业结构优化成效显著。生态环境质量明显提升，主要污染物排放总量持续减少，环境风险得到有效控制，全市生态系统稳定性明显增强。基本公共服务、基础设施通达程度达到全省先进水平，基本实现治理体系和治理能力现代化。</w:t>
      </w:r>
    </w:p>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default" w:ascii="Times New Roman" w:hAnsi="Times New Roman" w:eastAsia="宋体" w:cs="Times New Roman"/>
          <w:b/>
          <w:bCs/>
          <w:color w:val="auto"/>
          <w:kern w:val="2"/>
          <w:sz w:val="28"/>
          <w:szCs w:val="28"/>
          <w:highlight w:val="none"/>
          <w:u w:val="none" w:color="auto"/>
          <w:lang w:val="en-US" w:eastAsia="zh-CN" w:bidi="ar-SA"/>
        </w:rPr>
      </w:pPr>
      <w:r>
        <w:rPr>
          <w:rFonts w:hint="default" w:ascii="Times New Roman" w:hAnsi="Times New Roman" w:cs="Times New Roman"/>
          <w:b/>
          <w:bCs/>
          <w:color w:val="auto"/>
          <w:kern w:val="2"/>
          <w:sz w:val="28"/>
          <w:szCs w:val="28"/>
          <w:highlight w:val="none"/>
          <w:u w:val="none" w:color="auto"/>
          <w:lang w:val="en-US" w:eastAsia="zh-CN" w:bidi="ar-SA"/>
        </w:rPr>
        <w:t>专栏</w:t>
      </w:r>
      <w:r>
        <w:rPr>
          <w:rFonts w:hint="default" w:ascii="Times New Roman" w:hAnsi="Times New Roman" w:eastAsia="宋体" w:cs="Times New Roman"/>
          <w:b/>
          <w:bCs/>
          <w:color w:val="auto"/>
          <w:kern w:val="2"/>
          <w:sz w:val="28"/>
          <w:szCs w:val="28"/>
          <w:highlight w:val="none"/>
          <w:u w:val="none" w:color="auto"/>
          <w:lang w:val="en-US" w:eastAsia="zh-CN" w:bidi="ar-SA"/>
        </w:rPr>
        <w:t>1-1 “十四五”</w:t>
      </w:r>
      <w:r>
        <w:rPr>
          <w:rFonts w:hint="default" w:ascii="Times New Roman" w:hAnsi="Times New Roman" w:cs="Times New Roman"/>
          <w:b/>
          <w:bCs/>
          <w:color w:val="auto"/>
          <w:kern w:val="2"/>
          <w:sz w:val="28"/>
          <w:szCs w:val="28"/>
          <w:highlight w:val="none"/>
          <w:u w:val="none" w:color="auto"/>
          <w:lang w:val="en-US" w:eastAsia="zh-CN" w:bidi="ar-SA"/>
        </w:rPr>
        <w:t>阳泉市</w:t>
      </w:r>
      <w:r>
        <w:rPr>
          <w:rFonts w:hint="default" w:ascii="Times New Roman" w:hAnsi="Times New Roman" w:eastAsia="宋体" w:cs="Times New Roman"/>
          <w:b/>
          <w:bCs/>
          <w:color w:val="auto"/>
          <w:kern w:val="2"/>
          <w:sz w:val="28"/>
          <w:szCs w:val="28"/>
          <w:highlight w:val="none"/>
          <w:u w:val="none" w:color="auto"/>
          <w:lang w:val="en-US" w:eastAsia="zh-CN" w:bidi="ar-SA"/>
        </w:rPr>
        <w:t>城乡人居环境建设指标体系</w:t>
      </w:r>
    </w:p>
    <w:tbl>
      <w:tblPr>
        <w:tblStyle w:val="21"/>
        <w:tblW w:w="8339" w:type="dxa"/>
        <w:jc w:val="center"/>
        <w:shd w:val="clear" w:color="auto" w:fill="auto"/>
        <w:tblLayout w:type="autofit"/>
        <w:tblCellMar>
          <w:top w:w="0" w:type="dxa"/>
          <w:left w:w="108" w:type="dxa"/>
          <w:bottom w:w="0" w:type="dxa"/>
          <w:right w:w="108" w:type="dxa"/>
        </w:tblCellMar>
      </w:tblPr>
      <w:tblGrid>
        <w:gridCol w:w="496"/>
        <w:gridCol w:w="3881"/>
        <w:gridCol w:w="975"/>
        <w:gridCol w:w="960"/>
        <w:gridCol w:w="1114"/>
        <w:gridCol w:w="913"/>
      </w:tblGrid>
      <w:tr>
        <w:tblPrEx>
          <w:tblCellMar>
            <w:top w:w="0" w:type="dxa"/>
            <w:left w:w="108" w:type="dxa"/>
            <w:bottom w:w="0" w:type="dxa"/>
            <w:right w:w="108" w:type="dxa"/>
          </w:tblCellMar>
        </w:tblPrEx>
        <w:trPr>
          <w:trHeight w:val="23" w:hRule="atLeast"/>
          <w:tblHeader/>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序号</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指标名称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2020年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2025年</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年均增长/累计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属性</w:t>
            </w:r>
          </w:p>
        </w:tc>
      </w:tr>
      <w:tr>
        <w:tblPrEx>
          <w:tblCellMar>
            <w:top w:w="0" w:type="dxa"/>
            <w:left w:w="108" w:type="dxa"/>
            <w:bottom w:w="0" w:type="dxa"/>
            <w:right w:w="108" w:type="dxa"/>
          </w:tblCellMar>
        </w:tblPrEx>
        <w:trPr>
          <w:trHeight w:val="23" w:hRule="atLeast"/>
          <w:jc w:val="center"/>
        </w:trPr>
        <w:tc>
          <w:tcPr>
            <w:tcW w:w="83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一、人口集聚度</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eastAsia" w:ascii="Times New Roman" w:hAnsi="Times New Roman" w:eastAsia="宋体" w:cs="Times New Roman"/>
                <w:i w:val="0"/>
                <w:iCs w:val="0"/>
                <w:color w:val="auto"/>
                <w:kern w:val="0"/>
                <w:sz w:val="22"/>
                <w:szCs w:val="22"/>
                <w:highlight w:val="none"/>
                <w:u w:val="none" w:color="auto"/>
                <w:lang w:val="en-US" w:eastAsia="zh-CN"/>
              </w:rPr>
              <w:t>1</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市区常住人口占全市人口比重（%）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rPr>
              <w:t>52.6</w:t>
            </w:r>
            <w:r>
              <w:rPr>
                <w:rFonts w:hint="default" w:ascii="Times New Roman" w:hAnsi="Times New Roman" w:eastAsia="宋体" w:cs="Times New Roman"/>
                <w:i w:val="0"/>
                <w:iCs w:val="0"/>
                <w:color w:val="auto"/>
                <w:sz w:val="22"/>
                <w:szCs w:val="22"/>
                <w:highlight w:val="none"/>
                <w:u w:val="none" w:color="auto"/>
                <w:vertAlign w:val="superscript"/>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rPr>
              <w:t>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83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二、基本公共服务</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highlight w:val="none"/>
                <w:u w:val="none" w:color="auto"/>
                <w:lang w:val="en-US" w:eastAsia="zh-CN"/>
              </w:rPr>
            </w:pPr>
            <w:r>
              <w:rPr>
                <w:rFonts w:hint="eastAsia" w:ascii="Times New Roman" w:hAnsi="Times New Roman" w:eastAsia="宋体" w:cs="Times New Roman"/>
                <w:i w:val="0"/>
                <w:iCs w:val="0"/>
                <w:color w:val="auto"/>
                <w:sz w:val="22"/>
                <w:szCs w:val="22"/>
                <w:highlight w:val="none"/>
                <w:u w:val="none" w:color="auto"/>
                <w:lang w:val="en-US" w:eastAsia="zh-CN"/>
              </w:rPr>
              <w:t>2</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城镇常住人口保障性住房覆盖率（%）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6.96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83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三、城市人居环境</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eastAsia" w:ascii="Times New Roman" w:hAnsi="Times New Roman" w:eastAsia="宋体" w:cs="Times New Roman"/>
                <w:i w:val="0"/>
                <w:iCs w:val="0"/>
                <w:color w:val="auto"/>
                <w:sz w:val="22"/>
                <w:szCs w:val="22"/>
                <w:highlight w:val="none"/>
                <w:u w:val="none" w:color="auto"/>
                <w:lang w:val="en-US" w:eastAsia="zh-CN"/>
              </w:rPr>
              <w:t>3</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人均城镇建设用地面积（平方米）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rPr>
              <w:t>按照</w:t>
            </w:r>
            <w:r>
              <w:rPr>
                <w:rFonts w:hint="default" w:ascii="Times New Roman" w:hAnsi="Times New Roman" w:eastAsia="宋体" w:cs="Times New Roman"/>
                <w:i w:val="0"/>
                <w:iCs w:val="0"/>
                <w:color w:val="auto"/>
                <w:sz w:val="22"/>
                <w:szCs w:val="22"/>
                <w:highlight w:val="none"/>
                <w:u w:val="none" w:color="auto"/>
                <w:lang w:val="en-US" w:eastAsia="zh-CN"/>
              </w:rPr>
              <w:t>省</w:t>
            </w:r>
            <w:r>
              <w:rPr>
                <w:rFonts w:hint="default" w:ascii="Times New Roman" w:hAnsi="Times New Roman" w:eastAsia="宋体" w:cs="Times New Roman"/>
                <w:i w:val="0"/>
                <w:iCs w:val="0"/>
                <w:color w:val="auto"/>
                <w:sz w:val="22"/>
                <w:szCs w:val="22"/>
                <w:highlight w:val="none"/>
                <w:u w:val="none" w:color="auto"/>
              </w:rPr>
              <w:t>下达目标任务执行</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约束性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highlight w:val="none"/>
                <w:u w:val="none" w:color="auto"/>
                <w:lang w:val="en-US" w:eastAsia="zh-CN"/>
              </w:rPr>
            </w:pPr>
            <w:r>
              <w:rPr>
                <w:rFonts w:hint="eastAsia" w:ascii="Times New Roman" w:hAnsi="Times New Roman" w:eastAsia="宋体" w:cs="Times New Roman"/>
                <w:i w:val="0"/>
                <w:iCs w:val="0"/>
                <w:color w:val="auto"/>
                <w:sz w:val="22"/>
                <w:szCs w:val="22"/>
                <w:highlight w:val="none"/>
                <w:u w:val="none" w:color="auto"/>
                <w:lang w:val="en-US" w:eastAsia="zh-CN"/>
              </w:rPr>
              <w:t>4</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海绵城市建设比例（%）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eastAsia" w:ascii="Times New Roman" w:hAnsi="Times New Roman" w:eastAsia="宋体" w:cs="Times New Roman"/>
                <w:i w:val="0"/>
                <w:iCs w:val="0"/>
                <w:color w:val="auto"/>
                <w:sz w:val="22"/>
                <w:szCs w:val="22"/>
                <w:highlight w:val="none"/>
                <w:u w:val="none" w:color="auto"/>
                <w:lang w:val="en-US" w:eastAsia="zh-CN"/>
              </w:rPr>
              <w:t>5</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绿色社区建设比例（%）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eastAsia" w:ascii="Times New Roman" w:hAnsi="Times New Roman" w:eastAsia="宋体" w:cs="Times New Roman"/>
                <w:i w:val="0"/>
                <w:iCs w:val="0"/>
                <w:color w:val="auto"/>
                <w:sz w:val="22"/>
                <w:szCs w:val="22"/>
                <w:highlight w:val="none"/>
                <w:u w:val="none" w:color="auto"/>
                <w:lang w:val="en-US" w:eastAsia="zh-CN"/>
              </w:rPr>
              <w:t>60左右</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9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6</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建成区人均公园绿地面积（平方米/人）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eastAsia" w:ascii="Times New Roman" w:hAnsi="Times New Roman" w:eastAsia="宋体" w:cs="Times New Roman"/>
                <w:i w:val="0"/>
                <w:iCs w:val="0"/>
                <w:color w:val="auto"/>
                <w:sz w:val="22"/>
                <w:szCs w:val="22"/>
                <w:highlight w:val="none"/>
                <w:u w:val="none" w:color="auto"/>
                <w:lang w:val="en-US" w:eastAsia="zh-CN"/>
              </w:rPr>
              <w:t>11.15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default" w:ascii="Times New Roman" w:hAnsi="Times New Roman" w:eastAsia="宋体" w:cs="Times New Roman"/>
                <w:i w:val="0"/>
                <w:iCs w:val="0"/>
                <w:color w:val="auto"/>
                <w:sz w:val="22"/>
                <w:szCs w:val="22"/>
                <w:highlight w:val="none"/>
                <w:u w:val="none" w:color="auto"/>
                <w:lang w:val="en-US" w:eastAsia="zh-CN"/>
              </w:rPr>
              <w:t>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lang w:val="en-US"/>
              </w:rPr>
            </w:pPr>
            <w:r>
              <w:rPr>
                <w:rFonts w:hint="eastAsia" w:ascii="Times New Roman" w:hAnsi="Times New Roman" w:eastAsia="宋体" w:cs="Times New Roman"/>
                <w:i w:val="0"/>
                <w:iCs w:val="0"/>
                <w:color w:val="auto"/>
                <w:kern w:val="0"/>
                <w:sz w:val="22"/>
                <w:szCs w:val="22"/>
                <w:highlight w:val="none"/>
                <w:u w:val="none" w:color="auto"/>
                <w:lang w:val="en-US" w:eastAsia="zh-CN"/>
              </w:rPr>
              <w:t>7</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城市公共供水普及率（%）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100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eastAsia" w:ascii="Times New Roman" w:hAnsi="Times New Roman" w:eastAsia="宋体" w:cs="Times New Roman"/>
                <w:i w:val="0"/>
                <w:iCs w:val="0"/>
                <w:color w:val="auto"/>
                <w:kern w:val="0"/>
                <w:sz w:val="22"/>
                <w:szCs w:val="22"/>
                <w:highlight w:val="none"/>
                <w:u w:val="none" w:color="auto"/>
                <w:lang w:val="en-US" w:eastAsia="zh-CN"/>
              </w:rPr>
              <w:t>8</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城市生活污水集中收集率（%）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9</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城市生活垃圾回收利用率（%）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eastAsia" w:ascii="Times New Roman" w:hAnsi="Times New Roman" w:eastAsia="宋体" w:cs="Times New Roman"/>
                <w:i w:val="0"/>
                <w:iCs w:val="0"/>
                <w:color w:val="auto"/>
                <w:sz w:val="22"/>
                <w:szCs w:val="22"/>
                <w:highlight w:val="none"/>
                <w:u w:val="none" w:color="auto"/>
                <w:lang w:val="en-US" w:eastAsia="zh-CN"/>
              </w:rPr>
              <w:t>35以上</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lang w:val="en-US"/>
              </w:rPr>
            </w:pPr>
            <w:r>
              <w:rPr>
                <w:rFonts w:hint="default" w:ascii="Times New Roman" w:hAnsi="Times New Roman" w:eastAsia="宋体" w:cs="Times New Roman"/>
                <w:i w:val="0"/>
                <w:iCs w:val="0"/>
                <w:color w:val="auto"/>
                <w:kern w:val="0"/>
                <w:sz w:val="22"/>
                <w:szCs w:val="22"/>
                <w:highlight w:val="none"/>
                <w:u w:val="none" w:color="auto"/>
                <w:lang w:val="en-US" w:eastAsia="zh-CN"/>
              </w:rPr>
              <w:t>10</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城市建成区严重影响生产生活秩序的易涝积水点消除比例（%）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100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83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color="auto"/>
              </w:rPr>
            </w:pPr>
            <w:r>
              <w:rPr>
                <w:rFonts w:hint="default" w:ascii="Times New Roman" w:hAnsi="Times New Roman" w:eastAsia="宋体" w:cs="Times New Roman"/>
                <w:b/>
                <w:bCs/>
                <w:i w:val="0"/>
                <w:iCs w:val="0"/>
                <w:color w:val="auto"/>
                <w:kern w:val="0"/>
                <w:sz w:val="22"/>
                <w:szCs w:val="22"/>
                <w:highlight w:val="none"/>
                <w:u w:val="none" w:color="auto"/>
                <w:lang w:val="en-US" w:eastAsia="zh-CN"/>
              </w:rPr>
              <w:t>四、农村人居环境</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default" w:ascii="Times New Roman" w:hAnsi="Times New Roman" w:eastAsia="宋体" w:cs="Times New Roman"/>
                <w:i w:val="0"/>
                <w:iCs w:val="0"/>
                <w:color w:val="auto"/>
                <w:sz w:val="22"/>
                <w:szCs w:val="22"/>
                <w:highlight w:val="none"/>
                <w:u w:val="none" w:color="auto"/>
                <w:lang w:val="en-US" w:eastAsia="zh-CN"/>
              </w:rPr>
              <w:t>1</w:t>
            </w:r>
            <w:r>
              <w:rPr>
                <w:rFonts w:hint="eastAsia" w:ascii="Times New Roman" w:hAnsi="Times New Roman" w:eastAsia="宋体" w:cs="Times New Roman"/>
                <w:i w:val="0"/>
                <w:iCs w:val="0"/>
                <w:color w:val="auto"/>
                <w:sz w:val="22"/>
                <w:szCs w:val="22"/>
                <w:highlight w:val="none"/>
                <w:u w:val="none" w:color="auto"/>
                <w:lang w:val="en-US" w:eastAsia="zh-CN"/>
              </w:rPr>
              <w:t>1</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农村生活垃圾收运覆盖</w:t>
            </w:r>
            <w:r>
              <w:rPr>
                <w:rFonts w:hint="eastAsia" w:ascii="Times New Roman" w:hAnsi="Times New Roman" w:eastAsia="宋体" w:cs="Times New Roman"/>
                <w:i w:val="0"/>
                <w:iCs w:val="0"/>
                <w:color w:val="auto"/>
                <w:kern w:val="0"/>
                <w:sz w:val="22"/>
                <w:szCs w:val="22"/>
                <w:highlight w:val="none"/>
                <w:u w:val="none" w:color="auto"/>
                <w:lang w:val="en-US" w:eastAsia="zh-CN"/>
              </w:rPr>
              <w:t>行政</w:t>
            </w:r>
            <w:r>
              <w:rPr>
                <w:rFonts w:hint="default" w:ascii="Times New Roman" w:hAnsi="Times New Roman" w:eastAsia="宋体" w:cs="Times New Roman"/>
                <w:i w:val="0"/>
                <w:iCs w:val="0"/>
                <w:color w:val="auto"/>
                <w:kern w:val="0"/>
                <w:sz w:val="22"/>
                <w:szCs w:val="22"/>
                <w:highlight w:val="none"/>
                <w:u w:val="none" w:color="auto"/>
                <w:lang w:val="en-US" w:eastAsia="zh-CN"/>
              </w:rPr>
              <w:t>村比例（%）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eastAsia" w:ascii="Times New Roman" w:hAnsi="Times New Roman" w:eastAsia="宋体" w:cs="Times New Roman"/>
                <w:i w:val="0"/>
                <w:iCs w:val="0"/>
                <w:color w:val="auto"/>
                <w:sz w:val="22"/>
                <w:szCs w:val="22"/>
                <w:highlight w:val="none"/>
                <w:u w:val="none" w:color="auto"/>
                <w:lang w:val="en-US" w:eastAsia="zh-CN"/>
              </w:rPr>
              <w:t>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sz w:val="22"/>
                <w:szCs w:val="22"/>
                <w:highlight w:val="none"/>
                <w:u w:val="none" w:color="auto"/>
                <w:lang w:val="en-US" w:eastAsia="zh-CN"/>
              </w:rPr>
              <w:t>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1</w:t>
            </w:r>
            <w:r>
              <w:rPr>
                <w:rFonts w:hint="eastAsia" w:ascii="Times New Roman" w:hAnsi="Times New Roman" w:eastAsia="宋体" w:cs="Times New Roman"/>
                <w:i w:val="0"/>
                <w:iCs w:val="0"/>
                <w:color w:val="auto"/>
                <w:kern w:val="0"/>
                <w:sz w:val="22"/>
                <w:szCs w:val="22"/>
                <w:highlight w:val="none"/>
                <w:u w:val="none" w:color="auto"/>
                <w:lang w:val="en-US" w:eastAsia="zh-CN"/>
              </w:rPr>
              <w:t>2</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农村生活污水治理率（%）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default" w:ascii="Times New Roman" w:hAnsi="Times New Roman" w:eastAsia="宋体" w:cs="Times New Roman"/>
                <w:i w:val="0"/>
                <w:iCs w:val="0"/>
                <w:color w:val="auto"/>
                <w:sz w:val="22"/>
                <w:szCs w:val="22"/>
                <w:highlight w:val="none"/>
                <w:u w:val="none" w:color="auto"/>
                <w:lang w:val="en-US" w:eastAsia="zh-CN"/>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eastAsia" w:ascii="Times New Roman" w:hAnsi="Times New Roman" w:cs="Times New Roman"/>
                <w:i w:val="0"/>
                <w:iCs w:val="0"/>
                <w:color w:val="auto"/>
                <w:sz w:val="22"/>
                <w:szCs w:val="22"/>
                <w:highlight w:val="none"/>
                <w:u w:val="none" w:color="auto"/>
                <w:lang w:val="en-US" w:eastAsia="zh-CN"/>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1</w:t>
            </w:r>
            <w:r>
              <w:rPr>
                <w:rFonts w:hint="eastAsia" w:ascii="Times New Roman" w:hAnsi="Times New Roman" w:eastAsia="宋体" w:cs="Times New Roman"/>
                <w:i w:val="0"/>
                <w:iCs w:val="0"/>
                <w:color w:val="auto"/>
                <w:kern w:val="0"/>
                <w:sz w:val="22"/>
                <w:szCs w:val="22"/>
                <w:highlight w:val="none"/>
                <w:u w:val="none" w:color="auto"/>
                <w:lang w:val="en-US" w:eastAsia="zh-CN"/>
              </w:rPr>
              <w:t>3</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农村卫生厕所普及率（%）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default" w:ascii="Times New Roman" w:hAnsi="Times New Roman" w:eastAsia="宋体" w:cs="Times New Roman"/>
                <w:i w:val="0"/>
                <w:iCs w:val="0"/>
                <w:color w:val="auto"/>
                <w:sz w:val="22"/>
                <w:szCs w:val="22"/>
                <w:highlight w:val="none"/>
                <w:u w:val="none" w:color="auto"/>
                <w:lang w:val="en-US" w:eastAsia="zh-CN"/>
              </w:rPr>
              <w:t>3</w:t>
            </w:r>
            <w:r>
              <w:rPr>
                <w:rFonts w:hint="eastAsia" w:ascii="Times New Roman" w:hAnsi="Times New Roman" w:cs="Times New Roman"/>
                <w:i w:val="0"/>
                <w:iCs w:val="0"/>
                <w:color w:val="auto"/>
                <w:sz w:val="22"/>
                <w:szCs w:val="22"/>
                <w:highlight w:val="none"/>
                <w:u w:val="none" w:color="auto"/>
                <w:lang w:val="en-US" w:eastAsia="zh-CN"/>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highlight w:val="none"/>
                <w:u w:val="none" w:color="auto"/>
                <w:lang w:val="en-US" w:eastAsia="zh-CN"/>
              </w:rPr>
            </w:pPr>
            <w:r>
              <w:rPr>
                <w:rFonts w:hint="default" w:ascii="Times New Roman" w:hAnsi="Times New Roman" w:eastAsia="宋体" w:cs="Times New Roman"/>
                <w:i w:val="0"/>
                <w:iCs w:val="0"/>
                <w:color w:val="auto"/>
                <w:sz w:val="22"/>
                <w:szCs w:val="22"/>
                <w:highlight w:val="none"/>
                <w:u w:val="none" w:color="auto"/>
                <w:lang w:val="en-US" w:eastAsia="zh-CN"/>
              </w:rPr>
              <w:t>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color="auto"/>
              </w:rPr>
            </w:pPr>
            <w:r>
              <w:rPr>
                <w:rFonts w:hint="default" w:ascii="Times New Roman" w:hAnsi="Times New Roman" w:eastAsia="宋体" w:cs="Times New Roman"/>
                <w:i w:val="0"/>
                <w:iCs w:val="0"/>
                <w:color w:val="auto"/>
                <w:kern w:val="0"/>
                <w:sz w:val="22"/>
                <w:szCs w:val="22"/>
                <w:highlight w:val="none"/>
                <w:u w:val="none" w:color="auto"/>
                <w:lang w:val="en-US" w:eastAsia="zh-CN"/>
              </w:rPr>
              <w:t>预期性</w:t>
            </w:r>
          </w:p>
        </w:tc>
      </w:tr>
      <w:tr>
        <w:tblPrEx>
          <w:tblCellMar>
            <w:top w:w="0" w:type="dxa"/>
            <w:left w:w="108" w:type="dxa"/>
            <w:bottom w:w="0" w:type="dxa"/>
            <w:right w:w="108" w:type="dxa"/>
          </w:tblCellMar>
        </w:tblPrEx>
        <w:trPr>
          <w:trHeight w:val="23" w:hRule="atLeast"/>
          <w:jc w:val="center"/>
        </w:trPr>
        <w:tc>
          <w:tcPr>
            <w:tcW w:w="83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highlight w:val="none"/>
                <w:u w:val="none" w:color="auto"/>
                <w:lang w:val="en-US" w:eastAsia="zh-CN"/>
              </w:rPr>
            </w:pPr>
            <w:bookmarkStart w:id="18" w:name="_Toc1155"/>
            <w:r>
              <w:rPr>
                <w:rFonts w:hint="default" w:ascii="Times New Roman" w:hAnsi="Times New Roman" w:eastAsia="宋体" w:cs="Times New Roman"/>
                <w:i w:val="0"/>
                <w:iCs w:val="0"/>
                <w:color w:val="auto"/>
                <w:kern w:val="0"/>
                <w:sz w:val="22"/>
                <w:szCs w:val="22"/>
                <w:highlight w:val="none"/>
                <w:u w:val="none" w:color="auto"/>
                <w:lang w:val="en-US" w:eastAsia="zh-CN"/>
              </w:rPr>
              <w:t>注：*为2019年数据。</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jc w:val="center"/>
        <w:textAlignment w:val="auto"/>
        <w:outlineLvl w:val="0"/>
        <w:rPr>
          <w:rFonts w:hint="default" w:ascii="Times New Roman" w:hAnsi="Times New Roman" w:eastAsia="方正小标宋简体" w:cs="Times New Roman"/>
          <w:bCs/>
          <w:caps w:val="0"/>
          <w:color w:val="auto"/>
          <w:kern w:val="2"/>
          <w:sz w:val="30"/>
          <w:szCs w:val="30"/>
          <w:highlight w:val="yellow"/>
          <w:u w:val="none" w:color="auto"/>
          <w:lang w:val="en-US" w:eastAsia="zh-CN" w:bidi="ar-SA"/>
        </w:rPr>
      </w:pPr>
      <w:bookmarkStart w:id="19" w:name="_Toc30656"/>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第三章 推进城乡深度融合，</w:t>
      </w:r>
      <w:r>
        <w:rPr>
          <w:rFonts w:hint="eastAsia" w:ascii="Times New Roman" w:hAnsi="Times New Roman" w:eastAsia="方正小标宋简体" w:cs="Times New Roman"/>
          <w:bCs/>
          <w:caps w:val="0"/>
          <w:color w:val="auto"/>
          <w:kern w:val="2"/>
          <w:sz w:val="30"/>
          <w:szCs w:val="30"/>
          <w:highlight w:val="none"/>
          <w:u w:val="none" w:color="auto"/>
          <w:lang w:val="en-US" w:eastAsia="zh-CN" w:bidi="ar-SA"/>
        </w:rPr>
        <w:t>打造共同富裕市域样板</w:t>
      </w:r>
      <w:bookmarkEnd w:id="18"/>
      <w:bookmarkEnd w:id="19"/>
    </w:p>
    <w:p>
      <w:pPr>
        <w:keepNext w:val="0"/>
        <w:keepLines w:val="0"/>
        <w:pageBreakBefore w:val="0"/>
        <w:widowControl w:val="0"/>
        <w:kinsoku/>
        <w:wordWrap/>
        <w:overflowPunct w:val="0"/>
        <w:topLinePunct/>
        <w:autoSpaceDE/>
        <w:autoSpaceDN/>
        <w:bidi w:val="0"/>
        <w:adjustRightInd/>
        <w:snapToGrid/>
        <w:spacing w:before="0" w:line="360" w:lineRule="auto"/>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SA"/>
        </w:rPr>
      </w:pPr>
      <w:bookmarkStart w:id="20" w:name="_Toc21201"/>
      <w:bookmarkStart w:id="21" w:name="_Toc3800"/>
      <w:bookmarkStart w:id="22" w:name="_Toc529198382"/>
      <w:bookmarkStart w:id="23" w:name="_Toc29749"/>
      <w:r>
        <w:rPr>
          <w:rFonts w:hint="eastAsia" w:ascii="Times New Roman" w:hAnsi="Times New Roman" w:eastAsia="仿宋_GB2312" w:cs="Times New Roman"/>
          <w:b w:val="0"/>
          <w:bCs w:val="0"/>
          <w:color w:val="auto"/>
          <w:kern w:val="2"/>
          <w:sz w:val="32"/>
          <w:szCs w:val="32"/>
          <w:highlight w:val="none"/>
          <w:u w:val="none" w:color="auto"/>
          <w:lang w:val="en-US" w:eastAsia="zh-CN" w:bidi="ar-SA"/>
        </w:rPr>
        <w:t>加快</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推进以县城为重要载体的城镇化建设，</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持续</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完善城市综合功能，</w:t>
      </w:r>
      <w:bookmarkEnd w:id="20"/>
      <w:bookmarkEnd w:id="21"/>
      <w:r>
        <w:rPr>
          <w:rFonts w:hint="default" w:ascii="Times New Roman" w:hAnsi="Times New Roman" w:eastAsia="仿宋_GB2312" w:cs="Times New Roman"/>
          <w:b w:val="0"/>
          <w:bCs w:val="0"/>
          <w:color w:val="auto"/>
          <w:kern w:val="2"/>
          <w:sz w:val="32"/>
          <w:szCs w:val="32"/>
          <w:highlight w:val="none"/>
          <w:u w:val="none" w:color="auto"/>
          <w:lang w:val="en-US" w:eastAsia="zh-CN" w:bidi="ar-SA"/>
        </w:rPr>
        <w:t>着力打造“一轴、一环、两中心、多节点”的城市空间布局，实现乡村振兴和城乡融合发展互促互进。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w:hAnsi="Times New Roman" w:eastAsia="仿宋_GB2312" w:cs="Times New Roman"/>
          <w:color w:val="auto"/>
          <w:kern w:val="2"/>
          <w:sz w:val="32"/>
          <w:szCs w:val="32"/>
          <w:highlight w:val="none"/>
          <w:u w:val="none" w:color="auto"/>
          <w:lang w:val="en-US" w:eastAsia="zh-CN" w:bidi="ar-SA"/>
        </w:rPr>
      </w:pPr>
      <w:bookmarkStart w:id="24" w:name="_Toc17794"/>
      <w:bookmarkStart w:id="25" w:name="_Toc25556"/>
      <w:bookmarkStart w:id="26" w:name="_Toc20556"/>
      <w:bookmarkStart w:id="27" w:name="_Toc19221"/>
      <w:r>
        <w:rPr>
          <w:rFonts w:hint="default" w:ascii="Times New Roman" w:hAnsi="Times New Roman" w:eastAsia="黑体" w:cs="Times New Roman"/>
          <w:b w:val="0"/>
          <w:bCs w:val="0"/>
          <w:color w:val="auto"/>
          <w:kern w:val="44"/>
          <w:sz w:val="32"/>
          <w:szCs w:val="32"/>
          <w:highlight w:val="none"/>
          <w:u w:val="none" w:color="auto"/>
          <w:lang w:val="en-US" w:eastAsia="zh-CN" w:bidi="ar-SA"/>
        </w:rPr>
        <w:t xml:space="preserve">第一节 </w:t>
      </w:r>
      <w:bookmarkEnd w:id="24"/>
      <w:r>
        <w:rPr>
          <w:rFonts w:hint="default" w:ascii="Times New Roman" w:hAnsi="Times New Roman" w:eastAsia="黑体" w:cs="Times New Roman"/>
          <w:b w:val="0"/>
          <w:bCs w:val="0"/>
          <w:color w:val="auto"/>
          <w:kern w:val="44"/>
          <w:sz w:val="32"/>
          <w:szCs w:val="32"/>
          <w:highlight w:val="none"/>
          <w:u w:val="none" w:color="auto"/>
          <w:lang w:val="en-US" w:eastAsia="zh-CN" w:bidi="ar-SA"/>
        </w:rPr>
        <w:t>优化城市空间布局</w:t>
      </w:r>
      <w:bookmarkEnd w:id="25"/>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坚持扩空间、提品质、增能级，</w:t>
      </w:r>
      <w:r>
        <w:rPr>
          <w:rFonts w:hint="default" w:ascii="Times New Roman" w:hAnsi="Times New Roman" w:eastAsia="仿宋_GB2312" w:cs="Times New Roman"/>
          <w:color w:val="auto"/>
          <w:kern w:val="2"/>
          <w:sz w:val="32"/>
          <w:szCs w:val="32"/>
          <w:highlight w:val="none"/>
          <w:u w:val="none" w:color="auto"/>
          <w:lang w:val="en-US" w:eastAsia="zh-CN" w:bidi="ar-SA"/>
        </w:rPr>
        <w:t>全面优化城市空间布局，</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着力补齐中心城区功能短板，加快生态新城起步区建设，</w:t>
      </w:r>
      <w:r>
        <w:rPr>
          <w:rFonts w:hint="default" w:ascii="Times New Roman" w:hAnsi="Times New Roman" w:eastAsia="仿宋_GB2312" w:cs="Times New Roman"/>
          <w:color w:val="auto"/>
          <w:sz w:val="32"/>
          <w:szCs w:val="32"/>
          <w:highlight w:val="none"/>
          <w:u w:val="none" w:color="auto"/>
        </w:rPr>
        <w:t>大幅提升城市承载力</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推动全市</w:t>
      </w:r>
      <w:r>
        <w:rPr>
          <w:rFonts w:hint="default" w:ascii="Times New Roman" w:hAnsi="Times New Roman" w:eastAsia="仿宋_GB2312" w:cs="Times New Roman"/>
          <w:color w:val="auto"/>
          <w:sz w:val="32"/>
          <w:szCs w:val="32"/>
          <w:highlight w:val="none"/>
          <w:u w:val="none" w:color="auto"/>
          <w:lang w:eastAsia="zh-CN"/>
        </w:rPr>
        <w:t>高水平崛起。</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bookmarkStart w:id="28" w:name="_Toc19694"/>
      <w:r>
        <w:rPr>
          <w:rFonts w:hint="default" w:ascii="Times New Roman" w:hAnsi="Times New Roman" w:eastAsia="楷体" w:cs="Times New Roman"/>
          <w:b/>
          <w:bCs/>
          <w:color w:val="auto"/>
          <w:kern w:val="2"/>
          <w:sz w:val="32"/>
          <w:szCs w:val="32"/>
          <w:highlight w:val="none"/>
          <w:u w:val="none" w:color="auto"/>
          <w:lang w:val="en-US" w:eastAsia="zh-CN" w:bidi="ar-SA"/>
        </w:rPr>
        <w:t>一、优化提升中心城区功能</w:t>
      </w:r>
      <w:bookmarkEnd w:id="28"/>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坚持“精明增长、精致打造、精细管理”，进一步拉大城市发展框架，重点发展</w:t>
      </w:r>
      <w:r>
        <w:rPr>
          <w:rFonts w:hint="default" w:ascii="Times New Roman" w:hAnsi="Times New Roman" w:eastAsia="仿宋_GB2312" w:cs="Times New Roman"/>
          <w:color w:val="auto"/>
          <w:sz w:val="32"/>
          <w:szCs w:val="32"/>
          <w:highlight w:val="none"/>
          <w:u w:val="none" w:color="auto"/>
        </w:rPr>
        <w:t>政治、经济、</w:t>
      </w:r>
      <w:r>
        <w:rPr>
          <w:rFonts w:hint="default" w:ascii="Times New Roman" w:hAnsi="Times New Roman" w:eastAsia="仿宋_GB2312" w:cs="Times New Roman"/>
          <w:color w:val="auto"/>
          <w:sz w:val="32"/>
          <w:szCs w:val="32"/>
          <w:highlight w:val="none"/>
          <w:u w:val="none" w:color="auto"/>
          <w:lang w:val="en-US" w:eastAsia="zh-CN"/>
        </w:rPr>
        <w:t>金融、</w:t>
      </w:r>
      <w:r>
        <w:rPr>
          <w:rFonts w:hint="default" w:ascii="Times New Roman" w:hAnsi="Times New Roman" w:eastAsia="仿宋_GB2312" w:cs="Times New Roman"/>
          <w:color w:val="auto"/>
          <w:sz w:val="32"/>
          <w:szCs w:val="32"/>
          <w:highlight w:val="none"/>
          <w:u w:val="none" w:color="auto"/>
        </w:rPr>
        <w:t>文化</w:t>
      </w:r>
      <w:r>
        <w:rPr>
          <w:rFonts w:hint="default" w:ascii="Times New Roman" w:hAnsi="Times New Roman" w:eastAsia="仿宋_GB2312" w:cs="Times New Roman"/>
          <w:color w:val="auto"/>
          <w:sz w:val="32"/>
          <w:szCs w:val="32"/>
          <w:highlight w:val="none"/>
          <w:u w:val="none" w:color="auto"/>
          <w:lang w:val="en-US" w:eastAsia="zh-CN"/>
        </w:rPr>
        <w:t>等</w:t>
      </w:r>
      <w:r>
        <w:rPr>
          <w:rFonts w:hint="default" w:ascii="Times New Roman" w:hAnsi="Times New Roman" w:eastAsia="仿宋_GB2312" w:cs="Times New Roman"/>
          <w:color w:val="auto"/>
          <w:kern w:val="2"/>
          <w:sz w:val="32"/>
          <w:szCs w:val="32"/>
          <w:highlight w:val="none"/>
          <w:u w:val="none" w:color="auto"/>
          <w:lang w:val="en-US" w:eastAsia="zh-CN" w:bidi="ar-SA"/>
        </w:rPr>
        <w:t>区域性功能，打造晋东区域中心和</w:t>
      </w:r>
      <w:r>
        <w:rPr>
          <w:rFonts w:hint="eastAsia" w:ascii="Times New Roman" w:hAnsi="Times New Roman" w:eastAsia="仿宋_GB2312" w:cs="Times New Roman"/>
          <w:color w:val="auto"/>
          <w:kern w:val="2"/>
          <w:sz w:val="32"/>
          <w:szCs w:val="32"/>
          <w:highlight w:val="none"/>
          <w:u w:val="none" w:color="auto"/>
          <w:lang w:val="en-US" w:eastAsia="zh-CN" w:bidi="ar-SA"/>
        </w:rPr>
        <w:t>融入</w:t>
      </w:r>
      <w:r>
        <w:rPr>
          <w:rFonts w:hint="default" w:ascii="Times New Roman" w:hAnsi="Times New Roman" w:eastAsia="仿宋_GB2312" w:cs="Times New Roman"/>
          <w:color w:val="auto"/>
          <w:kern w:val="2"/>
          <w:sz w:val="32"/>
          <w:szCs w:val="32"/>
          <w:highlight w:val="none"/>
          <w:u w:val="none" w:color="auto"/>
          <w:lang w:val="en-US" w:eastAsia="zh-CN" w:bidi="ar-SA"/>
        </w:rPr>
        <w:t>京津冀</w:t>
      </w:r>
      <w:r>
        <w:rPr>
          <w:rFonts w:hint="eastAsia" w:ascii="Times New Roman" w:hAnsi="Times New Roman" w:eastAsia="仿宋_GB2312" w:cs="Times New Roman"/>
          <w:color w:val="auto"/>
          <w:kern w:val="2"/>
          <w:sz w:val="32"/>
          <w:szCs w:val="32"/>
          <w:highlight w:val="none"/>
          <w:u w:val="none" w:color="auto"/>
          <w:lang w:val="en-US" w:eastAsia="zh-CN" w:bidi="ar-SA"/>
        </w:rPr>
        <w:t>协同发展</w:t>
      </w:r>
      <w:r>
        <w:rPr>
          <w:rFonts w:hint="default" w:ascii="Times New Roman" w:hAnsi="Times New Roman" w:eastAsia="仿宋_GB2312" w:cs="Times New Roman"/>
          <w:color w:val="auto"/>
          <w:kern w:val="2"/>
          <w:sz w:val="32"/>
          <w:szCs w:val="32"/>
          <w:highlight w:val="none"/>
          <w:u w:val="none" w:color="auto"/>
          <w:lang w:val="en-US" w:eastAsia="zh-CN" w:bidi="ar-SA"/>
        </w:rPr>
        <w:t>的</w:t>
      </w:r>
      <w:r>
        <w:rPr>
          <w:rFonts w:hint="eastAsia" w:ascii="Times New Roman" w:hAnsi="Times New Roman" w:eastAsia="仿宋_GB2312" w:cs="Times New Roman"/>
          <w:color w:val="auto"/>
          <w:kern w:val="2"/>
          <w:sz w:val="32"/>
          <w:szCs w:val="32"/>
          <w:highlight w:val="none"/>
          <w:u w:val="none" w:color="auto"/>
          <w:lang w:val="en-US" w:eastAsia="zh-CN" w:bidi="ar-SA"/>
        </w:rPr>
        <w:t>重要</w:t>
      </w:r>
      <w:r>
        <w:rPr>
          <w:rFonts w:hint="default" w:ascii="Times New Roman" w:hAnsi="Times New Roman" w:eastAsia="仿宋_GB2312" w:cs="Times New Roman"/>
          <w:color w:val="auto"/>
          <w:kern w:val="2"/>
          <w:sz w:val="32"/>
          <w:szCs w:val="32"/>
          <w:highlight w:val="none"/>
          <w:u w:val="none" w:color="auto"/>
          <w:lang w:val="en-US" w:eastAsia="zh-CN" w:bidi="ar-SA"/>
        </w:rPr>
        <w:t>节点。</w:t>
      </w:r>
      <w:r>
        <w:rPr>
          <w:rFonts w:hint="eastAsia" w:ascii="Times New Roman" w:hAnsi="Times New Roman" w:eastAsia="仿宋_GB2312" w:cs="Times New Roman"/>
          <w:color w:val="auto"/>
          <w:kern w:val="2"/>
          <w:sz w:val="32"/>
          <w:szCs w:val="32"/>
          <w:highlight w:val="none"/>
          <w:u w:val="none" w:color="auto"/>
          <w:lang w:val="en-US" w:eastAsia="zh-CN" w:bidi="ar-SA"/>
        </w:rPr>
        <w:t>加强对老建筑、老街区的修缮保护利用，</w:t>
      </w:r>
      <w:r>
        <w:rPr>
          <w:rFonts w:hint="default" w:ascii="Times New Roman" w:hAnsi="Times New Roman" w:eastAsia="仿宋_GB2312" w:cs="Times New Roman"/>
          <w:color w:val="auto"/>
          <w:kern w:val="2"/>
          <w:sz w:val="32"/>
          <w:szCs w:val="32"/>
          <w:highlight w:val="none"/>
          <w:u w:val="none" w:color="auto"/>
          <w:lang w:val="en-US" w:eastAsia="zh-CN" w:bidi="ar-SA"/>
        </w:rPr>
        <w:t>集中打造一批</w:t>
      </w:r>
      <w:r>
        <w:rPr>
          <w:rFonts w:hint="eastAsia" w:ascii="Times New Roman" w:hAnsi="Times New Roman" w:eastAsia="仿宋_GB2312" w:cs="Times New Roman"/>
          <w:color w:val="auto"/>
          <w:kern w:val="2"/>
          <w:sz w:val="32"/>
          <w:szCs w:val="32"/>
          <w:highlight w:val="none"/>
          <w:u w:val="none" w:color="auto"/>
          <w:lang w:val="en-US" w:eastAsia="zh-CN" w:bidi="ar-SA"/>
        </w:rPr>
        <w:t>彰显阳泉</w:t>
      </w:r>
      <w:r>
        <w:rPr>
          <w:rFonts w:hint="default" w:ascii="Times New Roman" w:hAnsi="Times New Roman" w:eastAsia="仿宋_GB2312" w:cs="Times New Roman"/>
          <w:color w:val="auto"/>
          <w:kern w:val="2"/>
          <w:sz w:val="32"/>
          <w:szCs w:val="32"/>
          <w:highlight w:val="none"/>
          <w:u w:val="none" w:color="auto"/>
          <w:lang w:val="en-US" w:eastAsia="zh-CN" w:bidi="ar-SA"/>
        </w:rPr>
        <w:t>特色</w:t>
      </w:r>
      <w:r>
        <w:rPr>
          <w:rFonts w:hint="eastAsia" w:ascii="Times New Roman" w:hAnsi="Times New Roman" w:eastAsia="仿宋_GB2312" w:cs="Times New Roman"/>
          <w:color w:val="auto"/>
          <w:kern w:val="2"/>
          <w:sz w:val="32"/>
          <w:szCs w:val="32"/>
          <w:highlight w:val="none"/>
          <w:u w:val="none" w:color="auto"/>
          <w:lang w:val="en-US" w:eastAsia="zh-CN" w:bidi="ar-SA"/>
        </w:rPr>
        <w:t>的</w:t>
      </w:r>
      <w:r>
        <w:rPr>
          <w:rFonts w:hint="default" w:ascii="Times New Roman" w:hAnsi="Times New Roman" w:eastAsia="仿宋_GB2312" w:cs="Times New Roman"/>
          <w:color w:val="auto"/>
          <w:kern w:val="2"/>
          <w:sz w:val="32"/>
          <w:szCs w:val="32"/>
          <w:highlight w:val="none"/>
          <w:u w:val="none" w:color="auto"/>
          <w:lang w:val="en-US" w:eastAsia="zh-CN" w:bidi="ar-SA"/>
        </w:rPr>
        <w:t>建筑、文创工程，</w:t>
      </w:r>
      <w:r>
        <w:rPr>
          <w:rFonts w:hint="eastAsia" w:ascii="Times New Roman" w:hAnsi="Times New Roman" w:eastAsia="仿宋_GB2312" w:cs="Times New Roman"/>
          <w:color w:val="auto"/>
          <w:kern w:val="2"/>
          <w:sz w:val="32"/>
          <w:szCs w:val="32"/>
          <w:highlight w:val="none"/>
          <w:u w:val="none" w:color="auto"/>
          <w:lang w:val="en-US" w:eastAsia="zh-CN" w:bidi="ar-SA"/>
        </w:rPr>
        <w:t>留住阳泉记忆</w:t>
      </w:r>
      <w:r>
        <w:rPr>
          <w:rFonts w:hint="default" w:ascii="Times New Roman" w:hAnsi="Times New Roman" w:eastAsia="仿宋_GB2312" w:cs="Times New Roman"/>
          <w:color w:val="auto"/>
          <w:kern w:val="2"/>
          <w:sz w:val="32"/>
          <w:szCs w:val="32"/>
          <w:highlight w:val="none"/>
          <w:u w:val="none" w:color="auto"/>
          <w:lang w:val="en-US" w:eastAsia="zh-CN" w:bidi="ar-SA"/>
        </w:rPr>
        <w:t>。因地制宜增设休闲服务、公共服务设施，全面提升城市中心城区的功能品质和环境风貌。持续推进“两下两进两拆”“三延伸两提升”，推动中心城市向内涵式提升转变。坚持</w:t>
      </w:r>
      <w:r>
        <w:rPr>
          <w:rFonts w:hint="default" w:ascii="Times New Roman" w:hAnsi="Times New Roman" w:eastAsia="仿宋_GB2312" w:cs="Times New Roman"/>
          <w:color w:val="auto"/>
          <w:kern w:val="2"/>
          <w:sz w:val="32"/>
          <w:szCs w:val="32"/>
          <w:highlight w:val="none"/>
          <w:u w:val="none" w:color="auto"/>
          <w:lang w:val="zh-CN" w:eastAsia="zh-CN" w:bidi="ar-SA"/>
        </w:rPr>
        <w:t>“渐进式、微更新”，</w:t>
      </w:r>
      <w:r>
        <w:rPr>
          <w:rFonts w:hint="eastAsia" w:ascii="Times New Roman" w:hAnsi="Times New Roman" w:eastAsia="仿宋_GB2312" w:cs="Times New Roman"/>
          <w:color w:val="auto"/>
          <w:kern w:val="2"/>
          <w:sz w:val="32"/>
          <w:szCs w:val="32"/>
          <w:highlight w:val="none"/>
          <w:u w:val="none" w:color="auto"/>
          <w:lang w:val="en-US" w:eastAsia="zh-CN" w:bidi="ar-SA"/>
        </w:rPr>
        <w:t>加快</w:t>
      </w:r>
      <w:r>
        <w:rPr>
          <w:rFonts w:hint="default" w:ascii="Times New Roman" w:hAnsi="Times New Roman" w:eastAsia="仿宋_GB2312" w:cs="Times New Roman"/>
          <w:color w:val="auto"/>
          <w:kern w:val="2"/>
          <w:sz w:val="32"/>
          <w:szCs w:val="32"/>
          <w:highlight w:val="none"/>
          <w:u w:val="none" w:color="auto"/>
          <w:lang w:val="zh-CN" w:eastAsia="zh-CN" w:bidi="ar-SA"/>
        </w:rPr>
        <w:t>治理</w:t>
      </w:r>
      <w:r>
        <w:rPr>
          <w:rFonts w:hint="eastAsia" w:ascii="Times New Roman" w:hAnsi="Times New Roman" w:eastAsia="仿宋_GB2312" w:cs="Times New Roman"/>
          <w:color w:val="auto"/>
          <w:kern w:val="2"/>
          <w:sz w:val="32"/>
          <w:szCs w:val="32"/>
          <w:highlight w:val="none"/>
          <w:u w:val="none" w:color="auto"/>
          <w:lang w:val="en-US" w:eastAsia="zh-CN" w:bidi="ar-SA"/>
        </w:rPr>
        <w:t>城市内涝、</w:t>
      </w:r>
      <w:r>
        <w:rPr>
          <w:rFonts w:hint="default" w:ascii="Times New Roman" w:hAnsi="Times New Roman" w:eastAsia="仿宋_GB2312" w:cs="Times New Roman"/>
          <w:color w:val="auto"/>
          <w:kern w:val="2"/>
          <w:sz w:val="32"/>
          <w:szCs w:val="32"/>
          <w:highlight w:val="none"/>
          <w:u w:val="none" w:color="auto"/>
          <w:lang w:val="zh-CN" w:eastAsia="zh-CN" w:bidi="ar-SA"/>
        </w:rPr>
        <w:t>“停车难”和交通拥堵等</w:t>
      </w:r>
      <w:r>
        <w:rPr>
          <w:rFonts w:hint="eastAsia" w:ascii="Times New Roman" w:hAnsi="Times New Roman" w:eastAsia="仿宋_GB2312" w:cs="Times New Roman"/>
          <w:color w:val="auto"/>
          <w:kern w:val="2"/>
          <w:sz w:val="32"/>
          <w:szCs w:val="32"/>
          <w:highlight w:val="none"/>
          <w:u w:val="none" w:color="auto"/>
          <w:lang w:val="en-US" w:eastAsia="zh-CN" w:bidi="ar-SA"/>
        </w:rPr>
        <w:t>顽疾</w:t>
      </w:r>
      <w:r>
        <w:rPr>
          <w:rFonts w:hint="default" w:ascii="Times New Roman" w:hAnsi="Times New Roman" w:eastAsia="仿宋_GB2312" w:cs="Times New Roman"/>
          <w:color w:val="auto"/>
          <w:kern w:val="2"/>
          <w:sz w:val="32"/>
          <w:szCs w:val="32"/>
          <w:highlight w:val="none"/>
          <w:u w:val="none" w:color="auto"/>
          <w:lang w:val="zh-CN"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推进平定组团向北拓展，尽快与中心城区实现同城化。2025年，中心城区人口达到1</w:t>
      </w:r>
      <w:r>
        <w:rPr>
          <w:rFonts w:hint="eastAsia" w:ascii="Times New Roman" w:hAnsi="Times New Roman" w:eastAsia="仿宋_GB2312" w:cs="Times New Roman"/>
          <w:color w:val="auto"/>
          <w:kern w:val="2"/>
          <w:sz w:val="32"/>
          <w:szCs w:val="32"/>
          <w:highlight w:val="none"/>
          <w:u w:val="none" w:color="auto"/>
          <w:lang w:val="en-US" w:eastAsia="zh-CN" w:bidi="ar-SA"/>
        </w:rPr>
        <w:t>85</w:t>
      </w:r>
      <w:r>
        <w:rPr>
          <w:rFonts w:hint="default" w:ascii="Times New Roman" w:hAnsi="Times New Roman" w:eastAsia="仿宋_GB2312" w:cs="Times New Roman"/>
          <w:color w:val="auto"/>
          <w:kern w:val="2"/>
          <w:sz w:val="32"/>
          <w:szCs w:val="32"/>
          <w:highlight w:val="none"/>
          <w:u w:val="none" w:color="auto"/>
          <w:lang w:val="en-US" w:eastAsia="zh-CN" w:bidi="ar-SA"/>
        </w:rPr>
        <w:t>万（包含平定县城）。</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jc w:val="left"/>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bookmarkStart w:id="29" w:name="_Toc23549"/>
      <w:r>
        <w:rPr>
          <w:rFonts w:hint="default" w:ascii="Times New Roman" w:hAnsi="Times New Roman" w:eastAsia="楷体" w:cs="Times New Roman"/>
          <w:b/>
          <w:bCs/>
          <w:color w:val="auto"/>
          <w:kern w:val="2"/>
          <w:sz w:val="32"/>
          <w:szCs w:val="32"/>
          <w:highlight w:val="none"/>
          <w:u w:val="none" w:color="auto"/>
          <w:lang w:val="en-US" w:eastAsia="zh-CN" w:bidi="ar-SA"/>
        </w:rPr>
        <w:t>二、高标准建设北部生态新城</w:t>
      </w:r>
      <w:bookmarkEnd w:id="29"/>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坚持高水平规划、高品质建设、高效能开发，加快承接旧城及周边县区人口和产业，推进中心城区向北拓展，打造绿色生态、疏朗有序、和谐互融的宜居新区。开展城市设计与特色塑造，加快推进中心医院、文化艺术中心、体育中心及中央森林公园等项目，建设一批具有阳泉特色的地标性场馆建筑，大力发展现代商务、医疗康养等业态。强化老城组团、新城组团、盂县组团协同发展，突出高铁枢纽经济示范，打造具有地区服务中心职能的综合性新城。</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jc w:val="left"/>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bookmarkStart w:id="30" w:name="_Toc14473"/>
      <w:r>
        <w:rPr>
          <w:rFonts w:hint="default" w:ascii="Times New Roman" w:hAnsi="Times New Roman" w:eastAsia="楷体" w:cs="Times New Roman"/>
          <w:b/>
          <w:bCs/>
          <w:color w:val="auto"/>
          <w:kern w:val="2"/>
          <w:sz w:val="32"/>
          <w:szCs w:val="32"/>
          <w:highlight w:val="none"/>
          <w:u w:val="none" w:color="auto"/>
          <w:lang w:val="en-US" w:eastAsia="zh-CN" w:bidi="ar-SA"/>
        </w:rPr>
        <w:t>三、加快推进新型城镇化建设</w:t>
      </w:r>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rPr>
        <w:t>推进以人为核心的新型城镇化</w:t>
      </w:r>
      <w:r>
        <w:rPr>
          <w:rFonts w:hint="default" w:ascii="Times New Roman" w:hAnsi="Times New Roman" w:eastAsia="仿宋_GB2312" w:cs="Times New Roman"/>
          <w:color w:val="auto"/>
          <w:sz w:val="32"/>
          <w:szCs w:val="32"/>
          <w:highlight w:val="none"/>
          <w:u w:val="none" w:color="auto"/>
        </w:rPr>
        <w:t>，强化南北城镇主轴串联“两心”的功能定位，</w:t>
      </w:r>
      <w:r>
        <w:rPr>
          <w:rFonts w:hint="default" w:ascii="Times New Roman" w:hAnsi="Times New Roman" w:eastAsia="仿宋_GB2312" w:cs="Times New Roman"/>
          <w:color w:val="auto"/>
          <w:sz w:val="32"/>
          <w:szCs w:val="32"/>
          <w:highlight w:val="none"/>
          <w:u w:val="none" w:color="auto"/>
          <w:lang w:val="en-US" w:eastAsia="zh-CN"/>
        </w:rPr>
        <w:t>实施城市更新行动，构建</w:t>
      </w:r>
      <w:r>
        <w:rPr>
          <w:rFonts w:hint="default" w:ascii="Times New Roman" w:hAnsi="Times New Roman" w:eastAsia="仿宋_GB2312" w:cs="Times New Roman"/>
          <w:color w:val="auto"/>
          <w:sz w:val="32"/>
          <w:szCs w:val="32"/>
          <w:highlight w:val="none"/>
          <w:u w:val="none" w:color="auto"/>
        </w:rPr>
        <w:t>由中心轴向东西两端辐射的城镇功能。</w:t>
      </w:r>
      <w:r>
        <w:rPr>
          <w:rFonts w:hint="default" w:ascii="Times New Roman" w:hAnsi="Times New Roman" w:eastAsia="仿宋_GB2312" w:cs="Times New Roman"/>
          <w:color w:val="auto"/>
          <w:sz w:val="32"/>
          <w:szCs w:val="32"/>
          <w:highlight w:val="none"/>
          <w:u w:val="none" w:color="auto"/>
          <w:lang w:val="en-US" w:eastAsia="zh-CN"/>
        </w:rPr>
        <w:t>完善“中心城区—县城、重点镇、特色小镇—中心村、美丽乡村”协调发展的城乡空间结构。</w:t>
      </w:r>
      <w:r>
        <w:rPr>
          <w:rFonts w:hint="default" w:ascii="Times New Roman" w:hAnsi="Times New Roman" w:eastAsia="仿宋_GB2312" w:cs="Times New Roman"/>
          <w:color w:val="auto"/>
          <w:kern w:val="2"/>
          <w:sz w:val="32"/>
          <w:szCs w:val="32"/>
          <w:highlight w:val="none"/>
          <w:u w:val="none" w:color="auto"/>
          <w:lang w:val="en-US" w:eastAsia="zh-CN" w:bidi="ar-SA"/>
        </w:rPr>
        <w:t>以存量空间优化调整和提高土地利用效率为抓手，加快城镇低效用地的再开发利用。持续推进县域垃圾中转站、污水处理设施建设，提升环卫、园林绿化水平，打造“小、精、绿”县城。全力推进盂县垃圾治理示范县、国家卫生县城建设，积极开展平定县国家卫生县城和省级文明县城创建工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jc w:val="center"/>
              <w:textAlignment w:val="auto"/>
              <w:rPr>
                <w:rFonts w:hint="default" w:ascii="Times New Roman" w:hAnsi="Times New Roman" w:eastAsia="宋体" w:cs="Times New Roman"/>
                <w:color w:val="auto"/>
                <w:kern w:val="2"/>
                <w:sz w:val="32"/>
                <w:szCs w:val="32"/>
                <w:highlight w:val="none"/>
                <w:u w:val="none" w:color="auto"/>
                <w:vertAlign w:val="baseline"/>
                <w:lang w:val="en-US" w:eastAsia="zh-CN" w:bidi="ar-SA"/>
              </w:rPr>
            </w:pPr>
            <w:r>
              <w:rPr>
                <w:rFonts w:hint="default" w:ascii="Times New Roman" w:hAnsi="Times New Roman" w:eastAsia="宋体" w:cs="Times New Roman"/>
                <w:b/>
                <w:bCs/>
                <w:color w:val="auto"/>
                <w:kern w:val="0"/>
                <w:sz w:val="28"/>
                <w:szCs w:val="28"/>
                <w:highlight w:val="none"/>
                <w:u w:val="none" w:color="auto"/>
              </w:rPr>
              <w:t>专栏</w:t>
            </w:r>
            <w:r>
              <w:rPr>
                <w:rFonts w:hint="default" w:ascii="Times New Roman" w:hAnsi="Times New Roman" w:eastAsia="宋体" w:cs="Times New Roman"/>
                <w:b/>
                <w:bCs/>
                <w:color w:val="auto"/>
                <w:kern w:val="0"/>
                <w:sz w:val="28"/>
                <w:szCs w:val="28"/>
                <w:highlight w:val="none"/>
                <w:u w:val="none" w:color="auto"/>
                <w:lang w:val="en-US" w:eastAsia="zh-CN"/>
              </w:rPr>
              <w:t>3-1</w:t>
            </w:r>
            <w:r>
              <w:rPr>
                <w:rFonts w:hint="default" w:ascii="Times New Roman" w:hAnsi="Times New Roman" w:eastAsia="宋体" w:cs="Times New Roman"/>
                <w:b/>
                <w:bCs/>
                <w:color w:val="auto"/>
                <w:kern w:val="0"/>
                <w:sz w:val="28"/>
                <w:szCs w:val="28"/>
                <w:highlight w:val="none"/>
                <w:u w:val="none" w:color="auto"/>
              </w:rPr>
              <w:t>：</w:t>
            </w:r>
            <w:r>
              <w:rPr>
                <w:rFonts w:hint="default" w:ascii="Times New Roman" w:hAnsi="Times New Roman" w:eastAsia="宋体" w:cs="Times New Roman"/>
                <w:b/>
                <w:bCs/>
                <w:color w:val="auto"/>
                <w:kern w:val="0"/>
                <w:sz w:val="28"/>
                <w:szCs w:val="28"/>
                <w:highlight w:val="none"/>
                <w:u w:val="none" w:color="auto"/>
                <w:lang w:val="en-US" w:eastAsia="zh-CN"/>
              </w:rPr>
              <w:t xml:space="preserve"> 城镇功能定位与空间布局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“一轴”：</w:t>
            </w:r>
            <w:r>
              <w:rPr>
                <w:rFonts w:hint="default" w:ascii="Times New Roman" w:hAnsi="Times New Roman" w:eastAsia="宋体" w:cs="Times New Roman"/>
                <w:b w:val="0"/>
                <w:bCs w:val="0"/>
                <w:color w:val="auto"/>
                <w:kern w:val="2"/>
                <w:sz w:val="24"/>
                <w:szCs w:val="24"/>
                <w:highlight w:val="none"/>
                <w:u w:val="none" w:color="auto"/>
                <w:lang w:val="en-US" w:eastAsia="zh-CN" w:bidi="ar-SA"/>
              </w:rPr>
              <w:t>以南北向城镇为发展主轴，串联张庄镇、阳泉市中心城区、河底镇、盂县县城和梁家寨乡，形成集商务服务、商务办公、旅游服务、生活居住</w:t>
            </w:r>
            <w:r>
              <w:rPr>
                <w:rFonts w:hint="eastAsia" w:ascii="Times New Roman" w:hAnsi="Times New Roman" w:eastAsia="宋体" w:cs="Times New Roman"/>
                <w:b w:val="0"/>
                <w:bCs w:val="0"/>
                <w:color w:val="auto"/>
                <w:kern w:val="2"/>
                <w:sz w:val="24"/>
                <w:szCs w:val="24"/>
                <w:highlight w:val="none"/>
                <w:u w:val="none" w:color="auto"/>
                <w:lang w:val="en-US" w:eastAsia="zh-CN" w:bidi="ar-SA"/>
              </w:rPr>
              <w:t>等</w:t>
            </w:r>
            <w:r>
              <w:rPr>
                <w:rFonts w:hint="default" w:ascii="Times New Roman" w:hAnsi="Times New Roman" w:eastAsia="宋体" w:cs="Times New Roman"/>
                <w:b w:val="0"/>
                <w:bCs w:val="0"/>
                <w:color w:val="auto"/>
                <w:kern w:val="2"/>
                <w:sz w:val="24"/>
                <w:szCs w:val="24"/>
                <w:highlight w:val="none"/>
                <w:u w:val="none" w:color="auto"/>
                <w:lang w:val="en-US" w:eastAsia="zh-CN" w:bidi="ar-SA"/>
              </w:rPr>
              <w:t>主导功能为一体的复合型综合发展轴。</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“一环”：</w:t>
            </w:r>
            <w:r>
              <w:rPr>
                <w:rFonts w:hint="default" w:ascii="Times New Roman" w:hAnsi="Times New Roman" w:eastAsia="宋体" w:cs="Times New Roman"/>
                <w:b w:val="0"/>
                <w:bCs w:val="0"/>
                <w:color w:val="auto"/>
                <w:kern w:val="2"/>
                <w:sz w:val="24"/>
                <w:szCs w:val="24"/>
                <w:highlight w:val="none"/>
                <w:u w:val="none" w:color="auto"/>
                <w:lang w:val="en-US" w:eastAsia="zh-CN" w:bidi="ar-SA"/>
              </w:rPr>
              <w:t>打造环城生态绿环，加快发展“生态经济”，形成融入京津冀协同发展、加强省外省市联系的生态绿环。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“两中心”：</w:t>
            </w:r>
            <w:r>
              <w:rPr>
                <w:rFonts w:hint="default" w:ascii="Times New Roman" w:hAnsi="Times New Roman" w:eastAsia="宋体" w:cs="Times New Roman"/>
                <w:b w:val="0"/>
                <w:bCs w:val="0"/>
                <w:color w:val="auto"/>
                <w:kern w:val="2"/>
                <w:sz w:val="24"/>
                <w:szCs w:val="24"/>
                <w:highlight w:val="none"/>
                <w:u w:val="none" w:color="auto"/>
                <w:lang w:val="en-US" w:eastAsia="zh-CN" w:bidi="ar-SA"/>
              </w:rPr>
              <w:t>提升“阳-平”主中心和盂县副中心能级，发挥区位优势、空间优势和资源优势，统筹各类园区建设，实施特色产业强县工程，</w:t>
            </w:r>
            <w:r>
              <w:rPr>
                <w:rFonts w:hint="eastAsia" w:ascii="Times New Roman" w:hAnsi="Times New Roman" w:eastAsia="宋体" w:cs="Times New Roman"/>
                <w:b w:val="0"/>
                <w:bCs w:val="0"/>
                <w:color w:val="auto"/>
                <w:kern w:val="2"/>
                <w:sz w:val="24"/>
                <w:szCs w:val="24"/>
                <w:highlight w:val="none"/>
                <w:u w:val="none" w:color="auto"/>
                <w:lang w:val="en-US" w:eastAsia="zh-CN" w:bidi="ar-SA"/>
              </w:rPr>
              <w:t>加强城市公共服务配套建设，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全面提升城市化水平。</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“多节点”：</w:t>
            </w:r>
            <w:r>
              <w:rPr>
                <w:rFonts w:hint="default" w:ascii="Times New Roman" w:hAnsi="Times New Roman" w:eastAsia="宋体" w:cs="Times New Roman"/>
                <w:b w:val="0"/>
                <w:bCs w:val="0"/>
                <w:color w:val="auto"/>
                <w:kern w:val="2"/>
                <w:sz w:val="24"/>
                <w:szCs w:val="24"/>
                <w:highlight w:val="none"/>
                <w:u w:val="none" w:color="auto"/>
                <w:lang w:val="en-US" w:eastAsia="zh-CN" w:bidi="ar-SA"/>
              </w:rPr>
              <w:t>强化盂县、平定与主城一体化发展，进一步构建一体化路网和重大基础设施，拉大城市框架，形成合理空间布局。</w:t>
            </w:r>
          </w:p>
        </w:tc>
      </w:tr>
    </w:tbl>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outlineLvl w:val="1"/>
        <w:rPr>
          <w:rFonts w:hint="default" w:ascii="Times New Roman" w:hAnsi="Times New Roman" w:eastAsia="楷体" w:cs="Times New Roman"/>
          <w:b/>
          <w:bCs/>
          <w:color w:val="auto"/>
          <w:kern w:val="2"/>
          <w:sz w:val="32"/>
          <w:szCs w:val="32"/>
          <w:highlight w:val="none"/>
          <w:u w:val="none" w:color="auto"/>
          <w:lang w:val="en-US" w:eastAsia="zh-CN" w:bidi="ar-SA"/>
        </w:rPr>
      </w:pPr>
      <w:bookmarkStart w:id="31" w:name="_Toc21728"/>
      <w:r>
        <w:rPr>
          <w:rFonts w:hint="default" w:ascii="Times New Roman" w:hAnsi="Times New Roman" w:eastAsia="黑体" w:cs="Times New Roman"/>
          <w:b w:val="0"/>
          <w:bCs w:val="0"/>
          <w:color w:val="auto"/>
          <w:kern w:val="44"/>
          <w:sz w:val="32"/>
          <w:szCs w:val="32"/>
          <w:highlight w:val="none"/>
          <w:u w:val="none" w:color="auto"/>
          <w:lang w:val="en-US" w:eastAsia="zh-CN" w:bidi="ar-SA"/>
        </w:rPr>
        <w:t>第二节 全面提升城市内涵品质</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坚持以人为本、安全为重、管理为先的理念，以枢纽型、功能性、网络化和智能化为导向，整体提升各类基础设施规模能力、运行效率和服务品质，形成系统完备、适度超前、协同高效、安全可靠的现代化基础设施体系，大幅提升城市品质和承载辐射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一、建设海绵城市和韧性城市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充分彰显山水阳泉魅力，以工匠精神打造经典建筑、精品街区、精致城市，重点打造精致舒适“城市客厅”，形成具有人气活力的城市名片。深入推进新老城区海绵城市建设，加强海绵型建筑和相关基础设施建设，建立完善排水防涝工程系统。开展城市内涝防御气象服务工作，在易发生内涝区域建立城市雨量监测站点。加快义井河、李家庄河综合治理，实施城市安全环境和防灾减灾工程，建立应急救援信息共享机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二、优化市域综合交通体系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实施城市静态交通建设三年行动方案</w:t>
      </w:r>
      <w:r>
        <w:rPr>
          <w:rFonts w:hint="eastAsia" w:ascii="Times New Roman" w:hAnsi="Times New Roman" w:eastAsia="仿宋_GB2312" w:cs="Times New Roman"/>
          <w:color w:val="auto"/>
          <w:sz w:val="32"/>
          <w:szCs w:val="32"/>
          <w:highlight w:val="none"/>
          <w:u w:val="none" w:color="auto"/>
          <w:lang w:val="en-US" w:eastAsia="zh-CN"/>
        </w:rPr>
        <w:t>，积极推进交通强国试点建设</w:t>
      </w:r>
      <w:r>
        <w:rPr>
          <w:rFonts w:hint="default" w:ascii="Times New Roman" w:hAnsi="Times New Roman" w:eastAsia="仿宋_GB2312" w:cs="Times New Roman"/>
          <w:color w:val="auto"/>
          <w:sz w:val="32"/>
          <w:szCs w:val="32"/>
          <w:highlight w:val="none"/>
          <w:u w:val="none" w:color="auto"/>
          <w:lang w:val="en-US" w:eastAsia="zh-CN"/>
        </w:rPr>
        <w:t>。以轨道交通为骨干，常规公交为基础，与支线和微公交相结合，构建多层次、绿色、安全、高效、快捷的公共交通体系，实现市内公交、铁路客运“零换乘”目标。</w:t>
      </w:r>
      <w:r>
        <w:rPr>
          <w:rFonts w:hint="eastAsia" w:ascii="Times New Roman" w:hAnsi="Times New Roman" w:eastAsia="仿宋_GB2312" w:cs="Times New Roman"/>
          <w:color w:val="auto"/>
          <w:sz w:val="32"/>
          <w:szCs w:val="32"/>
          <w:highlight w:val="none"/>
          <w:u w:val="none" w:color="auto"/>
          <w:lang w:val="en-US" w:eastAsia="zh-CN"/>
        </w:rPr>
        <w:t>加快</w:t>
      </w:r>
      <w:r>
        <w:rPr>
          <w:rFonts w:hint="default" w:ascii="Times New Roman" w:hAnsi="Times New Roman" w:eastAsia="仿宋_GB2312" w:cs="Times New Roman"/>
          <w:color w:val="auto"/>
          <w:sz w:val="32"/>
          <w:szCs w:val="32"/>
          <w:highlight w:val="none"/>
          <w:u w:val="none" w:color="auto"/>
          <w:lang w:val="en-US" w:eastAsia="zh-CN"/>
        </w:rPr>
        <w:t>国道307/207改线、国道239改线、国道338</w:t>
      </w:r>
      <w:r>
        <w:rPr>
          <w:rFonts w:hint="eastAsia" w:ascii="Times New Roman" w:hAnsi="Times New Roman" w:eastAsia="仿宋_GB2312" w:cs="Times New Roman"/>
          <w:color w:val="auto"/>
          <w:sz w:val="32"/>
          <w:szCs w:val="32"/>
          <w:highlight w:val="none"/>
          <w:u w:val="none" w:color="auto"/>
          <w:lang w:val="en-US" w:eastAsia="zh-CN"/>
        </w:rPr>
        <w:t>改线</w:t>
      </w:r>
      <w:r>
        <w:rPr>
          <w:rFonts w:hint="default" w:ascii="Times New Roman" w:hAnsi="Times New Roman" w:eastAsia="仿宋_GB2312" w:cs="Times New Roman"/>
          <w:color w:val="auto"/>
          <w:sz w:val="32"/>
          <w:szCs w:val="32"/>
          <w:highlight w:val="none"/>
          <w:u w:val="none" w:color="auto"/>
          <w:lang w:val="en-US" w:eastAsia="zh-CN"/>
        </w:rPr>
        <w:t>、国道239改线等工程建设，推进太旧高速公路阳泉境内出入口调整，提升道路交通运输能力。打通“断头路”、扩宽“瓶颈路”，实施中环快速路西南环东段、宁波北路北延等市政道路工程。</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健全停车场</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val="en-US" w:eastAsia="zh-CN"/>
        </w:rPr>
        <w:t>等便民设施</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eastAsia="zh-CN"/>
        </w:rPr>
        <w:t>，</w:t>
      </w:r>
      <w:r>
        <w:rPr>
          <w:rFonts w:hint="default" w:ascii="Times New Roman" w:hAnsi="Times New Roman" w:eastAsia="仿宋_GB2312" w:cs="Times New Roman"/>
          <w:color w:val="auto"/>
          <w:sz w:val="32"/>
          <w:szCs w:val="32"/>
          <w:highlight w:val="none"/>
          <w:u w:val="none" w:color="auto"/>
          <w:lang w:val="en-US" w:eastAsia="zh-CN"/>
        </w:rPr>
        <w:t>积极争取“ETC智慧停车场”试点建设。加强公交首末站停车场建设，因地制宜设置公交专用道、自行车道，不断提高公交站点覆盖率和公共交通机动化出行分担率。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22" w:type="dxa"/>
            <w:vAlign w:val="center"/>
          </w:tcPr>
          <w:p>
            <w:pPr>
              <w:pStyle w:val="9"/>
              <w:snapToGrid/>
              <w:spacing w:after="0" w:line="400" w:lineRule="exact"/>
              <w:jc w:val="center"/>
              <w:rPr>
                <w:rFonts w:hint="default" w:ascii="Times New Roman" w:hAnsi="Times New Roman" w:eastAsia="宋体" w:cs="Times New Roman"/>
                <w:b/>
                <w:bCs/>
                <w:color w:val="auto"/>
                <w:kern w:val="0"/>
                <w:sz w:val="28"/>
                <w:szCs w:val="28"/>
                <w:highlight w:val="none"/>
                <w:u w:val="none" w:color="auto"/>
                <w:vertAlign w:val="baseline"/>
              </w:rPr>
            </w:pPr>
            <w:r>
              <w:rPr>
                <w:rFonts w:hint="default" w:ascii="Times New Roman" w:hAnsi="Times New Roman" w:eastAsia="宋体" w:cs="Times New Roman"/>
                <w:b/>
                <w:bCs/>
                <w:color w:val="auto"/>
                <w:kern w:val="0"/>
                <w:sz w:val="28"/>
                <w:szCs w:val="28"/>
                <w:highlight w:val="none"/>
                <w:u w:val="none" w:color="auto"/>
              </w:rPr>
              <w:t>专栏</w:t>
            </w:r>
            <w:r>
              <w:rPr>
                <w:rFonts w:hint="default" w:ascii="Times New Roman" w:hAnsi="Times New Roman" w:eastAsia="宋体" w:cs="Times New Roman"/>
                <w:b/>
                <w:bCs/>
                <w:color w:val="auto"/>
                <w:kern w:val="0"/>
                <w:sz w:val="28"/>
                <w:szCs w:val="28"/>
                <w:highlight w:val="none"/>
                <w:u w:val="none" w:color="auto"/>
                <w:lang w:val="en-US" w:eastAsia="zh-CN"/>
              </w:rPr>
              <w:t>3-2</w:t>
            </w:r>
            <w:r>
              <w:rPr>
                <w:rFonts w:hint="default" w:ascii="Times New Roman" w:hAnsi="Times New Roman" w:eastAsia="宋体" w:cs="Times New Roman"/>
                <w:b/>
                <w:bCs/>
                <w:color w:val="auto"/>
                <w:kern w:val="0"/>
                <w:sz w:val="28"/>
                <w:szCs w:val="28"/>
                <w:highlight w:val="none"/>
                <w:u w:val="none" w:color="auto"/>
              </w:rPr>
              <w:t>：</w:t>
            </w:r>
            <w:r>
              <w:rPr>
                <w:rFonts w:hint="default" w:ascii="Times New Roman" w:hAnsi="Times New Roman" w:eastAsia="宋体" w:cs="Times New Roman"/>
                <w:b/>
                <w:bCs/>
                <w:color w:val="auto"/>
                <w:kern w:val="0"/>
                <w:sz w:val="28"/>
                <w:szCs w:val="28"/>
                <w:highlight w:val="none"/>
                <w:u w:val="none" w:color="auto"/>
                <w:lang w:val="en-US" w:eastAsia="zh-CN"/>
              </w:rPr>
              <w:t xml:space="preserve"> 交通运输重点工程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新基建项目。</w:t>
            </w:r>
            <w:r>
              <w:rPr>
                <w:rFonts w:hint="default" w:ascii="Times New Roman" w:hAnsi="Times New Roman" w:eastAsia="宋体" w:cs="Times New Roman"/>
                <w:b w:val="0"/>
                <w:bCs w:val="0"/>
                <w:color w:val="auto"/>
                <w:kern w:val="2"/>
                <w:sz w:val="24"/>
                <w:szCs w:val="24"/>
                <w:highlight w:val="none"/>
                <w:u w:val="none" w:color="auto"/>
                <w:lang w:val="en-US" w:eastAsia="zh-CN" w:bidi="ar-SA"/>
              </w:rPr>
              <w:t>建设“空中巴士”，构建轨道交通快速公交系统；推进ETC智慧停车场建设，规划全市路边停车、固定停车场、社区共享停车位；布局建设充电站，按照公交车1:1，出租车、网约车1:3，快递、物流等行业专用车1:7的配建原则，搭建城市交通综合管理信息平台，建设基于大数据和移动智能终端，建立完善城市交通综合管理信息平台及配套硬件。</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公路网建设。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构建“三横一纵一联络”高速公路网，完善换城高速出入口，将现有平定出入口改移为阳泉南互通高速出入口，将旧关出省口调整为娘子关互通高速出入口；构建“十横</w:t>
            </w:r>
            <w:r>
              <w:rPr>
                <w:rFonts w:hint="eastAsia" w:ascii="Times New Roman" w:hAnsi="Times New Roman" w:cs="Times New Roman"/>
                <w:b w:val="0"/>
                <w:bCs w:val="0"/>
                <w:color w:val="auto"/>
                <w:kern w:val="2"/>
                <w:sz w:val="24"/>
                <w:szCs w:val="24"/>
                <w:highlight w:val="none"/>
                <w:u w:val="none" w:color="auto"/>
                <w:lang w:val="en-US" w:eastAsia="zh-CN" w:bidi="ar-SA"/>
              </w:rPr>
              <w:t>四</w:t>
            </w:r>
            <w:r>
              <w:rPr>
                <w:rFonts w:hint="default" w:ascii="Times New Roman" w:hAnsi="Times New Roman" w:eastAsia="宋体" w:cs="Times New Roman"/>
                <w:b w:val="0"/>
                <w:bCs w:val="0"/>
                <w:color w:val="auto"/>
                <w:kern w:val="2"/>
                <w:sz w:val="24"/>
                <w:szCs w:val="24"/>
                <w:highlight w:val="none"/>
                <w:u w:val="none" w:color="auto"/>
                <w:lang w:val="en-US" w:eastAsia="zh-CN" w:bidi="ar-SA"/>
              </w:rPr>
              <w:t>纵</w:t>
            </w:r>
            <w:r>
              <w:rPr>
                <w:rFonts w:hint="eastAsia" w:ascii="Times New Roman" w:hAnsi="Times New Roman" w:cs="Times New Roman"/>
                <w:b w:val="0"/>
                <w:bCs w:val="0"/>
                <w:color w:val="auto"/>
                <w:kern w:val="2"/>
                <w:sz w:val="24"/>
                <w:szCs w:val="24"/>
                <w:highlight w:val="none"/>
                <w:u w:val="none" w:color="auto"/>
                <w:lang w:val="en-US" w:eastAsia="zh-CN" w:bidi="ar-SA"/>
              </w:rPr>
              <w:t>二</w:t>
            </w:r>
            <w:r>
              <w:rPr>
                <w:rFonts w:hint="default" w:ascii="Times New Roman" w:hAnsi="Times New Roman" w:eastAsia="宋体" w:cs="Times New Roman"/>
                <w:b w:val="0"/>
                <w:bCs w:val="0"/>
                <w:color w:val="auto"/>
                <w:kern w:val="2"/>
                <w:sz w:val="24"/>
                <w:szCs w:val="24"/>
                <w:highlight w:val="none"/>
                <w:u w:val="none" w:color="auto"/>
                <w:lang w:val="en-US" w:eastAsia="zh-CN" w:bidi="ar-SA"/>
              </w:rPr>
              <w:t>环</w:t>
            </w:r>
            <w:r>
              <w:rPr>
                <w:rFonts w:hint="eastAsia" w:ascii="Times New Roman" w:hAnsi="Times New Roman" w:cs="Times New Roman"/>
                <w:b w:val="0"/>
                <w:bCs w:val="0"/>
                <w:color w:val="auto"/>
                <w:kern w:val="2"/>
                <w:sz w:val="24"/>
                <w:szCs w:val="24"/>
                <w:highlight w:val="none"/>
                <w:u w:val="none" w:color="auto"/>
                <w:lang w:val="en-US" w:eastAsia="zh-CN" w:bidi="ar-SA"/>
              </w:rPr>
              <w:t>二</w:t>
            </w:r>
            <w:r>
              <w:rPr>
                <w:rFonts w:hint="default" w:ascii="Times New Roman" w:hAnsi="Times New Roman" w:eastAsia="宋体" w:cs="Times New Roman"/>
                <w:b w:val="0"/>
                <w:bCs w:val="0"/>
                <w:color w:val="auto"/>
                <w:kern w:val="2"/>
                <w:sz w:val="24"/>
                <w:szCs w:val="24"/>
                <w:highlight w:val="none"/>
                <w:u w:val="none" w:color="auto"/>
                <w:lang w:val="en-US" w:eastAsia="zh-CN" w:bidi="ar-SA"/>
              </w:rPr>
              <w:t>联”干线公路网，推进G338线阳泉盂县境内改线工程、G307线和G207线、G239线和S101（阳曲至六岺关线）、S31</w:t>
            </w:r>
            <w:r>
              <w:rPr>
                <w:rFonts w:hint="eastAsia" w:ascii="Times New Roman" w:hAnsi="Times New Roman" w:cs="Times New Roman"/>
                <w:b w:val="0"/>
                <w:bCs w:val="0"/>
                <w:color w:val="auto"/>
                <w:kern w:val="2"/>
                <w:sz w:val="24"/>
                <w:szCs w:val="24"/>
                <w:highlight w:val="none"/>
                <w:u w:val="none" w:color="auto"/>
                <w:lang w:val="en-US" w:eastAsia="zh-CN" w:bidi="ar-SA"/>
              </w:rPr>
              <w:t>7</w:t>
            </w:r>
            <w:r>
              <w:rPr>
                <w:rFonts w:hint="default" w:ascii="Times New Roman" w:hAnsi="Times New Roman" w:eastAsia="宋体" w:cs="Times New Roman"/>
                <w:b w:val="0"/>
                <w:bCs w:val="0"/>
                <w:color w:val="auto"/>
                <w:kern w:val="2"/>
                <w:sz w:val="24"/>
                <w:szCs w:val="24"/>
                <w:highlight w:val="none"/>
                <w:u w:val="none" w:color="auto"/>
                <w:lang w:val="en-US" w:eastAsia="zh-CN" w:bidi="ar-SA"/>
              </w:rPr>
              <w:t>（双山至东梁乡）等国省干线建设。</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铁路网建设。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构建“四横一纵”铁路网，</w:t>
            </w:r>
            <w:r>
              <w:rPr>
                <w:rFonts w:hint="eastAsia" w:ascii="Times New Roman" w:hAnsi="Times New Roman" w:cs="Times New Roman"/>
                <w:b w:val="0"/>
                <w:bCs w:val="0"/>
                <w:color w:val="auto"/>
                <w:kern w:val="2"/>
                <w:sz w:val="24"/>
                <w:szCs w:val="24"/>
                <w:highlight w:val="none"/>
                <w:u w:val="none" w:color="auto"/>
                <w:lang w:val="en-US" w:eastAsia="zh-CN" w:bidi="ar-SA"/>
              </w:rPr>
              <w:t>其中既有铁路线路包含石太客运专线、石太铁路线、阳大铁路、朔黄货运铁路线；积极推进石太高铁、阳大铁路南北延伸</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r>
              <w:rPr>
                <w:rFonts w:hint="eastAsia" w:ascii="Times New Roman" w:hAnsi="Times New Roman" w:cs="Times New Roman"/>
                <w:b w:val="0"/>
                <w:bCs w:val="0"/>
                <w:color w:val="auto"/>
                <w:kern w:val="2"/>
                <w:sz w:val="24"/>
                <w:szCs w:val="24"/>
                <w:highlight w:val="none"/>
                <w:u w:val="none" w:color="auto"/>
                <w:lang w:val="en-US" w:eastAsia="zh-CN" w:bidi="ar-SA"/>
              </w:rPr>
              <w:t>预留既有规划石太铁路复线通道，远景适时建设石太铁路复线，打通东西向货运瓶颈。</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机场建设：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积极推进盂县通航机场、阳泉机场建设。</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w:t>
            </w:r>
            <w:r>
              <w:rPr>
                <w:rFonts w:hint="eastAsia" w:ascii="Times New Roman" w:hAnsi="Times New Roman" w:cs="Times New Roman"/>
                <w:b/>
                <w:bCs/>
                <w:color w:val="auto"/>
                <w:kern w:val="2"/>
                <w:sz w:val="24"/>
                <w:szCs w:val="24"/>
                <w:highlight w:val="none"/>
                <w:u w:val="none" w:color="auto"/>
                <w:lang w:val="en-US" w:eastAsia="zh-CN" w:bidi="ar-SA"/>
              </w:rPr>
              <w:t>3</w:t>
            </w:r>
            <w:r>
              <w:rPr>
                <w:rFonts w:hint="default" w:ascii="Times New Roman" w:hAnsi="Times New Roman" w:eastAsia="宋体" w:cs="Times New Roman"/>
                <w:b/>
                <w:bCs/>
                <w:color w:val="auto"/>
                <w:kern w:val="2"/>
                <w:sz w:val="24"/>
                <w:szCs w:val="24"/>
                <w:highlight w:val="none"/>
                <w:u w:val="none" w:color="auto"/>
                <w:lang w:val="en-US" w:eastAsia="zh-CN" w:bidi="ar-SA"/>
              </w:rPr>
              <w:t>主+</w:t>
            </w:r>
            <w:r>
              <w:rPr>
                <w:rFonts w:hint="eastAsia" w:ascii="Times New Roman" w:hAnsi="Times New Roman" w:cs="Times New Roman"/>
                <w:b/>
                <w:bCs/>
                <w:color w:val="auto"/>
                <w:kern w:val="2"/>
                <w:sz w:val="24"/>
                <w:szCs w:val="24"/>
                <w:highlight w:val="none"/>
                <w:u w:val="none" w:color="auto"/>
                <w:lang w:val="en-US" w:eastAsia="zh-CN" w:bidi="ar-SA"/>
              </w:rPr>
              <w:t>2</w:t>
            </w:r>
            <w:r>
              <w:rPr>
                <w:rFonts w:hint="default" w:ascii="Times New Roman" w:hAnsi="Times New Roman" w:eastAsia="宋体" w:cs="Times New Roman"/>
                <w:b/>
                <w:bCs/>
                <w:color w:val="auto"/>
                <w:kern w:val="2"/>
                <w:sz w:val="24"/>
                <w:szCs w:val="24"/>
                <w:highlight w:val="none"/>
                <w:u w:val="none" w:color="auto"/>
                <w:lang w:val="en-US" w:eastAsia="zh-CN" w:bidi="ar-SA"/>
              </w:rPr>
              <w:t>辅+多个”客运枢纽。</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r>
              <w:rPr>
                <w:rFonts w:hint="eastAsia" w:ascii="Times New Roman" w:hAnsi="Times New Roman" w:cs="Times New Roman"/>
                <w:b w:val="0"/>
                <w:bCs w:val="0"/>
                <w:color w:val="auto"/>
                <w:kern w:val="2"/>
                <w:sz w:val="24"/>
                <w:szCs w:val="24"/>
                <w:highlight w:val="none"/>
                <w:u w:val="none" w:color="auto"/>
                <w:lang w:val="en-US" w:eastAsia="zh-CN" w:bidi="ar-SA"/>
              </w:rPr>
              <w:t>3</w:t>
            </w:r>
            <w:r>
              <w:rPr>
                <w:rFonts w:hint="default" w:ascii="Times New Roman" w:hAnsi="Times New Roman" w:eastAsia="宋体" w:cs="Times New Roman"/>
                <w:b w:val="0"/>
                <w:bCs w:val="0"/>
                <w:color w:val="auto"/>
                <w:kern w:val="2"/>
                <w:sz w:val="24"/>
                <w:szCs w:val="24"/>
                <w:highlight w:val="none"/>
                <w:u w:val="none" w:color="auto"/>
                <w:lang w:val="en-US" w:eastAsia="zh-CN" w:bidi="ar-SA"/>
              </w:rPr>
              <w:t>主”为阳泉综合客运枢纽（阳泉东站）和阳泉北客运枢纽（阳泉北站）、阳泉客运南站；“</w:t>
            </w:r>
            <w:r>
              <w:rPr>
                <w:rFonts w:hint="eastAsia" w:ascii="Times New Roman" w:hAnsi="Times New Roman" w:cs="Times New Roman"/>
                <w:b w:val="0"/>
                <w:bCs w:val="0"/>
                <w:color w:val="auto"/>
                <w:kern w:val="2"/>
                <w:sz w:val="24"/>
                <w:szCs w:val="24"/>
                <w:highlight w:val="none"/>
                <w:u w:val="none" w:color="auto"/>
                <w:lang w:val="en-US" w:eastAsia="zh-CN" w:bidi="ar-SA"/>
              </w:rPr>
              <w:t>2</w:t>
            </w:r>
            <w:r>
              <w:rPr>
                <w:rFonts w:hint="default" w:ascii="Times New Roman" w:hAnsi="Times New Roman" w:eastAsia="宋体" w:cs="Times New Roman"/>
                <w:b w:val="0"/>
                <w:bCs w:val="0"/>
                <w:color w:val="auto"/>
                <w:kern w:val="2"/>
                <w:sz w:val="24"/>
                <w:szCs w:val="24"/>
                <w:highlight w:val="none"/>
                <w:u w:val="none" w:color="auto"/>
                <w:lang w:val="en-US" w:eastAsia="zh-CN" w:bidi="ar-SA"/>
              </w:rPr>
              <w:t>辅”指阳泉客运总站、盂县客运站。“多个”指以现状乡镇汽车站为主，布局24个乡镇运输服务站。</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仿宋_GB2312" w:cs="Times New Roman"/>
                <w:color w:val="auto"/>
                <w:sz w:val="32"/>
                <w:szCs w:val="32"/>
                <w:highlight w:val="none"/>
                <w:u w:val="none" w:color="auto"/>
                <w:vertAlign w:val="baseline"/>
              </w:rPr>
            </w:pPr>
            <w:r>
              <w:rPr>
                <w:rFonts w:hint="default" w:ascii="Times New Roman" w:hAnsi="Times New Roman" w:eastAsia="宋体" w:cs="Times New Roman"/>
                <w:b/>
                <w:bCs/>
                <w:color w:val="auto"/>
                <w:kern w:val="2"/>
                <w:sz w:val="24"/>
                <w:szCs w:val="24"/>
                <w:highlight w:val="none"/>
                <w:u w:val="none" w:color="auto"/>
                <w:lang w:val="en-US" w:eastAsia="zh-CN" w:bidi="ar-SA"/>
              </w:rPr>
              <w:t>城市道路改造。</w:t>
            </w:r>
            <w:r>
              <w:rPr>
                <w:rFonts w:hint="default" w:ascii="Times New Roman" w:hAnsi="Times New Roman" w:eastAsia="宋体" w:cs="Times New Roman"/>
                <w:b w:val="0"/>
                <w:bCs w:val="0"/>
                <w:color w:val="auto"/>
                <w:kern w:val="2"/>
                <w:sz w:val="24"/>
                <w:szCs w:val="24"/>
                <w:highlight w:val="none"/>
                <w:u w:val="none" w:color="auto"/>
                <w:lang w:val="en-US" w:eastAsia="zh-CN" w:bidi="ar-SA"/>
              </w:rPr>
              <w:t>完善步行道和自行车交通系统，在新建、改扩建城市道路全面设置步行和自行车道；实施泉中路跨线桥改造、泉东路、平定路、义泉街道路</w:t>
            </w:r>
            <w:r>
              <w:rPr>
                <w:rFonts w:hint="default" w:ascii="Times New Roman" w:hAnsi="Times New Roman" w:eastAsia="宋体" w:cs="Times New Roman"/>
                <w:b w:val="0"/>
                <w:bCs w:val="0"/>
                <w:color w:val="auto"/>
                <w:spacing w:val="-6"/>
                <w:kern w:val="2"/>
                <w:sz w:val="24"/>
                <w:szCs w:val="24"/>
                <w:highlight w:val="none"/>
                <w:u w:val="none" w:color="auto"/>
                <w:lang w:val="en-US" w:eastAsia="zh-CN" w:bidi="ar-SA"/>
              </w:rPr>
              <w:t>改造、狮脑山路地质灾害治理、简子沟跨铁路立交桥改造、白羊墅人行桥改建工程。</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642" w:firstLineChars="200"/>
        <w:jc w:val="both"/>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三、加强城市公共设施建设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cs="Times New Roman"/>
          <w:color w:val="auto"/>
          <w:highlight w:val="none"/>
          <w:u w:val="none" w:color="auto"/>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推进市政管网设施升级改造，完善供排水、污水、供热管网、城乡燃气管网，加强天然气管网与瓦斯气主供气管网互联互通，提高管网智能化监管水平。将集中供热地区覆盖城市棚户区和城中村，持续推进西上庄等热源建设。加快全域供水、排水管网干支线建设，同步建设市政消火栓和消防水鹤。有序开展地下管廊建设。</w:t>
      </w:r>
      <w:r>
        <w:rPr>
          <w:rFonts w:hint="default" w:ascii="Times New Roman" w:hAnsi="Times New Roman" w:eastAsia="仿宋_GB2312" w:cs="Times New Roman"/>
          <w:color w:val="auto"/>
          <w:kern w:val="2"/>
          <w:sz w:val="32"/>
          <w:szCs w:val="32"/>
          <w:highlight w:val="none"/>
          <w:u w:val="none" w:color="auto"/>
          <w:lang w:val="en-US" w:eastAsia="zh-CN" w:bidi="ar-SA"/>
        </w:rPr>
        <w:t>积极部署5G基础设施建设，基本实现市区5G网络连续覆盖和商用。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统筹建设全民健身场地等设施，推进狮脑山公园健身步道等项目建设，打造城市便捷快速生活圈。</w:t>
      </w:r>
      <w:r>
        <w:rPr>
          <w:rFonts w:hint="default" w:ascii="Times New Roman" w:hAnsi="Times New Roman" w:eastAsia="仿宋_GB2312" w:cs="Times New Roman"/>
          <w:color w:val="auto"/>
          <w:kern w:val="2"/>
          <w:sz w:val="32"/>
          <w:szCs w:val="32"/>
          <w:highlight w:val="none"/>
          <w:u w:val="none" w:color="auto"/>
          <w:lang w:val="en-US" w:eastAsia="zh-CN" w:bidi="ar-SA"/>
        </w:rPr>
        <w:t>持续推进生活垃圾分类，设区城市生活垃圾分类覆盖率达到30%以上，建立垃圾分类投放、收集、运输、处理系统，加快实现资源化利用。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vAlign w:val="center"/>
          </w:tcPr>
          <w:p>
            <w:pPr>
              <w:pStyle w:val="9"/>
              <w:snapToGrid w:val="0"/>
              <w:spacing w:after="0" w:line="400" w:lineRule="exact"/>
              <w:jc w:val="center"/>
              <w:rPr>
                <w:rFonts w:hint="default" w:ascii="Times New Roman" w:hAnsi="Times New Roman" w:eastAsia="宋体" w:cs="Times New Roman"/>
                <w:b/>
                <w:bCs/>
                <w:color w:val="auto"/>
                <w:kern w:val="0"/>
                <w:sz w:val="28"/>
                <w:szCs w:val="28"/>
                <w:highlight w:val="none"/>
                <w:u w:val="none" w:color="auto"/>
                <w:vertAlign w:val="baseline"/>
                <w:lang w:val="en-US"/>
              </w:rPr>
            </w:pPr>
            <w:r>
              <w:rPr>
                <w:rFonts w:hint="default" w:ascii="Times New Roman" w:hAnsi="Times New Roman" w:eastAsia="宋体" w:cs="Times New Roman"/>
                <w:b/>
                <w:bCs/>
                <w:color w:val="auto"/>
                <w:kern w:val="0"/>
                <w:sz w:val="28"/>
                <w:szCs w:val="28"/>
                <w:highlight w:val="none"/>
                <w:u w:val="none" w:color="auto"/>
              </w:rPr>
              <w:t>专栏</w:t>
            </w:r>
            <w:r>
              <w:rPr>
                <w:rFonts w:hint="default" w:ascii="Times New Roman" w:hAnsi="Times New Roman" w:eastAsia="宋体" w:cs="Times New Roman"/>
                <w:b/>
                <w:bCs/>
                <w:color w:val="auto"/>
                <w:kern w:val="0"/>
                <w:sz w:val="28"/>
                <w:szCs w:val="28"/>
                <w:highlight w:val="none"/>
                <w:u w:val="none" w:color="auto"/>
                <w:lang w:val="en-US" w:eastAsia="zh-CN"/>
              </w:rPr>
              <w:t>3-3</w:t>
            </w:r>
            <w:r>
              <w:rPr>
                <w:rFonts w:hint="default" w:ascii="Times New Roman" w:hAnsi="Times New Roman" w:eastAsia="宋体" w:cs="Times New Roman"/>
                <w:b/>
                <w:bCs/>
                <w:color w:val="auto"/>
                <w:kern w:val="0"/>
                <w:sz w:val="28"/>
                <w:szCs w:val="28"/>
                <w:highlight w:val="none"/>
                <w:u w:val="none" w:color="auto"/>
              </w:rPr>
              <w:t>：</w:t>
            </w:r>
            <w:r>
              <w:rPr>
                <w:rFonts w:hint="default" w:ascii="Times New Roman" w:hAnsi="Times New Roman" w:eastAsia="宋体" w:cs="Times New Roman"/>
                <w:b/>
                <w:bCs/>
                <w:color w:val="auto"/>
                <w:kern w:val="0"/>
                <w:sz w:val="28"/>
                <w:szCs w:val="28"/>
                <w:highlight w:val="none"/>
                <w:u w:val="none" w:color="auto"/>
                <w:lang w:val="en-US" w:eastAsia="zh-CN"/>
              </w:rPr>
              <w:t xml:space="preserve"> 城市公共设施建设工程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Pr>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供气工程。</w:t>
            </w:r>
            <w:r>
              <w:rPr>
                <w:rFonts w:hint="eastAsia" w:ascii="Times New Roman" w:hAnsi="Times New Roman" w:eastAsia="宋体" w:cs="Times New Roman"/>
                <w:b/>
                <w:bCs/>
                <w:color w:val="auto"/>
                <w:kern w:val="2"/>
                <w:sz w:val="24"/>
                <w:szCs w:val="24"/>
                <w:highlight w:val="none"/>
                <w:u w:val="none" w:color="auto"/>
                <w:lang w:val="en-US" w:eastAsia="zh-CN" w:bidi="ar-SA"/>
              </w:rPr>
              <w:t>山西晋东华润有限公司</w:t>
            </w:r>
            <w:r>
              <w:rPr>
                <w:rFonts w:hint="default" w:ascii="Times New Roman" w:hAnsi="Times New Roman" w:eastAsia="宋体" w:cs="Times New Roman"/>
                <w:b w:val="0"/>
                <w:bCs w:val="0"/>
                <w:color w:val="auto"/>
                <w:kern w:val="2"/>
                <w:sz w:val="24"/>
                <w:szCs w:val="24"/>
                <w:highlight w:val="none"/>
                <w:u w:val="none" w:color="auto"/>
                <w:lang w:val="en-US" w:eastAsia="zh-CN" w:bidi="ar-SA"/>
              </w:rPr>
              <w:t>规划实施西上庄煤矿瓦斯利用工程，市区0.2MPa中压环状管网建设、杨家庄工业园区供气管道建设，老旧管网设施改造项目，智慧燃气建设项目；</w:t>
            </w:r>
            <w:r>
              <w:rPr>
                <w:rFonts w:hint="eastAsia" w:ascii="Times New Roman" w:hAnsi="Times New Roman" w:eastAsia="宋体" w:cs="Times New Roman"/>
                <w:b/>
                <w:bCs/>
                <w:color w:val="auto"/>
                <w:kern w:val="2"/>
                <w:sz w:val="24"/>
                <w:szCs w:val="24"/>
                <w:highlight w:val="none"/>
                <w:u w:val="none" w:color="auto"/>
                <w:lang w:val="en-US" w:eastAsia="zh-CN" w:bidi="ar-SA"/>
              </w:rPr>
              <w:t>华阳</w:t>
            </w:r>
            <w:r>
              <w:rPr>
                <w:rFonts w:hint="default" w:ascii="Times New Roman" w:hAnsi="Times New Roman" w:eastAsia="宋体" w:cs="Times New Roman"/>
                <w:b/>
                <w:bCs/>
                <w:color w:val="auto"/>
                <w:kern w:val="2"/>
                <w:sz w:val="24"/>
                <w:szCs w:val="24"/>
                <w:highlight w:val="none"/>
                <w:u w:val="none" w:color="auto"/>
                <w:lang w:val="en-US" w:eastAsia="zh-CN" w:bidi="ar-SA"/>
              </w:rPr>
              <w:t>集团</w:t>
            </w:r>
            <w:r>
              <w:rPr>
                <w:rFonts w:hint="default" w:ascii="Times New Roman" w:hAnsi="Times New Roman" w:eastAsia="宋体" w:cs="Times New Roman"/>
                <w:b w:val="0"/>
                <w:bCs w:val="0"/>
                <w:color w:val="auto"/>
                <w:kern w:val="2"/>
                <w:sz w:val="24"/>
                <w:szCs w:val="24"/>
                <w:highlight w:val="none"/>
                <w:u w:val="none" w:color="auto"/>
                <w:lang w:val="en-US" w:eastAsia="zh-CN" w:bidi="ar-SA"/>
              </w:rPr>
              <w:t>规划实施</w:t>
            </w:r>
            <w:r>
              <w:rPr>
                <w:rFonts w:hint="eastAsia" w:ascii="Times New Roman" w:hAnsi="Times New Roman" w:eastAsia="宋体" w:cs="Times New Roman"/>
                <w:b w:val="0"/>
                <w:bCs w:val="0"/>
                <w:color w:val="auto"/>
                <w:kern w:val="2"/>
                <w:sz w:val="24"/>
                <w:szCs w:val="24"/>
                <w:highlight w:val="none"/>
                <w:u w:val="none" w:color="auto"/>
                <w:lang w:val="en-US" w:eastAsia="zh-CN" w:bidi="ar-SA"/>
              </w:rPr>
              <w:t>华阳</w:t>
            </w:r>
            <w:r>
              <w:rPr>
                <w:rFonts w:hint="default" w:ascii="Times New Roman" w:hAnsi="Times New Roman" w:eastAsia="宋体" w:cs="Times New Roman"/>
                <w:b w:val="0"/>
                <w:bCs w:val="0"/>
                <w:color w:val="auto"/>
                <w:kern w:val="2"/>
                <w:sz w:val="24"/>
                <w:szCs w:val="24"/>
                <w:highlight w:val="none"/>
                <w:u w:val="none" w:color="auto"/>
                <w:lang w:val="en-US" w:eastAsia="zh-CN" w:bidi="ar-SA"/>
              </w:rPr>
              <w:t>一矿高家沟风井矿井瓦斯利用、</w:t>
            </w:r>
            <w:r>
              <w:rPr>
                <w:rFonts w:hint="eastAsia" w:ascii="Times New Roman" w:hAnsi="Times New Roman" w:eastAsia="宋体" w:cs="Times New Roman"/>
                <w:b w:val="0"/>
                <w:bCs w:val="0"/>
                <w:color w:val="auto"/>
                <w:kern w:val="2"/>
                <w:sz w:val="24"/>
                <w:szCs w:val="24"/>
                <w:highlight w:val="none"/>
                <w:u w:val="none" w:color="auto"/>
                <w:lang w:val="en-US" w:eastAsia="zh-CN" w:bidi="ar-SA"/>
              </w:rPr>
              <w:t>华阳</w:t>
            </w:r>
            <w:r>
              <w:rPr>
                <w:rFonts w:hint="default" w:ascii="Times New Roman" w:hAnsi="Times New Roman" w:eastAsia="宋体" w:cs="Times New Roman"/>
                <w:b w:val="0"/>
                <w:bCs w:val="0"/>
                <w:color w:val="auto"/>
                <w:kern w:val="2"/>
                <w:sz w:val="24"/>
                <w:szCs w:val="24"/>
                <w:highlight w:val="none"/>
                <w:u w:val="none" w:color="auto"/>
                <w:lang w:val="en-US" w:eastAsia="zh-CN" w:bidi="ar-SA"/>
              </w:rPr>
              <w:t>神堂嘴煤层气液化、</w:t>
            </w:r>
            <w:r>
              <w:rPr>
                <w:rFonts w:hint="eastAsia" w:ascii="Times New Roman" w:hAnsi="Times New Roman" w:eastAsia="宋体" w:cs="Times New Roman"/>
                <w:b w:val="0"/>
                <w:bCs w:val="0"/>
                <w:color w:val="auto"/>
                <w:kern w:val="2"/>
                <w:sz w:val="24"/>
                <w:szCs w:val="24"/>
                <w:highlight w:val="none"/>
                <w:u w:val="none" w:color="auto"/>
                <w:lang w:val="en-US" w:eastAsia="zh-CN" w:bidi="ar-SA"/>
              </w:rPr>
              <w:t>华阳</w:t>
            </w:r>
            <w:r>
              <w:rPr>
                <w:rFonts w:hint="default" w:ascii="Times New Roman" w:hAnsi="Times New Roman" w:eastAsia="宋体" w:cs="Times New Roman"/>
                <w:b w:val="0"/>
                <w:bCs w:val="0"/>
                <w:color w:val="auto"/>
                <w:kern w:val="2"/>
                <w:sz w:val="24"/>
                <w:szCs w:val="24"/>
                <w:highlight w:val="none"/>
                <w:u w:val="none" w:color="auto"/>
                <w:lang w:val="en-US" w:eastAsia="zh-CN" w:bidi="ar-SA"/>
              </w:rPr>
              <w:t>低浓度乏风瓦斯发电项目；</w:t>
            </w:r>
            <w:r>
              <w:rPr>
                <w:rFonts w:hint="default" w:ascii="Times New Roman" w:hAnsi="Times New Roman" w:eastAsia="宋体" w:cs="Times New Roman"/>
                <w:b/>
                <w:bCs/>
                <w:color w:val="auto"/>
                <w:kern w:val="2"/>
                <w:sz w:val="24"/>
                <w:szCs w:val="24"/>
                <w:highlight w:val="none"/>
                <w:u w:val="none" w:color="auto"/>
                <w:lang w:val="en-US" w:eastAsia="zh-CN" w:bidi="ar-SA"/>
              </w:rPr>
              <w:t>晋东压缩气公司</w:t>
            </w:r>
            <w:r>
              <w:rPr>
                <w:rFonts w:hint="default" w:ascii="Times New Roman" w:hAnsi="Times New Roman" w:eastAsia="宋体" w:cs="Times New Roman"/>
                <w:b w:val="0"/>
                <w:bCs w:val="0"/>
                <w:color w:val="auto"/>
                <w:kern w:val="2"/>
                <w:sz w:val="24"/>
                <w:szCs w:val="24"/>
                <w:highlight w:val="none"/>
                <w:u w:val="none" w:color="auto"/>
                <w:lang w:val="en-US" w:eastAsia="zh-CN" w:bidi="ar-SA"/>
              </w:rPr>
              <w:t>规划实施昔阳—榆社输气管道建设、晋东燃气盂县天然气门站建设、晋东燃气国道307、207新线油气电合建站建设、晋东燃气郊区加气站改建油气合建站建设项目。</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供热工程。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包括新建管网项目和改造管网项目，其中新建管网38.5公里，改造一次网14.3公里、二次网231.2公里、热力站144座。</w:t>
            </w:r>
            <w:r>
              <w:rPr>
                <w:rFonts w:hint="default" w:ascii="Times New Roman" w:hAnsi="Times New Roman" w:eastAsia="宋体" w:cs="Times New Roman"/>
                <w:b/>
                <w:bCs/>
                <w:color w:val="auto"/>
                <w:kern w:val="2"/>
                <w:sz w:val="24"/>
                <w:szCs w:val="24"/>
                <w:highlight w:val="none"/>
                <w:u w:val="none" w:color="auto"/>
                <w:lang w:val="en-US" w:eastAsia="zh-CN" w:bidi="ar-SA"/>
              </w:rPr>
              <w:t>新建管网：</w:t>
            </w:r>
            <w:r>
              <w:rPr>
                <w:rFonts w:hint="default" w:ascii="Times New Roman" w:hAnsi="Times New Roman" w:eastAsia="宋体" w:cs="Times New Roman"/>
                <w:b w:val="0"/>
                <w:bCs w:val="0"/>
                <w:color w:val="auto"/>
                <w:kern w:val="2"/>
                <w:sz w:val="24"/>
                <w:szCs w:val="24"/>
                <w:highlight w:val="none"/>
                <w:u w:val="none" w:color="auto"/>
                <w:lang w:val="en-US" w:eastAsia="zh-CN" w:bidi="ar-SA"/>
              </w:rPr>
              <w:t>配合道路建设中环快速路（南环）配套供热管网、平阳街二期配套热力管网、洪城北路北延配套热力管网工程；开展</w:t>
            </w:r>
            <w:r>
              <w:rPr>
                <w:rFonts w:hint="eastAsia" w:ascii="Times New Roman" w:hAnsi="Times New Roman" w:eastAsia="宋体" w:cs="Times New Roman"/>
                <w:b w:val="0"/>
                <w:bCs w:val="0"/>
                <w:color w:val="auto"/>
                <w:kern w:val="2"/>
                <w:sz w:val="24"/>
                <w:szCs w:val="24"/>
                <w:highlight w:val="none"/>
                <w:u w:val="none" w:color="auto"/>
                <w:lang w:val="en-US" w:eastAsia="zh-CN" w:bidi="ar-SA"/>
              </w:rPr>
              <w:t>华阳</w:t>
            </w:r>
            <w:r>
              <w:rPr>
                <w:rFonts w:hint="default" w:ascii="Times New Roman" w:hAnsi="Times New Roman" w:eastAsia="宋体" w:cs="Times New Roman"/>
                <w:b w:val="0"/>
                <w:bCs w:val="0"/>
                <w:color w:val="auto"/>
                <w:kern w:val="2"/>
                <w:sz w:val="24"/>
                <w:szCs w:val="24"/>
                <w:highlight w:val="none"/>
                <w:u w:val="none" w:color="auto"/>
                <w:lang w:val="en-US" w:eastAsia="zh-CN" w:bidi="ar-SA"/>
              </w:rPr>
              <w:t>集团西上庄低热值煤发电项目热电联产配套供热管网工程、新河坡电厂供热范围扩展配套供热管网工程、平定西外环配套热力管网工程；实施平定新建路配套热力管网工程、漾泉大道大西庄职业技术学院口至阳五高速口配套热力管网工程，解决沿线用户供热问题。</w:t>
            </w:r>
            <w:r>
              <w:rPr>
                <w:rFonts w:hint="default" w:ascii="Times New Roman" w:hAnsi="Times New Roman" w:eastAsia="宋体" w:cs="Times New Roman"/>
                <w:b/>
                <w:bCs/>
                <w:color w:val="auto"/>
                <w:kern w:val="2"/>
                <w:sz w:val="24"/>
                <w:szCs w:val="24"/>
                <w:highlight w:val="none"/>
                <w:u w:val="none" w:color="auto"/>
                <w:lang w:val="en-US" w:eastAsia="zh-CN" w:bidi="ar-SA"/>
              </w:rPr>
              <w:t>改造管网：</w:t>
            </w:r>
            <w:r>
              <w:rPr>
                <w:rFonts w:hint="default" w:ascii="Times New Roman" w:hAnsi="Times New Roman" w:eastAsia="宋体" w:cs="Times New Roman"/>
                <w:b w:val="0"/>
                <w:bCs w:val="0"/>
                <w:color w:val="auto"/>
                <w:kern w:val="2"/>
                <w:sz w:val="24"/>
                <w:szCs w:val="24"/>
                <w:highlight w:val="none"/>
                <w:u w:val="none" w:color="auto"/>
                <w:lang w:val="en-US" w:eastAsia="zh-CN" w:bidi="ar-SA"/>
              </w:rPr>
              <w:t>改造一级网供热管道14.3公里、二级网供热管道231.2公里，完成热力站改造144座，涉及改造内容674项。</w:t>
            </w:r>
            <w:r>
              <w:rPr>
                <w:rFonts w:hint="default" w:ascii="Times New Roman" w:hAnsi="Times New Roman" w:eastAsia="宋体" w:cs="Times New Roman"/>
                <w:b/>
                <w:bCs/>
                <w:color w:val="auto"/>
                <w:kern w:val="2"/>
                <w:sz w:val="24"/>
                <w:szCs w:val="24"/>
                <w:highlight w:val="none"/>
                <w:u w:val="none" w:color="auto"/>
                <w:lang w:val="en-US" w:eastAsia="zh-CN" w:bidi="ar-SA"/>
              </w:rPr>
              <w:t>智慧供热：</w:t>
            </w:r>
            <w:r>
              <w:rPr>
                <w:rFonts w:hint="default" w:ascii="Times New Roman" w:hAnsi="Times New Roman" w:eastAsia="宋体" w:cs="Times New Roman"/>
                <w:b w:val="0"/>
                <w:bCs w:val="0"/>
                <w:color w:val="auto"/>
                <w:kern w:val="2"/>
                <w:sz w:val="24"/>
                <w:szCs w:val="24"/>
                <w:highlight w:val="none"/>
                <w:u w:val="none" w:color="auto"/>
                <w:lang w:val="en-US" w:eastAsia="zh-CN" w:bidi="ar-SA"/>
              </w:rPr>
              <w:t>搭建智慧供热信息服务平台、信息中心以及换热站自控系统的升级改造。</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节能改造工程。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对南大街、北大街、泉中路、桃南中西街、平定路、南庄路等路段，共计6737盏能耗较高的高压钠灯进行节能改造。</w:t>
            </w:r>
          </w:p>
          <w:p>
            <w:pPr>
              <w:pStyle w:val="9"/>
              <w:snapToGrid w:val="0"/>
              <w:spacing w:line="400" w:lineRule="exact"/>
              <w:ind w:firstLine="481" w:firstLineChars="200"/>
              <w:rPr>
                <w:rFonts w:hint="default" w:ascii="Times New Roman" w:hAnsi="Times New Roman" w:eastAsia="仿宋_GB2312" w:cs="Times New Roman"/>
                <w:color w:val="auto"/>
                <w:sz w:val="32"/>
                <w:szCs w:val="32"/>
                <w:highlight w:val="none"/>
                <w:u w:val="none" w:color="auto"/>
                <w:vertAlign w:val="baseline"/>
              </w:rPr>
            </w:pPr>
            <w:r>
              <w:rPr>
                <w:rFonts w:hint="default" w:ascii="Times New Roman" w:hAnsi="Times New Roman" w:eastAsia="宋体" w:cs="Times New Roman"/>
                <w:b/>
                <w:bCs/>
                <w:color w:val="auto"/>
                <w:kern w:val="2"/>
                <w:sz w:val="24"/>
                <w:szCs w:val="24"/>
                <w:highlight w:val="none"/>
                <w:u w:val="none" w:color="auto"/>
                <w:lang w:val="en-US" w:eastAsia="zh-CN" w:bidi="ar-SA"/>
              </w:rPr>
              <w:t>垃圾分类收集处置工程。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2023年，本市级餐厨垃圾处理设施建成投运，建筑垃圾资源化利用项目建成投运。</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642" w:firstLineChars="200"/>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eastAsia" w:ascii="Times New Roman" w:hAnsi="Times New Roman" w:eastAsia="楷体" w:cs="Times New Roman"/>
          <w:b/>
          <w:bCs/>
          <w:color w:val="auto"/>
          <w:kern w:val="2"/>
          <w:sz w:val="32"/>
          <w:szCs w:val="32"/>
          <w:highlight w:val="none"/>
          <w:u w:val="none" w:color="auto"/>
          <w:lang w:val="en-US" w:eastAsia="zh-CN" w:bidi="ar-SA"/>
        </w:rPr>
        <w:t>四</w:t>
      </w:r>
      <w:r>
        <w:rPr>
          <w:rFonts w:hint="default" w:ascii="Times New Roman" w:hAnsi="Times New Roman" w:eastAsia="楷体" w:cs="Times New Roman"/>
          <w:b/>
          <w:bCs/>
          <w:color w:val="auto"/>
          <w:kern w:val="2"/>
          <w:sz w:val="32"/>
          <w:szCs w:val="32"/>
          <w:highlight w:val="none"/>
          <w:u w:val="none" w:color="auto"/>
          <w:lang w:val="en-US" w:eastAsia="zh-CN" w:bidi="ar-SA"/>
        </w:rPr>
        <w:t>、开展城市智慧服务与管理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建立城市管理规范化、长效化机制，提升城市综合管理水平。</w:t>
      </w:r>
      <w:r>
        <w:rPr>
          <w:rFonts w:hint="default" w:ascii="Times New Roman" w:hAnsi="Times New Roman" w:eastAsia="仿宋_GB2312" w:cs="Times New Roman"/>
          <w:color w:val="auto"/>
          <w:sz w:val="32"/>
          <w:szCs w:val="32"/>
          <w:highlight w:val="none"/>
          <w:u w:val="none" w:color="auto"/>
          <w:lang w:val="en-US" w:eastAsia="zh-CN"/>
        </w:rPr>
        <w:t>加快推进“城市大脑”、“政务一体化平台”以及OA系统建设，完善</w:t>
      </w:r>
      <w:r>
        <w:rPr>
          <w:rFonts w:hint="default" w:ascii="Times New Roman" w:hAnsi="Times New Roman" w:eastAsia="仿宋_GB2312" w:cs="Times New Roman"/>
          <w:color w:val="auto"/>
          <w:kern w:val="2"/>
          <w:sz w:val="32"/>
          <w:szCs w:val="32"/>
          <w:highlight w:val="none"/>
          <w:u w:val="none" w:color="auto"/>
          <w:lang w:val="en-US" w:eastAsia="zh-CN" w:bidi="ar-SA"/>
        </w:rPr>
        <w:t>人口、法人、空间地理、电子证照、社会信用等五大基础库</w:t>
      </w:r>
      <w:r>
        <w:rPr>
          <w:rFonts w:hint="default"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构建涵盖供水、排水、燃气、市容、环卫、绿化、园林等方面的智能化城市管理综合平台，提高城市管理智能化程度。加强数字城管建设，围绕</w:t>
      </w:r>
      <w:r>
        <w:rPr>
          <w:rFonts w:hint="default" w:ascii="Times New Roman" w:hAnsi="Times New Roman" w:eastAsia="仿宋_GB2312" w:cs="Times New Roman"/>
          <w:color w:val="auto"/>
          <w:sz w:val="32"/>
          <w:szCs w:val="32"/>
          <w:highlight w:val="none"/>
          <w:u w:val="none" w:color="auto"/>
          <w:lang w:val="en-US" w:eastAsia="zh-CN"/>
        </w:rPr>
        <w:t>城市管理、公共服务，</w:t>
      </w:r>
      <w:r>
        <w:rPr>
          <w:rFonts w:hint="default" w:ascii="Times New Roman" w:hAnsi="Times New Roman" w:eastAsia="仿宋_GB2312" w:cs="Times New Roman"/>
          <w:color w:val="auto"/>
          <w:kern w:val="2"/>
          <w:sz w:val="32"/>
          <w:szCs w:val="32"/>
          <w:highlight w:val="none"/>
          <w:u w:val="none" w:color="auto"/>
          <w:lang w:val="en-US" w:eastAsia="zh-CN" w:bidi="ar-SA"/>
        </w:rPr>
        <w:t>建立</w:t>
      </w:r>
      <w:r>
        <w:rPr>
          <w:rFonts w:hint="default" w:ascii="Times New Roman" w:hAnsi="Times New Roman" w:eastAsia="仿宋_GB2312" w:cs="Times New Roman"/>
          <w:color w:val="auto"/>
          <w:sz w:val="32"/>
          <w:szCs w:val="32"/>
          <w:highlight w:val="none"/>
          <w:u w:val="none" w:color="auto"/>
          <w:lang w:val="en-US" w:eastAsia="zh-CN"/>
        </w:rPr>
        <w:t>沟通快捷、责任到位、处置及时、运转高效的监督和处置新机制，促进城市管理向城市治理转变。</w:t>
      </w:r>
      <w:r>
        <w:rPr>
          <w:rFonts w:hint="default" w:ascii="Times New Roman" w:hAnsi="Times New Roman" w:eastAsia="仿宋_GB2312" w:cs="Times New Roman"/>
          <w:color w:val="auto"/>
          <w:kern w:val="2"/>
          <w:sz w:val="32"/>
          <w:szCs w:val="32"/>
          <w:highlight w:val="none"/>
          <w:u w:val="none" w:color="auto"/>
          <w:lang w:val="en-US" w:eastAsia="zh-CN" w:bidi="ar-SA"/>
        </w:rPr>
        <w:t>推进行政权力网上公开透明运行，实现所有行政权力事项“全流程、全业务、全覆盖”的实时监察。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32" w:name="_Toc471"/>
      <w:bookmarkStart w:id="33" w:name="_Toc22701"/>
      <w:r>
        <w:rPr>
          <w:rFonts w:hint="default" w:ascii="Times New Roman" w:hAnsi="Times New Roman" w:eastAsia="黑体" w:cs="Times New Roman"/>
          <w:b w:val="0"/>
          <w:bCs w:val="0"/>
          <w:color w:val="auto"/>
          <w:kern w:val="44"/>
          <w:sz w:val="32"/>
          <w:szCs w:val="32"/>
          <w:highlight w:val="none"/>
          <w:u w:val="none" w:color="auto"/>
          <w:lang w:val="en-US" w:eastAsia="zh-CN" w:bidi="ar-SA"/>
        </w:rPr>
        <w:t>第三节 加强高质量多层次住房保障</w:t>
      </w:r>
      <w:bookmarkEnd w:id="32"/>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b w:val="0"/>
          <w:bCs w:val="0"/>
          <w:color w:val="auto"/>
          <w:sz w:val="32"/>
          <w:szCs w:val="32"/>
          <w:highlight w:val="none"/>
          <w:u w:val="none" w:color="auto"/>
          <w:lang w:val="en-US" w:eastAsia="zh-CN"/>
        </w:rPr>
        <w:t>建立健全住房保障体系，以</w:t>
      </w:r>
      <w:r>
        <w:rPr>
          <w:rFonts w:hint="default" w:ascii="Times New Roman" w:hAnsi="Times New Roman" w:eastAsia="仿宋_GB2312" w:cs="Times New Roman"/>
          <w:b w:val="0"/>
          <w:bCs w:val="0"/>
          <w:color w:val="auto"/>
          <w:sz w:val="32"/>
          <w:szCs w:val="32"/>
          <w:highlight w:val="none"/>
          <w:u w:val="none" w:color="auto"/>
        </w:rPr>
        <w:t>全面改造与微改造相结合，有序推进老旧小区</w:t>
      </w:r>
      <w:r>
        <w:rPr>
          <w:rFonts w:hint="eastAsia" w:ascii="Times New Roman" w:hAnsi="Times New Roman" w:eastAsia="仿宋_GB2312" w:cs="Times New Roman"/>
          <w:b w:val="0"/>
          <w:bCs w:val="0"/>
          <w:color w:val="auto"/>
          <w:sz w:val="32"/>
          <w:szCs w:val="32"/>
          <w:highlight w:val="none"/>
          <w:u w:val="none" w:color="auto"/>
          <w:lang w:eastAsia="zh-CN"/>
        </w:rPr>
        <w:t>、</w:t>
      </w:r>
      <w:r>
        <w:rPr>
          <w:rFonts w:hint="eastAsia" w:ascii="Times New Roman" w:hAnsi="Times New Roman" w:eastAsia="仿宋_GB2312" w:cs="Times New Roman"/>
          <w:b w:val="0"/>
          <w:bCs w:val="0"/>
          <w:color w:val="auto"/>
          <w:sz w:val="32"/>
          <w:szCs w:val="32"/>
          <w:highlight w:val="none"/>
          <w:u w:val="none" w:color="auto"/>
          <w:lang w:val="en-US" w:eastAsia="zh-CN"/>
        </w:rPr>
        <w:t>棚户区</w:t>
      </w:r>
      <w:r>
        <w:rPr>
          <w:rFonts w:hint="default" w:ascii="Times New Roman" w:hAnsi="Times New Roman" w:eastAsia="仿宋_GB2312" w:cs="Times New Roman"/>
          <w:b w:val="0"/>
          <w:bCs w:val="0"/>
          <w:color w:val="auto"/>
          <w:sz w:val="32"/>
          <w:szCs w:val="32"/>
          <w:highlight w:val="none"/>
          <w:u w:val="none" w:color="auto"/>
        </w:rPr>
        <w:t>改造</w:t>
      </w:r>
      <w:r>
        <w:rPr>
          <w:rFonts w:hint="eastAsia" w:ascii="Times New Roman" w:hAnsi="Times New Roman" w:eastAsia="仿宋_GB2312" w:cs="Times New Roman"/>
          <w:b w:val="0"/>
          <w:bCs w:val="0"/>
          <w:color w:val="auto"/>
          <w:sz w:val="32"/>
          <w:szCs w:val="32"/>
          <w:highlight w:val="none"/>
          <w:u w:val="none" w:color="auto"/>
          <w:lang w:val="en-US" w:eastAsia="zh-CN"/>
        </w:rPr>
        <w:t>提升</w:t>
      </w:r>
      <w:r>
        <w:rPr>
          <w:rFonts w:hint="default" w:ascii="Times New Roman" w:hAnsi="Times New Roman" w:eastAsia="仿宋_GB2312" w:cs="Times New Roman"/>
          <w:b w:val="0"/>
          <w:bCs w:val="0"/>
          <w:color w:val="auto"/>
          <w:sz w:val="32"/>
          <w:szCs w:val="32"/>
          <w:highlight w:val="none"/>
          <w:u w:val="none" w:color="auto"/>
        </w:rPr>
        <w:t>，</w:t>
      </w:r>
      <w:r>
        <w:rPr>
          <w:rFonts w:hint="default" w:ascii="Times New Roman" w:hAnsi="Times New Roman" w:eastAsia="仿宋_GB2312" w:cs="Times New Roman"/>
          <w:b w:val="0"/>
          <w:bCs w:val="0"/>
          <w:color w:val="auto"/>
          <w:sz w:val="32"/>
          <w:szCs w:val="32"/>
          <w:highlight w:val="none"/>
          <w:u w:val="none" w:color="auto"/>
          <w:lang w:val="en-US" w:eastAsia="zh-CN"/>
        </w:rPr>
        <w:t>打造</w:t>
      </w:r>
      <w:r>
        <w:rPr>
          <w:rFonts w:hint="default" w:ascii="Times New Roman" w:hAnsi="Times New Roman" w:eastAsia="仿宋_GB2312" w:cs="Times New Roman"/>
          <w:b w:val="0"/>
          <w:bCs w:val="0"/>
          <w:color w:val="auto"/>
          <w:sz w:val="32"/>
          <w:szCs w:val="32"/>
          <w:highlight w:val="none"/>
          <w:u w:val="none" w:color="auto"/>
        </w:rPr>
        <w:t>15分钟社区</w:t>
      </w:r>
      <w:r>
        <w:rPr>
          <w:rFonts w:hint="default" w:ascii="Times New Roman" w:hAnsi="Times New Roman" w:eastAsia="仿宋_GB2312" w:cs="Times New Roman"/>
          <w:b w:val="0"/>
          <w:bCs w:val="0"/>
          <w:color w:val="auto"/>
          <w:sz w:val="32"/>
          <w:szCs w:val="32"/>
          <w:highlight w:val="none"/>
          <w:u w:val="none" w:color="auto"/>
          <w:lang w:val="en-US" w:eastAsia="zh-CN"/>
        </w:rPr>
        <w:t>优质</w:t>
      </w:r>
      <w:r>
        <w:rPr>
          <w:rFonts w:hint="default" w:ascii="Times New Roman" w:hAnsi="Times New Roman" w:eastAsia="仿宋_GB2312" w:cs="Times New Roman"/>
          <w:b w:val="0"/>
          <w:bCs w:val="0"/>
          <w:color w:val="auto"/>
          <w:sz w:val="32"/>
          <w:szCs w:val="32"/>
          <w:highlight w:val="none"/>
          <w:u w:val="none" w:color="auto"/>
        </w:rPr>
        <w:t>生活</w:t>
      </w:r>
      <w:r>
        <w:rPr>
          <w:rFonts w:hint="default" w:ascii="Times New Roman" w:hAnsi="Times New Roman" w:eastAsia="仿宋_GB2312" w:cs="Times New Roman"/>
          <w:b w:val="0"/>
          <w:bCs w:val="0"/>
          <w:color w:val="auto"/>
          <w:sz w:val="32"/>
          <w:szCs w:val="32"/>
          <w:highlight w:val="none"/>
          <w:u w:val="none" w:color="auto"/>
          <w:lang w:val="en-US" w:eastAsia="zh-CN"/>
        </w:rPr>
        <w:t>服务</w:t>
      </w:r>
      <w:r>
        <w:rPr>
          <w:rFonts w:hint="default" w:ascii="Times New Roman" w:hAnsi="Times New Roman" w:eastAsia="仿宋_GB2312" w:cs="Times New Roman"/>
          <w:b w:val="0"/>
          <w:bCs w:val="0"/>
          <w:color w:val="auto"/>
          <w:sz w:val="32"/>
          <w:szCs w:val="32"/>
          <w:highlight w:val="none"/>
          <w:u w:val="none" w:color="auto"/>
        </w:rPr>
        <w:t>圈，促进</w:t>
      </w:r>
      <w:r>
        <w:rPr>
          <w:rFonts w:hint="default" w:ascii="Times New Roman" w:hAnsi="Times New Roman" w:eastAsia="仿宋_GB2312" w:cs="Times New Roman"/>
          <w:b w:val="0"/>
          <w:bCs w:val="0"/>
          <w:color w:val="auto"/>
          <w:sz w:val="32"/>
          <w:szCs w:val="32"/>
          <w:highlight w:val="none"/>
          <w:u w:val="none" w:color="auto"/>
          <w:lang w:val="en-US" w:eastAsia="zh-CN"/>
        </w:rPr>
        <w:t>产城融合、</w:t>
      </w:r>
      <w:r>
        <w:rPr>
          <w:rFonts w:hint="default" w:ascii="Times New Roman" w:hAnsi="Times New Roman" w:eastAsia="仿宋_GB2312" w:cs="Times New Roman"/>
          <w:b w:val="0"/>
          <w:bCs w:val="0"/>
          <w:color w:val="auto"/>
          <w:sz w:val="32"/>
          <w:szCs w:val="32"/>
          <w:highlight w:val="none"/>
          <w:u w:val="none" w:color="auto"/>
        </w:rPr>
        <w:t>职住平衡。</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2" w:firstLineChars="200"/>
        <w:jc w:val="both"/>
        <w:textAlignment w:val="auto"/>
        <w:outlineLvl w:val="2"/>
        <w:rPr>
          <w:rFonts w:hint="default" w:ascii="Times New Roman" w:hAnsi="Times New Roman" w:eastAsia="楷体" w:cs="Times New Roman"/>
          <w:b/>
          <w:bCs/>
          <w:color w:val="auto"/>
          <w:sz w:val="32"/>
          <w:szCs w:val="32"/>
          <w:highlight w:val="none"/>
          <w:u w:val="none" w:color="auto"/>
        </w:rPr>
      </w:pPr>
      <w:r>
        <w:rPr>
          <w:rFonts w:hint="default" w:ascii="Times New Roman" w:hAnsi="Times New Roman" w:eastAsia="楷体" w:cs="Times New Roman"/>
          <w:b/>
          <w:bCs/>
          <w:color w:val="auto"/>
          <w:sz w:val="32"/>
          <w:szCs w:val="32"/>
          <w:highlight w:val="none"/>
          <w:u w:val="none" w:color="auto"/>
          <w:lang w:val="en-US" w:eastAsia="zh-CN"/>
        </w:rPr>
        <w:t>一、完善</w:t>
      </w:r>
      <w:r>
        <w:rPr>
          <w:rFonts w:hint="default" w:ascii="Times New Roman" w:hAnsi="Times New Roman" w:eastAsia="楷体" w:cs="Times New Roman"/>
          <w:b/>
          <w:bCs/>
          <w:color w:val="auto"/>
          <w:sz w:val="32"/>
          <w:szCs w:val="32"/>
          <w:highlight w:val="none"/>
          <w:u w:val="none" w:color="auto"/>
          <w:lang w:eastAsia="zh-CN"/>
        </w:rPr>
        <w:t>住</w:t>
      </w:r>
      <w:r>
        <w:rPr>
          <w:rFonts w:hint="default" w:ascii="Times New Roman" w:hAnsi="Times New Roman" w:eastAsia="楷体" w:cs="Times New Roman"/>
          <w:b/>
          <w:bCs/>
          <w:color w:val="auto"/>
          <w:sz w:val="32"/>
          <w:szCs w:val="32"/>
          <w:highlight w:val="none"/>
          <w:u w:val="none" w:color="auto"/>
        </w:rPr>
        <w:t>房</w:t>
      </w:r>
      <w:r>
        <w:rPr>
          <w:rFonts w:hint="default" w:ascii="Times New Roman" w:hAnsi="Times New Roman" w:eastAsia="楷体" w:cs="Times New Roman"/>
          <w:b/>
          <w:bCs/>
          <w:color w:val="auto"/>
          <w:sz w:val="32"/>
          <w:szCs w:val="32"/>
          <w:highlight w:val="none"/>
          <w:u w:val="none" w:color="auto"/>
          <w:lang w:val="en-US" w:eastAsia="zh-CN"/>
        </w:rPr>
        <w:t>市场和保障</w:t>
      </w:r>
      <w:r>
        <w:rPr>
          <w:rFonts w:hint="default" w:ascii="Times New Roman" w:hAnsi="Times New Roman" w:eastAsia="楷体" w:cs="Times New Roman"/>
          <w:b/>
          <w:bCs/>
          <w:color w:val="auto"/>
          <w:sz w:val="32"/>
          <w:szCs w:val="32"/>
          <w:highlight w:val="none"/>
          <w:u w:val="none" w:color="auto"/>
        </w:rPr>
        <w:t>体系</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坚持“房住不炒”定位，全面落实因城施策，加快建立多主体供给、多渠道保障、租购并举的住房制度</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增加保障性住房供应，加大公租房保障力度，完善保障性住房配租政策和监管程序，严格规范准入、退出管理和租费标准。完善住房用地供应机制</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明确人才住房、安居型商品房和公共性租赁住房的用地指标和空间布局</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优先安排各类政策性保障房用地</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合理增加普通商品住房用地。</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2" w:firstLineChars="200"/>
        <w:jc w:val="both"/>
        <w:textAlignment w:val="auto"/>
        <w:outlineLvl w:val="2"/>
        <w:rPr>
          <w:rFonts w:hint="default" w:ascii="Times New Roman" w:hAnsi="Times New Roman" w:eastAsia="楷体" w:cs="Times New Roman"/>
          <w:b/>
          <w:bCs/>
          <w:color w:val="auto"/>
          <w:sz w:val="32"/>
          <w:szCs w:val="32"/>
          <w:highlight w:val="none"/>
          <w:u w:val="none" w:color="auto"/>
        </w:rPr>
      </w:pPr>
      <w:r>
        <w:rPr>
          <w:rFonts w:hint="default" w:ascii="Times New Roman" w:hAnsi="Times New Roman" w:eastAsia="楷体" w:cs="Times New Roman"/>
          <w:b/>
          <w:bCs/>
          <w:color w:val="auto"/>
          <w:sz w:val="32"/>
          <w:szCs w:val="32"/>
          <w:highlight w:val="none"/>
          <w:u w:val="none" w:color="auto"/>
          <w:lang w:val="en-US" w:eastAsia="zh-CN"/>
        </w:rPr>
        <w:t>二、</w:t>
      </w:r>
      <w:r>
        <w:rPr>
          <w:rFonts w:hint="default" w:ascii="Times New Roman" w:hAnsi="Times New Roman" w:eastAsia="楷体" w:cs="Times New Roman"/>
          <w:b/>
          <w:bCs/>
          <w:color w:val="auto"/>
          <w:sz w:val="32"/>
          <w:szCs w:val="32"/>
          <w:highlight w:val="none"/>
          <w:u w:val="none" w:color="auto"/>
        </w:rPr>
        <w:t>有序推进城镇老旧小区和棚户区改</w:t>
      </w:r>
      <w:r>
        <w:rPr>
          <w:rFonts w:hint="default" w:ascii="Times New Roman" w:hAnsi="Times New Roman" w:eastAsia="楷体" w:cs="Times New Roman"/>
          <w:b/>
          <w:bCs/>
          <w:color w:val="auto"/>
          <w:sz w:val="32"/>
          <w:szCs w:val="32"/>
          <w:highlight w:val="none"/>
          <w:u w:val="none" w:color="auto"/>
          <w:lang w:val="en-US" w:eastAsia="zh-CN"/>
        </w:rPr>
        <w:t>造</w:t>
      </w:r>
    </w:p>
    <w:p>
      <w:pPr>
        <w:keepNext w:val="0"/>
        <w:keepLines w:val="0"/>
        <w:pageBreakBefore w:val="0"/>
        <w:widowControl w:val="0"/>
        <w:kinsoku/>
        <w:wordWrap/>
        <w:topLinePunct w:val="0"/>
        <w:autoSpaceDE/>
        <w:autoSpaceDN/>
        <w:bidi w:val="0"/>
        <w:adjustRightInd/>
        <w:snapToGrid/>
        <w:spacing w:line="360" w:lineRule="auto"/>
        <w:ind w:left="0" w:leftChars="0" w:firstLine="640" w:firstLineChars="200"/>
        <w:textAlignment w:val="auto"/>
        <w:outlineLvl w:val="9"/>
        <w:rPr>
          <w:rFonts w:hint="default" w:ascii="Times New Roman" w:hAnsi="Times New Roman" w:eastAsia="楷体" w:cs="Times New Roman"/>
          <w:b/>
          <w:bCs/>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科学编制改造规划和年度改造计划</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分批次开展城镇老旧小区改造任务</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稳步推进城区老工业区搬迁改造和郊区、矿区、平定冶西独立工矿区改造搬迁。</w:t>
      </w:r>
      <w:r>
        <w:rPr>
          <w:rFonts w:hint="default" w:ascii="Times New Roman" w:hAnsi="Times New Roman" w:eastAsia="仿宋_GB2312" w:cs="Times New Roman"/>
          <w:color w:val="auto"/>
          <w:sz w:val="32"/>
          <w:szCs w:val="32"/>
          <w:highlight w:val="none"/>
          <w:u w:val="none" w:color="auto"/>
        </w:rPr>
        <w:t>积极探索老旧小区改造更新机制和长效管理机制。坚持尽力而为</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量力而行的原则</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以老城区内脏乱差的棚户区为重点</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稳步推进棚户区住房改造</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到2025年底</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全</w:t>
      </w:r>
      <w:r>
        <w:rPr>
          <w:rFonts w:hint="default" w:ascii="Times New Roman" w:hAnsi="Times New Roman" w:eastAsia="仿宋_GB2312" w:cs="Times New Roman"/>
          <w:color w:val="auto"/>
          <w:sz w:val="32"/>
          <w:szCs w:val="32"/>
          <w:highlight w:val="none"/>
          <w:u w:val="none" w:color="auto"/>
          <w:lang w:val="en-US" w:eastAsia="zh-CN"/>
        </w:rPr>
        <w:t>市</w:t>
      </w:r>
      <w:r>
        <w:rPr>
          <w:rFonts w:hint="default" w:ascii="Times New Roman" w:hAnsi="Times New Roman" w:eastAsia="仿宋_GB2312" w:cs="Times New Roman"/>
          <w:color w:val="auto"/>
          <w:sz w:val="32"/>
          <w:szCs w:val="32"/>
          <w:highlight w:val="none"/>
          <w:u w:val="none" w:color="auto"/>
        </w:rPr>
        <w:t>在建棚户区改造住房基本建成</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逐步实现房屋征</w:t>
      </w:r>
      <w:r>
        <w:rPr>
          <w:rFonts w:hint="default" w:ascii="Times New Roman" w:hAnsi="Times New Roman" w:eastAsia="仿宋_GB2312" w:cs="Times New Roman"/>
          <w:color w:val="auto"/>
          <w:sz w:val="32"/>
          <w:szCs w:val="32"/>
          <w:highlight w:val="none"/>
          <w:u w:val="none" w:color="auto"/>
          <w:lang w:val="en-US" w:eastAsia="zh-CN"/>
        </w:rPr>
        <w:t>收“0过渡”安置</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2" w:firstLineChars="200"/>
        <w:jc w:val="both"/>
        <w:textAlignment w:val="auto"/>
        <w:outlineLvl w:val="2"/>
        <w:rPr>
          <w:rFonts w:hint="default" w:ascii="Times New Roman" w:hAnsi="Times New Roman" w:eastAsia="楷体" w:cs="Times New Roman"/>
          <w:b/>
          <w:bCs/>
          <w:color w:val="auto"/>
          <w:sz w:val="32"/>
          <w:szCs w:val="32"/>
          <w:highlight w:val="none"/>
          <w:u w:val="none" w:color="auto"/>
        </w:rPr>
      </w:pPr>
      <w:r>
        <w:rPr>
          <w:rFonts w:hint="default" w:ascii="Times New Roman" w:hAnsi="Times New Roman" w:eastAsia="楷体" w:cs="Times New Roman"/>
          <w:b/>
          <w:bCs/>
          <w:color w:val="auto"/>
          <w:sz w:val="32"/>
          <w:szCs w:val="32"/>
          <w:highlight w:val="none"/>
          <w:u w:val="none" w:color="auto"/>
          <w:lang w:val="en-US" w:eastAsia="zh-CN"/>
        </w:rPr>
        <w:t>三、积极创建</w:t>
      </w:r>
      <w:r>
        <w:rPr>
          <w:rFonts w:hint="default" w:ascii="Times New Roman" w:hAnsi="Times New Roman" w:eastAsia="楷体" w:cs="Times New Roman"/>
          <w:b/>
          <w:bCs/>
          <w:color w:val="auto"/>
          <w:sz w:val="32"/>
          <w:szCs w:val="32"/>
          <w:highlight w:val="none"/>
          <w:u w:val="none" w:color="auto"/>
        </w:rPr>
        <w:t>全龄友好型城市社区</w:t>
      </w:r>
    </w:p>
    <w:p>
      <w:pPr>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加强婴幼儿照护、教育、公共卫生、文化和流通等基本公共服务体系建设，推动公共资源按常住人口规模配置，建设全龄友好型城市。</w:t>
      </w:r>
      <w:r>
        <w:rPr>
          <w:rFonts w:hint="default" w:ascii="Times New Roman" w:hAnsi="Times New Roman" w:eastAsia="仿宋_GB2312" w:cs="Times New Roman"/>
          <w:color w:val="auto"/>
          <w:sz w:val="32"/>
          <w:szCs w:val="32"/>
          <w:highlight w:val="none"/>
          <w:u w:val="none" w:color="auto"/>
        </w:rPr>
        <w:t>建设社区优质生活服务圈</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打造</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个</w:t>
      </w:r>
      <w:r>
        <w:rPr>
          <w:rFonts w:hint="default" w:ascii="Times New Roman" w:hAnsi="Times New Roman" w:eastAsia="仿宋_GB2312" w:cs="Times New Roman"/>
          <w:color w:val="auto"/>
          <w:sz w:val="32"/>
          <w:szCs w:val="32"/>
          <w:highlight w:val="none"/>
          <w:u w:val="none" w:color="auto"/>
          <w:lang w:val="en-US" w:eastAsia="zh-CN"/>
        </w:rPr>
        <w:t>以上</w:t>
      </w:r>
      <w:r>
        <w:rPr>
          <w:rFonts w:hint="default" w:ascii="Times New Roman" w:hAnsi="Times New Roman" w:eastAsia="仿宋_GB2312" w:cs="Times New Roman"/>
          <w:color w:val="auto"/>
          <w:sz w:val="32"/>
          <w:szCs w:val="32"/>
          <w:highlight w:val="none"/>
          <w:u w:val="none" w:color="auto"/>
        </w:rPr>
        <w:t>示范社区。实施全民健身设施补短板工程</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完善</w:t>
      </w:r>
      <w:r>
        <w:rPr>
          <w:rFonts w:hint="default" w:ascii="Times New Roman" w:hAnsi="Times New Roman" w:eastAsia="仿宋_GB2312" w:cs="Times New Roman"/>
          <w:color w:val="auto"/>
          <w:sz w:val="32"/>
          <w:szCs w:val="32"/>
          <w:highlight w:val="none"/>
          <w:u w:val="none" w:color="auto"/>
        </w:rPr>
        <w:t>市民广场、健身场地等公共体育设施建设。</w:t>
      </w:r>
      <w:r>
        <w:rPr>
          <w:rFonts w:hint="default" w:ascii="Times New Roman" w:hAnsi="Times New Roman" w:eastAsia="仿宋_GB2312" w:cs="Times New Roman"/>
          <w:color w:val="auto"/>
          <w:sz w:val="32"/>
          <w:szCs w:val="32"/>
          <w:highlight w:val="none"/>
          <w:u w:val="none" w:color="auto"/>
          <w:lang w:eastAsia="zh-CN"/>
        </w:rPr>
        <w:t>加强社区养老服务综合体建设，</w:t>
      </w:r>
      <w:r>
        <w:rPr>
          <w:rFonts w:hint="default" w:ascii="Times New Roman" w:hAnsi="Times New Roman" w:eastAsia="仿宋_GB2312" w:cs="Times New Roman"/>
          <w:color w:val="auto"/>
          <w:sz w:val="32"/>
          <w:szCs w:val="32"/>
          <w:highlight w:val="none"/>
          <w:u w:val="none" w:color="auto"/>
          <w:lang w:val="en-US" w:eastAsia="zh-CN"/>
        </w:rPr>
        <w:t>打</w:t>
      </w:r>
      <w:r>
        <w:rPr>
          <w:rFonts w:hint="default" w:ascii="Times New Roman" w:hAnsi="Times New Roman" w:eastAsia="仿宋_GB2312" w:cs="Times New Roman"/>
          <w:color w:val="auto"/>
          <w:sz w:val="32"/>
          <w:szCs w:val="32"/>
          <w:highlight w:val="none"/>
          <w:u w:val="none" w:color="auto"/>
        </w:rPr>
        <w:t>造老年宜居社区。加强儿童友好型医院</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儿童公园、自然游乐场、婴幼儿托管中心、母婴室示范点等建设</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积极创建儿童少年健康成长环境。</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十四五</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末，</w:t>
      </w:r>
      <w:r>
        <w:rPr>
          <w:rFonts w:hint="default" w:ascii="Times New Roman" w:hAnsi="Times New Roman" w:eastAsia="仿宋_GB2312" w:cs="Times New Roman"/>
          <w:color w:val="auto"/>
          <w:sz w:val="32"/>
          <w:szCs w:val="32"/>
          <w:highlight w:val="none"/>
          <w:u w:val="none" w:color="auto"/>
        </w:rPr>
        <w:t>实现生鲜菜市、洗衣理发、家政维修等基本便民服务社区全覆盖，社区养老、学前教育、特色文体等品质提升服务配置到位，私人定制、深度体验等个性化服务精准供给。</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2" w:firstLineChars="200"/>
        <w:jc w:val="both"/>
        <w:textAlignment w:val="auto"/>
        <w:outlineLvl w:val="2"/>
        <w:rPr>
          <w:rFonts w:hint="default" w:ascii="Times New Roman" w:hAnsi="Times New Roman" w:eastAsia="楷体" w:cs="Times New Roman"/>
          <w:b/>
          <w:bCs/>
          <w:color w:val="auto"/>
          <w:sz w:val="32"/>
          <w:szCs w:val="32"/>
          <w:highlight w:val="none"/>
          <w:u w:val="none" w:color="auto"/>
        </w:rPr>
      </w:pPr>
      <w:r>
        <w:rPr>
          <w:rFonts w:hint="default" w:ascii="Times New Roman" w:hAnsi="Times New Roman" w:eastAsia="楷体" w:cs="Times New Roman"/>
          <w:b/>
          <w:bCs/>
          <w:color w:val="auto"/>
          <w:sz w:val="32"/>
          <w:szCs w:val="32"/>
          <w:highlight w:val="none"/>
          <w:u w:val="none" w:color="auto"/>
          <w:lang w:val="en-US" w:eastAsia="zh-CN"/>
        </w:rPr>
        <w:t>四、</w:t>
      </w:r>
      <w:r>
        <w:rPr>
          <w:rFonts w:hint="default" w:ascii="Times New Roman" w:hAnsi="Times New Roman" w:eastAsia="楷体" w:cs="Times New Roman"/>
          <w:b/>
          <w:bCs/>
          <w:color w:val="auto"/>
          <w:sz w:val="32"/>
          <w:szCs w:val="32"/>
          <w:highlight w:val="none"/>
          <w:u w:val="none" w:color="auto"/>
        </w:rPr>
        <w:t>开展</w:t>
      </w:r>
      <w:r>
        <w:rPr>
          <w:rFonts w:hint="default" w:ascii="Times New Roman" w:hAnsi="Times New Roman" w:eastAsia="楷体" w:cs="Times New Roman"/>
          <w:b/>
          <w:bCs/>
          <w:color w:val="auto"/>
          <w:sz w:val="32"/>
          <w:szCs w:val="32"/>
          <w:highlight w:val="none"/>
          <w:u w:val="none" w:color="auto"/>
          <w:lang w:val="en-US" w:eastAsia="zh-CN"/>
        </w:rPr>
        <w:t>完</w:t>
      </w:r>
      <w:r>
        <w:rPr>
          <w:rFonts w:hint="default" w:ascii="Times New Roman" w:hAnsi="Times New Roman" w:eastAsia="楷体" w:cs="Times New Roman"/>
          <w:b/>
          <w:bCs/>
          <w:color w:val="auto"/>
          <w:sz w:val="32"/>
          <w:szCs w:val="32"/>
          <w:highlight w:val="none"/>
          <w:u w:val="none" w:color="auto"/>
        </w:rPr>
        <w:t>整居住社区设施补短板行动</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按照</w:t>
      </w:r>
      <w:r>
        <w:rPr>
          <w:rFonts w:hint="default" w:ascii="Times New Roman" w:hAnsi="Times New Roman" w:eastAsia="仿宋_GB2312" w:cs="Times New Roman"/>
          <w:color w:val="auto"/>
          <w:sz w:val="32"/>
          <w:szCs w:val="32"/>
          <w:highlight w:val="none"/>
          <w:u w:val="none" w:color="auto"/>
          <w:lang w:val="en-US" w:eastAsia="zh-CN"/>
        </w:rPr>
        <w:t>省定</w:t>
      </w:r>
      <w:r>
        <w:rPr>
          <w:rFonts w:hint="default" w:ascii="Times New Roman" w:hAnsi="Times New Roman" w:eastAsia="仿宋_GB2312" w:cs="Times New Roman"/>
          <w:color w:val="auto"/>
          <w:sz w:val="32"/>
          <w:szCs w:val="32"/>
          <w:highlight w:val="none"/>
          <w:u w:val="none" w:color="auto"/>
        </w:rPr>
        <w:t>“六有五达标三完善”要求</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以完整居住社区配套设施和管理机制为着力点</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推动安全健康、设施完善、管理有序的完整居住社区建设</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提升居住社区建设质量、服务水平和管理能力</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因地制宜合理确定居住社区规模，</w:t>
      </w:r>
      <w:r>
        <w:rPr>
          <w:rFonts w:hint="default" w:ascii="Times New Roman" w:hAnsi="Times New Roman" w:eastAsia="仿宋_GB2312" w:cs="Times New Roman"/>
          <w:color w:val="auto"/>
          <w:sz w:val="32"/>
          <w:szCs w:val="32"/>
          <w:highlight w:val="none"/>
          <w:u w:val="none" w:color="auto"/>
        </w:rPr>
        <w:t>构建城市居民生活和城市治理的基本单元。</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十四五</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期间，全市</w:t>
      </w:r>
      <w:r>
        <w:rPr>
          <w:rFonts w:hint="default" w:ascii="Times New Roman" w:hAnsi="Times New Roman" w:eastAsia="仿宋_GB2312" w:cs="Times New Roman"/>
          <w:color w:val="auto"/>
          <w:sz w:val="32"/>
          <w:szCs w:val="32"/>
          <w:highlight w:val="none"/>
          <w:u w:val="none" w:color="auto"/>
        </w:rPr>
        <w:t>城市完整居住社区覆盖率</w:t>
      </w:r>
      <w:r>
        <w:rPr>
          <w:rFonts w:hint="default" w:ascii="Times New Roman" w:hAnsi="Times New Roman" w:eastAsia="仿宋_GB2312" w:cs="Times New Roman"/>
          <w:color w:val="auto"/>
          <w:sz w:val="32"/>
          <w:szCs w:val="32"/>
          <w:highlight w:val="none"/>
          <w:u w:val="none" w:color="auto"/>
          <w:lang w:val="en-US" w:eastAsia="zh-CN"/>
        </w:rPr>
        <w:t>实现稳步提升</w:t>
      </w:r>
      <w:r>
        <w:rPr>
          <w:rFonts w:hint="default" w:ascii="Times New Roman" w:hAnsi="Times New Roman" w:eastAsia="仿宋_GB2312" w:cs="Times New Roman"/>
          <w:color w:val="auto"/>
          <w:sz w:val="32"/>
          <w:szCs w:val="32"/>
          <w:highlight w:val="none"/>
          <w:u w:val="none" w:color="auto"/>
          <w:lang w:eastAsia="zh-CN"/>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22" w:type="dxa"/>
            <w:vAlign w:val="center"/>
          </w:tcPr>
          <w:p>
            <w:pPr>
              <w:pStyle w:val="9"/>
              <w:snapToGrid/>
              <w:spacing w:after="0" w:line="400" w:lineRule="exact"/>
              <w:jc w:val="center"/>
              <w:rPr>
                <w:rFonts w:hint="default" w:ascii="Times New Roman" w:hAnsi="Times New Roman" w:eastAsia="宋体" w:cs="Times New Roman"/>
                <w:b/>
                <w:bCs/>
                <w:color w:val="auto"/>
                <w:kern w:val="0"/>
                <w:sz w:val="28"/>
                <w:szCs w:val="28"/>
                <w:highlight w:val="none"/>
                <w:u w:val="none" w:color="auto"/>
                <w:vertAlign w:val="baseline"/>
              </w:rPr>
            </w:pPr>
            <w:r>
              <w:rPr>
                <w:rFonts w:hint="default" w:ascii="Times New Roman" w:hAnsi="Times New Roman" w:eastAsia="宋体" w:cs="Times New Roman"/>
                <w:b/>
                <w:bCs/>
                <w:color w:val="auto"/>
                <w:kern w:val="0"/>
                <w:sz w:val="28"/>
                <w:szCs w:val="28"/>
                <w:highlight w:val="none"/>
                <w:u w:val="none" w:color="auto"/>
              </w:rPr>
              <w:t>专栏</w:t>
            </w:r>
            <w:r>
              <w:rPr>
                <w:rFonts w:hint="default" w:ascii="Times New Roman" w:hAnsi="Times New Roman" w:eastAsia="宋体" w:cs="Times New Roman"/>
                <w:b/>
                <w:bCs/>
                <w:color w:val="auto"/>
                <w:kern w:val="0"/>
                <w:sz w:val="28"/>
                <w:szCs w:val="28"/>
                <w:highlight w:val="none"/>
                <w:u w:val="none" w:color="auto"/>
                <w:lang w:val="en-US" w:eastAsia="zh-CN"/>
              </w:rPr>
              <w:t>3-4</w:t>
            </w:r>
            <w:r>
              <w:rPr>
                <w:rFonts w:hint="default" w:ascii="Times New Roman" w:hAnsi="Times New Roman" w:eastAsia="宋体" w:cs="Times New Roman"/>
                <w:b/>
                <w:bCs/>
                <w:color w:val="auto"/>
                <w:kern w:val="0"/>
                <w:sz w:val="28"/>
                <w:szCs w:val="28"/>
                <w:highlight w:val="none"/>
                <w:u w:val="none" w:color="auto"/>
              </w:rPr>
              <w:t>：</w:t>
            </w:r>
            <w:r>
              <w:rPr>
                <w:rFonts w:hint="default" w:ascii="Times New Roman" w:hAnsi="Times New Roman" w:eastAsia="宋体" w:cs="Times New Roman"/>
                <w:b/>
                <w:bCs/>
                <w:color w:val="auto"/>
                <w:kern w:val="0"/>
                <w:sz w:val="28"/>
                <w:szCs w:val="28"/>
                <w:highlight w:val="none"/>
                <w:u w:val="none" w:color="auto"/>
                <w:lang w:val="en-US" w:eastAsia="zh-CN"/>
              </w:rPr>
              <w:t xml:space="preserve"> 住房改造项目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8522" w:type="dxa"/>
          </w:tcPr>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棚户区住房改造。</w:t>
            </w:r>
            <w:r>
              <w:rPr>
                <w:rFonts w:hint="default" w:ascii="Times New Roman" w:hAnsi="Times New Roman" w:eastAsia="宋体" w:cs="Times New Roman"/>
                <w:b w:val="0"/>
                <w:bCs w:val="0"/>
                <w:color w:val="auto"/>
                <w:kern w:val="2"/>
                <w:sz w:val="24"/>
                <w:szCs w:val="24"/>
                <w:highlight w:val="none"/>
                <w:u w:val="none" w:color="auto"/>
                <w:lang w:val="en-US" w:eastAsia="zh-CN" w:bidi="ar-SA"/>
              </w:rPr>
              <w:t>“十四五”累计改造2058套，实施白家庄、齐家堰、路家山、南杨家庄、王垅、501矿、义东沟村城中村改造南苑东西区棚户区改造项目。</w:t>
            </w:r>
          </w:p>
          <w:p>
            <w:pPr>
              <w:pStyle w:val="9"/>
              <w:keepNext w:val="0"/>
              <w:keepLines w:val="0"/>
              <w:pageBreakBefore w:val="0"/>
              <w:widowControl/>
              <w:kinsoku/>
              <w:wordWrap/>
              <w:overflowPunct/>
              <w:topLinePunct w:val="0"/>
              <w:autoSpaceDE/>
              <w:autoSpaceDN/>
              <w:bidi w:val="0"/>
              <w:adjustRightInd/>
              <w:snapToGrid w:val="0"/>
              <w:spacing w:after="0" w:line="400" w:lineRule="exact"/>
              <w:ind w:left="0" w:leftChars="0" w:firstLine="481" w:firstLineChars="200"/>
              <w:textAlignment w:val="auto"/>
              <w:rPr>
                <w:rFonts w:hint="default" w:ascii="Times New Roman" w:hAnsi="Times New Roman" w:eastAsia="仿宋_GB2312" w:cs="Times New Roman"/>
                <w:color w:val="auto"/>
                <w:sz w:val="32"/>
                <w:szCs w:val="32"/>
                <w:highlight w:val="none"/>
                <w:u w:val="none" w:color="auto"/>
                <w:vertAlign w:val="baseline"/>
                <w:lang w:val="en-US"/>
              </w:rPr>
            </w:pPr>
            <w:r>
              <w:rPr>
                <w:rFonts w:hint="default" w:ascii="Times New Roman" w:hAnsi="Times New Roman" w:eastAsia="宋体" w:cs="Times New Roman"/>
                <w:b/>
                <w:bCs/>
                <w:color w:val="auto"/>
                <w:kern w:val="2"/>
                <w:sz w:val="24"/>
                <w:szCs w:val="24"/>
                <w:highlight w:val="none"/>
                <w:u w:val="none" w:color="auto"/>
                <w:lang w:val="en-US" w:eastAsia="zh-CN" w:bidi="ar-SA"/>
              </w:rPr>
              <w:t>城镇老旧小区改造。</w:t>
            </w:r>
            <w:r>
              <w:rPr>
                <w:rFonts w:hint="default" w:ascii="Times New Roman" w:hAnsi="Times New Roman" w:eastAsia="宋体" w:cs="Times New Roman"/>
                <w:b w:val="0"/>
                <w:bCs w:val="0"/>
                <w:color w:val="auto"/>
                <w:kern w:val="2"/>
                <w:sz w:val="24"/>
                <w:szCs w:val="24"/>
                <w:highlight w:val="none"/>
                <w:u w:val="none" w:color="auto"/>
                <w:lang w:val="en-US" w:eastAsia="zh-CN" w:bidi="ar-SA"/>
              </w:rPr>
              <w:t>基本完成全市508个城镇老旧小区改造任务，稳步推进既有住宅加装电梯，2021年完成172个城市老旧小区改造。</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outlineLvl w:val="1"/>
        <w:rPr>
          <w:rFonts w:hint="default" w:ascii="Times New Roman" w:hAnsi="Times New Roman" w:eastAsia="黑体" w:cs="Times New Roman"/>
          <w:b w:val="0"/>
          <w:bCs w:val="0"/>
          <w:color w:val="auto"/>
          <w:kern w:val="44"/>
          <w:sz w:val="32"/>
          <w:szCs w:val="32"/>
          <w:highlight w:val="none"/>
          <w:u w:val="none" w:color="auto"/>
          <w:lang w:val="en-US" w:eastAsia="zh-CN" w:bidi="ar-SA"/>
        </w:rPr>
      </w:pPr>
      <w:bookmarkStart w:id="34" w:name="_Toc23251"/>
      <w:r>
        <w:rPr>
          <w:rFonts w:hint="default" w:ascii="Times New Roman" w:hAnsi="Times New Roman" w:eastAsia="黑体" w:cs="Times New Roman"/>
          <w:b w:val="0"/>
          <w:bCs w:val="0"/>
          <w:color w:val="auto"/>
          <w:kern w:val="44"/>
          <w:sz w:val="32"/>
          <w:szCs w:val="32"/>
          <w:highlight w:val="none"/>
          <w:u w:val="none" w:color="auto"/>
          <w:lang w:val="en-US" w:eastAsia="zh-CN" w:bidi="ar-SA"/>
        </w:rPr>
        <w:t>第四节 加快建设美丽宜居乡村</w:t>
      </w:r>
      <w:bookmarkEnd w:id="34"/>
    </w:p>
    <w:p>
      <w:pPr>
        <w:keepNext w:val="0"/>
        <w:keepLines w:val="0"/>
        <w:pageBreakBefore w:val="0"/>
        <w:widowControl w:val="0"/>
        <w:tabs>
          <w:tab w:val="left" w:pos="1867"/>
        </w:tabs>
        <w:kinsoku/>
        <w:wordWrap/>
        <w:overflowPunct/>
        <w:topLinePunct w:val="0"/>
        <w:autoSpaceDE/>
        <w:autoSpaceDN/>
        <w:bidi w:val="0"/>
        <w:adjustRightInd/>
        <w:snapToGrid/>
        <w:spacing w:beforeAutospacing="0" w:afterAutospacing="0" w:line="360" w:lineRule="auto"/>
        <w:ind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color="auto"/>
          <w:lang w:val="en-US" w:eastAsia="zh-CN"/>
        </w:rPr>
      </w:pPr>
      <w:r>
        <w:rPr>
          <w:rFonts w:hint="default" w:ascii="Times New Roman" w:hAnsi="Times New Roman" w:eastAsia="仿宋_GB2312" w:cs="Times New Roman"/>
          <w:color w:val="auto"/>
          <w:spacing w:val="0"/>
          <w:sz w:val="32"/>
          <w:szCs w:val="32"/>
          <w:highlight w:val="none"/>
          <w:u w:val="none" w:color="auto"/>
          <w:lang w:val="en-US" w:eastAsia="zh-CN"/>
        </w:rPr>
        <w:t>实施乡村建设行动，持续强化农村基础设施建设，增加农村公共服务供给，建立农村人居环境长效治理机制，</w:t>
      </w:r>
      <w:r>
        <w:rPr>
          <w:rFonts w:hint="default" w:ascii="Times New Roman" w:hAnsi="Times New Roman" w:eastAsia="仿宋_GB2312" w:cs="Times New Roman"/>
          <w:color w:val="auto"/>
          <w:spacing w:val="0"/>
          <w:sz w:val="32"/>
          <w:szCs w:val="40"/>
          <w:highlight w:val="none"/>
          <w:u w:val="none" w:color="auto"/>
          <w:lang w:eastAsia="zh-CN"/>
        </w:rPr>
        <w:t>建设</w:t>
      </w:r>
      <w:r>
        <w:rPr>
          <w:rFonts w:hint="default" w:ascii="Times New Roman" w:hAnsi="Times New Roman" w:eastAsia="仿宋_GB2312" w:cs="Times New Roman"/>
          <w:color w:val="auto"/>
          <w:sz w:val="32"/>
          <w:szCs w:val="32"/>
          <w:highlight w:val="none"/>
          <w:u w:val="none" w:color="auto"/>
          <w:lang w:val="en-US" w:eastAsia="zh-CN"/>
        </w:rPr>
        <w:t>望得见山、看得见水、记得住乡愁的幸福家园</w:t>
      </w:r>
      <w:r>
        <w:rPr>
          <w:rFonts w:hint="default" w:ascii="Times New Roman" w:hAnsi="Times New Roman" w:eastAsia="仿宋_GB2312" w:cs="Times New Roman"/>
          <w:color w:val="auto"/>
          <w:spacing w:val="0"/>
          <w:sz w:val="32"/>
          <w:szCs w:val="40"/>
          <w:highlight w:val="none"/>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一、构建富有阳泉特色的乡村空间体系</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统筹县域城镇和村庄规划建设，</w:t>
      </w:r>
      <w:r>
        <w:rPr>
          <w:rFonts w:hint="default" w:ascii="Times New Roman" w:hAnsi="Times New Roman" w:eastAsia="仿宋_GB2312" w:cs="Times New Roman"/>
          <w:color w:val="auto"/>
          <w:sz w:val="32"/>
          <w:szCs w:val="32"/>
          <w:highlight w:val="none"/>
          <w:u w:val="none" w:color="auto"/>
        </w:rPr>
        <w:t>强化乡村规划设计和风貌管控，</w:t>
      </w:r>
      <w:r>
        <w:rPr>
          <w:rFonts w:hint="default" w:ascii="Times New Roman" w:hAnsi="Times New Roman" w:eastAsia="仿宋_GB2312" w:cs="Times New Roman"/>
          <w:color w:val="auto"/>
          <w:sz w:val="32"/>
          <w:szCs w:val="32"/>
          <w:highlight w:val="none"/>
          <w:u w:val="none" w:color="auto"/>
          <w:lang w:val="en-US" w:eastAsia="zh-CN"/>
        </w:rPr>
        <w:t>实施乡村建设行动</w:t>
      </w:r>
      <w:r>
        <w:rPr>
          <w:rFonts w:hint="default" w:ascii="Times New Roman" w:hAnsi="Times New Roman" w:eastAsia="仿宋_GB2312" w:cs="Times New Roman"/>
          <w:color w:val="auto"/>
          <w:sz w:val="32"/>
          <w:szCs w:val="32"/>
          <w:highlight w:val="none"/>
          <w:u w:val="none" w:color="auto"/>
        </w:rPr>
        <w:t>，建设具有乡土气息的美丽宜居乡村。加大传统村落民居和历史文化名村名镇保护力度，弘扬传统农耕文化，提升田园风光品质。保护小河村、大阳泉村、大汖村、娘子关等历史文化古村落古关口，打造一批“太行人家”和“长城人家”。规范农村住房建设秩序，提升农房建设质量。</w:t>
      </w:r>
    </w:p>
    <w:p>
      <w:pPr>
        <w:keepNext w:val="0"/>
        <w:keepLines w:val="0"/>
        <w:pageBreakBefore w:val="0"/>
        <w:kinsoku/>
        <w:wordWrap/>
        <w:overflowPunct/>
        <w:topLinePunct w:val="0"/>
        <w:autoSpaceDE/>
        <w:autoSpaceDN/>
        <w:bidi w:val="0"/>
        <w:adjustRightInd/>
        <w:snapToGrid/>
        <w:spacing w:line="360" w:lineRule="auto"/>
        <w:ind w:firstLine="642" w:firstLineChars="200"/>
        <w:textAlignment w:val="auto"/>
        <w:outlineLvl w:val="2"/>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楷体" w:cs="Times New Roman"/>
          <w:b/>
          <w:bCs/>
          <w:color w:val="auto"/>
          <w:kern w:val="2"/>
          <w:sz w:val="32"/>
          <w:szCs w:val="32"/>
          <w:highlight w:val="none"/>
          <w:u w:val="none" w:color="auto"/>
          <w:lang w:val="en-US" w:eastAsia="zh-CN" w:bidi="ar-SA"/>
        </w:rPr>
        <w:t>二、全面改善农村人居环境</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pacing w:val="0"/>
          <w:sz w:val="32"/>
          <w:szCs w:val="32"/>
          <w:highlight w:val="none"/>
          <w:u w:val="none" w:color="auto"/>
          <w:lang w:val="en-US" w:eastAsia="zh-CN"/>
        </w:rPr>
      </w:pPr>
      <w:r>
        <w:rPr>
          <w:rFonts w:hint="default" w:ascii="Times New Roman" w:hAnsi="Times New Roman" w:eastAsia="仿宋_GB2312" w:cs="Times New Roman"/>
          <w:color w:val="auto"/>
          <w:spacing w:val="0"/>
          <w:sz w:val="32"/>
          <w:szCs w:val="32"/>
          <w:highlight w:val="none"/>
          <w:u w:val="none" w:color="auto"/>
          <w:lang w:val="en-US" w:eastAsia="zh-CN"/>
        </w:rPr>
        <w:t>坚持以农村人居环境示范县、示范片、示范村为引领，建设一批绿色生态村庄。深入推进农村人居环境整治，持续实施拆违治乱、垃圾治理、污水治理、“厕所革命”、卫生乡村等“专项行动”。积极参与省级农村生活垃圾治理和农村生活垃圾分类先进县评选活动，推广就地分类、源头减量试点。完善乡村建设和管护机制，建立“五有”、“四统一”、依效付费、农户付费、村民承接小型项目、专业化培训、项目审批等生态宜居长效机制。大力开展“文明村镇”“卫生家庭”评选创建活动，加强农村精神文明建设，完善村规民约，引导群众移风易俗。</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三、补齐农村基础设施短板</w:t>
      </w:r>
    </w:p>
    <w:p>
      <w:pPr>
        <w:keepNext w:val="0"/>
        <w:keepLines w:val="0"/>
        <w:pageBreakBefore w:val="0"/>
        <w:widowControl w:val="0"/>
        <w:numPr>
          <w:ilvl w:val="0"/>
          <w:numId w:val="0"/>
        </w:numPr>
        <w:tabs>
          <w:tab w:val="left" w:pos="1867"/>
        </w:tabs>
        <w:kinsoku/>
        <w:wordWrap/>
        <w:overflowPunct/>
        <w:topLinePunct w:val="0"/>
        <w:autoSpaceDE/>
        <w:autoSpaceDN/>
        <w:bidi w:val="0"/>
        <w:adjustRightInd/>
        <w:snapToGrid/>
        <w:spacing w:line="360" w:lineRule="auto"/>
        <w:ind w:left="0"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shd w:val="clear" w:color="auto" w:fill="FFFFFF"/>
        </w:rPr>
        <w:t>加快入村入户道路、公共照明</w:t>
      </w:r>
      <w:r>
        <w:rPr>
          <w:rFonts w:hint="default" w:ascii="Times New Roman" w:hAnsi="Times New Roman" w:eastAsia="仿宋_GB2312" w:cs="Times New Roman"/>
          <w:color w:val="auto"/>
          <w:sz w:val="32"/>
          <w:szCs w:val="32"/>
          <w:highlight w:val="none"/>
          <w:u w:val="none" w:color="auto"/>
          <w:shd w:val="clear" w:color="auto" w:fill="FFFFFF"/>
          <w:lang w:val="en-US" w:eastAsia="zh-CN"/>
        </w:rPr>
        <w:t>等</w:t>
      </w:r>
      <w:r>
        <w:rPr>
          <w:rFonts w:hint="default" w:ascii="Times New Roman" w:hAnsi="Times New Roman" w:eastAsia="仿宋_GB2312" w:cs="Times New Roman"/>
          <w:color w:val="auto"/>
          <w:sz w:val="32"/>
          <w:szCs w:val="32"/>
          <w:highlight w:val="none"/>
          <w:u w:val="none" w:color="auto"/>
          <w:shd w:val="clear" w:color="auto" w:fill="FFFFFF"/>
        </w:rPr>
        <w:t>设施建设，</w:t>
      </w:r>
      <w:r>
        <w:rPr>
          <w:rFonts w:hint="default" w:ascii="Times New Roman" w:hAnsi="Times New Roman" w:eastAsia="仿宋_GB2312" w:cs="Times New Roman"/>
          <w:color w:val="auto"/>
          <w:sz w:val="32"/>
          <w:szCs w:val="32"/>
          <w:highlight w:val="none"/>
          <w:u w:val="none" w:color="auto"/>
        </w:rPr>
        <w:t>持续提升“四好农村路”覆盖率，基本解决道路泥泞、出行不便等问题。完善农村水利基础设施，构建大中小微结合、骨干和田间衔接、长期发挥效益的农村水利基础设施网络，提升节水供水和防洪减灾能力。有序实施农村电网升级改造</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增强10千伏线路供电能力和户均配变容量</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开展数字乡村建设，鼓励有条件的农村建设数字生活新服务先行区，</w:t>
      </w:r>
      <w:r>
        <w:rPr>
          <w:rFonts w:hint="default" w:ascii="Times New Roman" w:hAnsi="Times New Roman" w:eastAsia="仿宋_GB2312" w:cs="Times New Roman"/>
          <w:color w:val="auto"/>
          <w:sz w:val="32"/>
          <w:szCs w:val="32"/>
          <w:highlight w:val="none"/>
          <w:u w:val="none" w:color="auto"/>
        </w:rPr>
        <w:t>加快推动农村宽带通信网、移动互联网、数字电视网发展，提高行政村光纤网络通达率。完善贫困地区农村物流配送体系，提高农村物流网络节点覆盖率。</w:t>
      </w:r>
    </w:p>
    <w:p>
      <w:pPr>
        <w:keepNext w:val="0"/>
        <w:keepLines w:val="0"/>
        <w:pageBreakBefore w:val="0"/>
        <w:widowControl w:val="0"/>
        <w:numPr>
          <w:ilvl w:val="0"/>
          <w:numId w:val="0"/>
        </w:numPr>
        <w:tabs>
          <w:tab w:val="left" w:pos="1867"/>
        </w:tabs>
        <w:kinsoku/>
        <w:wordWrap/>
        <w:overflowPunct/>
        <w:topLinePunct w:val="0"/>
        <w:autoSpaceDE/>
        <w:autoSpaceDN/>
        <w:bidi w:val="0"/>
        <w:adjustRightInd/>
        <w:snapToGrid/>
        <w:spacing w:line="360" w:lineRule="auto"/>
        <w:ind w:left="0" w:firstLine="642" w:firstLineChars="200"/>
        <w:textAlignment w:val="auto"/>
        <w:outlineLvl w:val="2"/>
        <w:rPr>
          <w:rFonts w:hint="default" w:ascii="Times New Roman" w:hAnsi="Times New Roman" w:eastAsia="楷体" w:cs="Times New Roman"/>
          <w:b/>
          <w:bCs/>
          <w:color w:val="auto"/>
          <w:sz w:val="32"/>
          <w:szCs w:val="32"/>
          <w:highlight w:val="none"/>
          <w:u w:val="none" w:color="auto"/>
        </w:rPr>
      </w:pPr>
      <w:r>
        <w:rPr>
          <w:rFonts w:hint="default" w:ascii="Times New Roman" w:hAnsi="Times New Roman" w:eastAsia="楷体" w:cs="Times New Roman"/>
          <w:b/>
          <w:bCs/>
          <w:color w:val="auto"/>
          <w:sz w:val="32"/>
          <w:szCs w:val="32"/>
          <w:highlight w:val="none"/>
          <w:u w:val="none" w:color="auto"/>
          <w:lang w:val="en-US" w:eastAsia="zh-CN"/>
        </w:rPr>
        <w:t>四、</w:t>
      </w:r>
      <w:r>
        <w:rPr>
          <w:rFonts w:hint="default" w:ascii="Times New Roman" w:hAnsi="Times New Roman" w:eastAsia="楷体" w:cs="Times New Roman"/>
          <w:b/>
          <w:bCs/>
          <w:color w:val="auto"/>
          <w:sz w:val="32"/>
          <w:szCs w:val="32"/>
          <w:highlight w:val="none"/>
          <w:u w:val="none" w:color="auto"/>
        </w:rPr>
        <w:t>提升农村公共服务水平</w:t>
      </w:r>
    </w:p>
    <w:p>
      <w:pPr>
        <w:keepNext w:val="0"/>
        <w:keepLines w:val="0"/>
        <w:pageBreakBefore w:val="0"/>
        <w:widowControl w:val="0"/>
        <w:numPr>
          <w:ilvl w:val="0"/>
          <w:numId w:val="0"/>
        </w:numPr>
        <w:tabs>
          <w:tab w:val="left" w:pos="1867"/>
        </w:tabs>
        <w:kinsoku/>
        <w:wordWrap/>
        <w:overflowPunct/>
        <w:topLinePunct w:val="0"/>
        <w:autoSpaceDE/>
        <w:autoSpaceDN/>
        <w:bidi w:val="0"/>
        <w:adjustRightInd/>
        <w:snapToGrid/>
        <w:spacing w:line="360" w:lineRule="auto"/>
        <w:ind w:left="0"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强化农村公共服务供给县乡村统筹，引导医疗卫生</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社会保障</w:t>
      </w:r>
      <w:r>
        <w:rPr>
          <w:rFonts w:hint="default" w:ascii="Times New Roman" w:hAnsi="Times New Roman" w:eastAsia="仿宋_GB2312" w:cs="Times New Roman"/>
          <w:color w:val="auto"/>
          <w:sz w:val="32"/>
          <w:szCs w:val="32"/>
          <w:highlight w:val="none"/>
          <w:u w:val="none" w:color="auto"/>
        </w:rPr>
        <w:t>等资源向</w:t>
      </w:r>
      <w:r>
        <w:rPr>
          <w:rFonts w:hint="eastAsia" w:ascii="Times New Roman" w:hAnsi="Times New Roman" w:eastAsia="仿宋_GB2312" w:cs="Times New Roman"/>
          <w:color w:val="auto"/>
          <w:sz w:val="32"/>
          <w:szCs w:val="32"/>
          <w:highlight w:val="none"/>
          <w:u w:val="none" w:color="auto"/>
          <w:lang w:val="en-US" w:eastAsia="zh-CN"/>
        </w:rPr>
        <w:t>近郊村镇延伸</w:t>
      </w:r>
      <w:r>
        <w:rPr>
          <w:rFonts w:hint="default" w:ascii="Times New Roman" w:hAnsi="Times New Roman" w:eastAsia="仿宋_GB2312" w:cs="Times New Roman"/>
          <w:color w:val="auto"/>
          <w:sz w:val="32"/>
          <w:szCs w:val="32"/>
          <w:highlight w:val="none"/>
          <w:u w:val="none" w:color="auto"/>
        </w:rPr>
        <w:t>。优化农村学校布局，加强乡镇寄宿制学校建设，全面提升农村教学条件。大力发展农村学前教育，鼓励普惠性幼儿园发展。加大乡镇卫生院全科或助理全科、中医等短缺人员培养和培训力度</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提升基层医疗服务水平。建设一批集矛盾调解、金融服务、物流配送、网络代办、图书阅读、就业服务、卫生医疗、农村养老为一体的多功能服务中心。大力推进村卫生室标准化建设，确保基本医疗卫生服务覆盖全体农村居民。提高农民科技文化素质，推动乡村人才振兴。</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22" w:type="dxa"/>
          </w:tcPr>
          <w:p>
            <w:pPr>
              <w:pStyle w:val="9"/>
              <w:snapToGrid/>
              <w:spacing w:after="0" w:line="400" w:lineRule="exact"/>
              <w:jc w:val="center"/>
              <w:rPr>
                <w:rFonts w:hint="default" w:ascii="Times New Roman" w:hAnsi="Times New Roman" w:eastAsia="宋体" w:cs="Times New Roman"/>
                <w:b/>
                <w:bCs/>
                <w:color w:val="auto"/>
                <w:kern w:val="0"/>
                <w:sz w:val="28"/>
                <w:szCs w:val="28"/>
                <w:highlight w:val="none"/>
                <w:u w:val="none" w:color="auto"/>
                <w:lang w:val="en-US" w:eastAsia="zh-CN"/>
              </w:rPr>
            </w:pPr>
            <w:r>
              <w:rPr>
                <w:rFonts w:hint="default" w:ascii="Times New Roman" w:hAnsi="Times New Roman" w:eastAsia="宋体" w:cs="Times New Roman"/>
                <w:b/>
                <w:bCs/>
                <w:color w:val="auto"/>
                <w:kern w:val="0"/>
                <w:sz w:val="28"/>
                <w:szCs w:val="28"/>
                <w:highlight w:val="none"/>
                <w:u w:val="none" w:color="auto"/>
              </w:rPr>
              <w:t>专栏</w:t>
            </w:r>
            <w:r>
              <w:rPr>
                <w:rFonts w:hint="default" w:ascii="Times New Roman" w:hAnsi="Times New Roman" w:eastAsia="宋体" w:cs="Times New Roman"/>
                <w:b/>
                <w:bCs/>
                <w:color w:val="auto"/>
                <w:kern w:val="0"/>
                <w:sz w:val="28"/>
                <w:szCs w:val="28"/>
                <w:highlight w:val="none"/>
                <w:u w:val="none" w:color="auto"/>
                <w:lang w:val="en-US" w:eastAsia="zh-CN"/>
              </w:rPr>
              <w:t>3-5</w:t>
            </w:r>
            <w:r>
              <w:rPr>
                <w:rFonts w:hint="default" w:ascii="Times New Roman" w:hAnsi="Times New Roman" w:eastAsia="宋体" w:cs="Times New Roman"/>
                <w:b/>
                <w:bCs/>
                <w:color w:val="auto"/>
                <w:kern w:val="0"/>
                <w:sz w:val="28"/>
                <w:szCs w:val="28"/>
                <w:highlight w:val="none"/>
                <w:u w:val="none" w:color="auto"/>
              </w:rPr>
              <w:t>：</w:t>
            </w:r>
            <w:r>
              <w:rPr>
                <w:rFonts w:hint="default" w:ascii="Times New Roman" w:hAnsi="Times New Roman" w:eastAsia="宋体" w:cs="Times New Roman"/>
                <w:b/>
                <w:bCs/>
                <w:color w:val="auto"/>
                <w:kern w:val="0"/>
                <w:sz w:val="28"/>
                <w:szCs w:val="28"/>
                <w:highlight w:val="none"/>
                <w:u w:val="none" w:color="auto"/>
                <w:lang w:val="en-US" w:eastAsia="zh-CN"/>
              </w:rPr>
              <w:t xml:space="preserve"> </w:t>
            </w:r>
            <w:r>
              <w:rPr>
                <w:rFonts w:hint="default" w:ascii="Times New Roman" w:hAnsi="Times New Roman" w:eastAsia="宋体" w:cs="Times New Roman"/>
                <w:b/>
                <w:bCs/>
                <w:color w:val="auto"/>
                <w:kern w:val="0"/>
                <w:sz w:val="28"/>
                <w:szCs w:val="28"/>
                <w:highlight w:val="none"/>
                <w:u w:val="none" w:color="auto"/>
              </w:rPr>
              <w:t>农村人居环境改善</w:t>
            </w:r>
            <w:r>
              <w:rPr>
                <w:rFonts w:hint="default" w:ascii="Times New Roman" w:hAnsi="Times New Roman" w:eastAsia="宋体" w:cs="Times New Roman"/>
                <w:b/>
                <w:bCs/>
                <w:color w:val="auto"/>
                <w:kern w:val="0"/>
                <w:sz w:val="28"/>
                <w:szCs w:val="28"/>
                <w:highlight w:val="none"/>
                <w:u w:val="none" w:color="auto"/>
                <w:lang w:val="en-US" w:eastAsia="zh-CN"/>
              </w:rP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22" w:type="dxa"/>
          </w:tcPr>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农村安居工程。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继续争取国家政策资金支持，做好脱贫群众的住房安全动态保障工作；探索建立农村低收入群体基本住房安全保障机制、农房质量安全管护机制和动态监测机制。</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农村垃圾治理专项工程。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加强农村生活垃圾中转站和卫生填埋场建设，推进非正规垃圾堆放点整治，着力解决“垃圾围城”等突出问题。</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农村改厕工程。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大力实施旱厕改造，建造无害化卫生厕所，在群众聚居区建设公共厕所，每年按照要求完成省下达的农村厕所改造任务。到2025年底，全市新改造农村户厕</w:t>
            </w:r>
            <w:r>
              <w:rPr>
                <w:rFonts w:hint="eastAsia" w:ascii="Times New Roman" w:hAnsi="Times New Roman" w:cs="Times New Roman"/>
                <w:b w:val="0"/>
                <w:bCs w:val="0"/>
                <w:color w:val="auto"/>
                <w:kern w:val="2"/>
                <w:sz w:val="24"/>
                <w:szCs w:val="24"/>
                <w:highlight w:val="none"/>
                <w:u w:val="none" w:color="auto"/>
                <w:lang w:val="en-US" w:eastAsia="zh-CN" w:bidi="ar-SA"/>
              </w:rPr>
              <w:t>7</w:t>
            </w:r>
            <w:r>
              <w:rPr>
                <w:rFonts w:hint="default" w:ascii="Times New Roman" w:hAnsi="Times New Roman" w:eastAsia="宋体" w:cs="Times New Roman"/>
                <w:b w:val="0"/>
                <w:bCs w:val="0"/>
                <w:color w:val="auto"/>
                <w:kern w:val="2"/>
                <w:sz w:val="24"/>
                <w:szCs w:val="24"/>
                <w:highlight w:val="none"/>
                <w:u w:val="none" w:color="auto"/>
                <w:lang w:val="en-US" w:eastAsia="zh-CN" w:bidi="ar-SA"/>
              </w:rPr>
              <w:t>万户，全市农村卫生厕所普及率达到80%左右。</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农村生活污水治理专项工程。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推进村庄生活污水治理，加强城镇污水管网建设，将邻近市区村的生活污水纳入城镇污水处理体系集中处理。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农村环境整治工程。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重点整治乱堆乱放、乱搭乱建、乱扔乱倒等行为，打造干净整洁舒适的乡村环境。</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35" w:name="_Toc20395"/>
      <w:r>
        <w:rPr>
          <w:rFonts w:hint="default" w:ascii="Times New Roman" w:hAnsi="Times New Roman" w:eastAsia="黑体" w:cs="Times New Roman"/>
          <w:b w:val="0"/>
          <w:bCs w:val="0"/>
          <w:color w:val="auto"/>
          <w:kern w:val="44"/>
          <w:sz w:val="32"/>
          <w:szCs w:val="32"/>
          <w:highlight w:val="none"/>
          <w:u w:val="none" w:color="auto"/>
          <w:lang w:val="en-US" w:eastAsia="zh-CN" w:bidi="ar-SA"/>
        </w:rPr>
        <w:t xml:space="preserve">第五节 </w:t>
      </w:r>
      <w:bookmarkEnd w:id="22"/>
      <w:bookmarkEnd w:id="23"/>
      <w:bookmarkEnd w:id="26"/>
      <w:bookmarkEnd w:id="27"/>
      <w:r>
        <w:rPr>
          <w:rFonts w:hint="default" w:ascii="Times New Roman" w:hAnsi="Times New Roman" w:eastAsia="黑体" w:cs="Times New Roman"/>
          <w:b w:val="0"/>
          <w:bCs w:val="0"/>
          <w:color w:val="auto"/>
          <w:kern w:val="44"/>
          <w:sz w:val="32"/>
          <w:szCs w:val="32"/>
          <w:highlight w:val="none"/>
          <w:u w:val="none" w:color="auto"/>
          <w:lang w:val="en-US" w:eastAsia="zh-CN" w:bidi="ar-SA"/>
        </w:rPr>
        <w:t>打造城乡融合</w:t>
      </w:r>
      <w:r>
        <w:rPr>
          <w:rFonts w:hint="eastAsia" w:ascii="Times New Roman" w:hAnsi="Times New Roman" w:eastAsia="黑体" w:cs="Times New Roman"/>
          <w:b w:val="0"/>
          <w:bCs w:val="0"/>
          <w:color w:val="auto"/>
          <w:kern w:val="44"/>
          <w:sz w:val="32"/>
          <w:szCs w:val="32"/>
          <w:highlight w:val="none"/>
          <w:u w:val="none" w:color="auto"/>
          <w:lang w:val="en-US" w:eastAsia="zh-CN" w:bidi="ar-SA"/>
        </w:rPr>
        <w:t>发展</w:t>
      </w:r>
      <w:r>
        <w:rPr>
          <w:rFonts w:hint="default" w:ascii="Times New Roman" w:hAnsi="Times New Roman" w:eastAsia="黑体" w:cs="Times New Roman"/>
          <w:b w:val="0"/>
          <w:bCs w:val="0"/>
          <w:color w:val="auto"/>
          <w:kern w:val="44"/>
          <w:sz w:val="32"/>
          <w:szCs w:val="32"/>
          <w:highlight w:val="none"/>
          <w:u w:val="none" w:color="auto"/>
          <w:lang w:val="en-US" w:eastAsia="zh-CN" w:bidi="ar-SA"/>
        </w:rPr>
        <w:t>样板</w:t>
      </w:r>
      <w:bookmarkEnd w:id="33"/>
      <w:bookmarkEnd w:id="35"/>
    </w:p>
    <w:p>
      <w:pPr>
        <w:keepNext w:val="0"/>
        <w:keepLines w:val="0"/>
        <w:pageBreakBefore w:val="0"/>
        <w:widowControl w:val="0"/>
        <w:kinsoku/>
        <w:wordWrap/>
        <w:overflowPunct w:val="0"/>
        <w:topLinePunct w:val="0"/>
        <w:autoSpaceDE/>
        <w:autoSpaceDN/>
        <w:bidi w:val="0"/>
        <w:adjustRightInd/>
        <w:snapToGrid/>
        <w:spacing w:before="157" w:beforeLines="50" w:line="360" w:lineRule="auto"/>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以创建城乡融合发展示范市为引领，加快健全城乡融合发展体制机制，促进城乡要素自由流动、平等交换和公共资源合理配置，打造全国城乡融合发展样板。</w:t>
      </w:r>
    </w:p>
    <w:p>
      <w:pPr>
        <w:keepNext w:val="0"/>
        <w:keepLines w:val="0"/>
        <w:pageBreakBefore w:val="0"/>
        <w:widowControl w:val="0"/>
        <w:kinsoku/>
        <w:wordWrap/>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color w:val="auto"/>
          <w:kern w:val="2"/>
          <w:sz w:val="32"/>
          <w:szCs w:val="32"/>
          <w:highlight w:val="none"/>
          <w:u w:val="none" w:color="auto"/>
          <w:lang w:val="en-US" w:eastAsia="zh-CN" w:bidi="ar-SA"/>
        </w:rPr>
      </w:pPr>
      <w:bookmarkStart w:id="36" w:name="_Toc7704"/>
      <w:r>
        <w:rPr>
          <w:rFonts w:hint="default" w:ascii="Times New Roman" w:hAnsi="Times New Roman" w:eastAsia="楷体" w:cs="Times New Roman"/>
          <w:b/>
          <w:bCs/>
          <w:color w:val="auto"/>
          <w:kern w:val="2"/>
          <w:sz w:val="32"/>
          <w:szCs w:val="32"/>
          <w:highlight w:val="none"/>
          <w:u w:val="none" w:color="auto"/>
          <w:lang w:val="en-US" w:eastAsia="zh-CN" w:bidi="ar-SA"/>
        </w:rPr>
        <w:t>一、</w:t>
      </w:r>
      <w:r>
        <w:rPr>
          <w:rFonts w:hint="default" w:ascii="Times New Roman" w:hAnsi="Times New Roman" w:eastAsia="楷体_GB2312" w:cs="Times New Roman"/>
          <w:b/>
          <w:bCs/>
          <w:color w:val="auto"/>
          <w:sz w:val="32"/>
          <w:szCs w:val="32"/>
          <w:highlight w:val="none"/>
          <w:u w:val="none" w:color="auto"/>
          <w:lang w:val="en-US" w:eastAsia="zh-CN"/>
        </w:rPr>
        <w:t>创新</w:t>
      </w:r>
      <w:r>
        <w:rPr>
          <w:rFonts w:hint="default" w:ascii="Times New Roman" w:hAnsi="Times New Roman" w:eastAsia="楷体_GB2312" w:cs="Times New Roman"/>
          <w:b/>
          <w:bCs/>
          <w:color w:val="auto"/>
          <w:sz w:val="32"/>
          <w:szCs w:val="32"/>
          <w:highlight w:val="none"/>
          <w:u w:val="none" w:color="auto"/>
        </w:rPr>
        <w:t>城乡融合</w:t>
      </w:r>
      <w:bookmarkEnd w:id="36"/>
      <w:r>
        <w:rPr>
          <w:rFonts w:hint="default" w:ascii="Times New Roman" w:hAnsi="Times New Roman" w:eastAsia="楷体_GB2312" w:cs="Times New Roman"/>
          <w:b/>
          <w:bCs/>
          <w:color w:val="auto"/>
          <w:sz w:val="32"/>
          <w:szCs w:val="32"/>
          <w:highlight w:val="none"/>
          <w:u w:val="none" w:color="auto"/>
          <w:lang w:val="en-US" w:eastAsia="zh-CN"/>
        </w:rPr>
        <w:t>发展机制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zh-CN" w:eastAsia="zh-CN"/>
        </w:rPr>
        <w:t>创新人口管理模式，统一城乡户口登记制度，研究制定农村转移人口定居方案，推动农业转移人口市民化和吸引外来人口创业就业。建立城乡要素合理流动的体制机制，促进城乡资源、资金、技术、信息和劳动力等有序、有效流动和合理配置。</w:t>
      </w:r>
      <w:r>
        <w:rPr>
          <w:rFonts w:hint="default" w:ascii="Times New Roman" w:hAnsi="Times New Roman" w:eastAsia="仿宋_GB2312" w:cs="Times New Roman"/>
          <w:color w:val="auto"/>
          <w:sz w:val="32"/>
          <w:szCs w:val="32"/>
          <w:highlight w:val="none"/>
          <w:u w:val="none" w:color="auto"/>
          <w:lang w:val="en-US" w:eastAsia="zh-CN"/>
        </w:rPr>
        <w:t>以县域为整体，统筹推进城乡基础设施规划、建设、管护。健全城乡基础设施分级分类投入机制，积极引入社会资本，引导农民投入建设，支持</w:t>
      </w:r>
      <w:r>
        <w:rPr>
          <w:rFonts w:hint="eastAsia" w:ascii="Times New Roman" w:hAnsi="Times New Roman" w:eastAsia="仿宋_GB2312" w:cs="Times New Roman"/>
          <w:color w:val="auto"/>
          <w:sz w:val="32"/>
          <w:szCs w:val="32"/>
          <w:highlight w:val="none"/>
          <w:u w:val="none" w:color="auto"/>
          <w:lang w:val="en-US" w:eastAsia="zh-CN"/>
        </w:rPr>
        <w:t>平定、盂县和郊区</w:t>
      </w:r>
      <w:r>
        <w:rPr>
          <w:rFonts w:hint="default" w:ascii="Times New Roman" w:hAnsi="Times New Roman" w:eastAsia="仿宋_GB2312" w:cs="Times New Roman"/>
          <w:color w:val="auto"/>
          <w:sz w:val="32"/>
          <w:szCs w:val="32"/>
          <w:highlight w:val="none"/>
          <w:u w:val="none" w:color="auto"/>
          <w:lang w:val="en-US" w:eastAsia="zh-CN"/>
        </w:rPr>
        <w:t>开展城乡基础设施项目整体打包一体化建设试点。</w:t>
      </w:r>
      <w:r>
        <w:rPr>
          <w:rFonts w:hint="default" w:ascii="Times New Roman" w:hAnsi="Times New Roman" w:eastAsia="仿宋_GB2312" w:cs="Times New Roman"/>
          <w:color w:val="auto"/>
          <w:sz w:val="32"/>
          <w:szCs w:val="32"/>
          <w:highlight w:val="none"/>
          <w:u w:val="none" w:color="auto"/>
          <w:lang w:val="zh-CN" w:eastAsia="zh-CN"/>
        </w:rPr>
        <w:t>因地制宜实施产城融合，推动县域产业向园区集聚，</w:t>
      </w:r>
      <w:r>
        <w:rPr>
          <w:rFonts w:hint="default" w:ascii="Times New Roman" w:hAnsi="Times New Roman" w:eastAsia="仿宋_GB2312" w:cs="Times New Roman"/>
          <w:color w:val="auto"/>
          <w:sz w:val="32"/>
          <w:szCs w:val="32"/>
          <w:highlight w:val="none"/>
          <w:u w:val="none" w:color="auto"/>
          <w:lang w:val="en-US" w:eastAsia="zh-CN"/>
        </w:rPr>
        <w:t>发展劳动密集型的加工产业。</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2" w:firstLineChars="200"/>
        <w:jc w:val="both"/>
        <w:textAlignment w:val="auto"/>
        <w:outlineLvl w:val="2"/>
        <w:rPr>
          <w:rFonts w:hint="default" w:ascii="Times New Roman" w:hAnsi="Times New Roman" w:eastAsia="楷体" w:cs="Times New Roman"/>
          <w:b/>
          <w:bCs/>
          <w:color w:val="auto"/>
          <w:sz w:val="32"/>
          <w:szCs w:val="32"/>
          <w:highlight w:val="none"/>
          <w:u w:val="none" w:color="auto"/>
        </w:rPr>
      </w:pPr>
      <w:bookmarkStart w:id="37" w:name="_Toc2775"/>
      <w:r>
        <w:rPr>
          <w:rFonts w:hint="default" w:ascii="Times New Roman" w:hAnsi="Times New Roman" w:eastAsia="楷体" w:cs="Times New Roman"/>
          <w:b/>
          <w:bCs/>
          <w:color w:val="auto"/>
          <w:sz w:val="32"/>
          <w:szCs w:val="32"/>
          <w:highlight w:val="none"/>
          <w:u w:val="none" w:color="auto"/>
          <w:lang w:val="en-US" w:eastAsia="zh-CN"/>
        </w:rPr>
        <w:t>二、推进城乡治理现代化</w:t>
      </w:r>
    </w:p>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rPr>
        <w:t>抓好“党建引领、三治融合”村社治理新体系建设试点示范，推进郊区国家乡村治理体系建设试点和平定甘泉井村国家乡村治理示范村</w:t>
      </w:r>
      <w:r>
        <w:rPr>
          <w:rFonts w:hint="default" w:ascii="Times New Roman" w:hAnsi="Times New Roman" w:eastAsia="仿宋_GB2312" w:cs="Times New Roman"/>
          <w:color w:val="auto"/>
          <w:sz w:val="32"/>
          <w:szCs w:val="32"/>
          <w:highlight w:val="none"/>
          <w:u w:val="none" w:color="auto"/>
          <w:lang w:val="en-US" w:eastAsia="zh-CN"/>
        </w:rPr>
        <w:t>建设</w:t>
      </w:r>
      <w:r>
        <w:rPr>
          <w:rFonts w:hint="default" w:ascii="Times New Roman" w:hAnsi="Times New Roman" w:eastAsia="仿宋_GB2312" w:cs="Times New Roman"/>
          <w:color w:val="auto"/>
          <w:sz w:val="32"/>
          <w:szCs w:val="32"/>
          <w:highlight w:val="none"/>
          <w:u w:val="none" w:color="auto"/>
        </w:rPr>
        <w:t>，促进</w:t>
      </w:r>
      <w:r>
        <w:rPr>
          <w:rFonts w:hint="default" w:ascii="Times New Roman" w:hAnsi="Times New Roman" w:eastAsia="仿宋_GB2312" w:cs="Times New Roman"/>
          <w:color w:val="auto"/>
          <w:sz w:val="32"/>
          <w:szCs w:val="32"/>
          <w:highlight w:val="none"/>
          <w:u w:val="none" w:color="auto"/>
          <w:lang w:val="en-US" w:eastAsia="zh-CN"/>
        </w:rPr>
        <w:t>全市</w:t>
      </w:r>
      <w:r>
        <w:rPr>
          <w:rFonts w:hint="default" w:ascii="Times New Roman" w:hAnsi="Times New Roman" w:eastAsia="仿宋_GB2312" w:cs="Times New Roman"/>
          <w:color w:val="auto"/>
          <w:sz w:val="32"/>
          <w:szCs w:val="32"/>
          <w:highlight w:val="none"/>
          <w:u w:val="none" w:color="auto"/>
        </w:rPr>
        <w:t>乡村治理体系和治理能力现代化。全力做好信访维稳工作，打造“枫桥经验”阳泉特色。引深平安阳泉建设和扫黑除恶专项斗争，扎实开展“三零”单位创建工作，严防重大突发事件。积极引导</w:t>
      </w:r>
      <w:r>
        <w:rPr>
          <w:rFonts w:hint="default" w:ascii="Times New Roman" w:hAnsi="Times New Roman" w:eastAsia="仿宋_GB2312" w:cs="Times New Roman"/>
          <w:color w:val="auto"/>
          <w:sz w:val="32"/>
          <w:szCs w:val="32"/>
          <w:highlight w:val="none"/>
          <w:u w:val="none" w:color="auto"/>
          <w:lang w:val="en-US" w:eastAsia="zh-CN"/>
        </w:rPr>
        <w:t>社会组织参与城市</w:t>
      </w:r>
      <w:r>
        <w:rPr>
          <w:rFonts w:hint="default" w:ascii="Times New Roman" w:hAnsi="Times New Roman" w:eastAsia="仿宋_GB2312" w:cs="Times New Roman"/>
          <w:color w:val="auto"/>
          <w:sz w:val="32"/>
          <w:szCs w:val="32"/>
          <w:highlight w:val="none"/>
          <w:u w:val="none" w:color="auto"/>
        </w:rPr>
        <w:t>社会管理</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采取税费减免、购买服务、项目委托等</w:t>
      </w:r>
      <w:r>
        <w:rPr>
          <w:rFonts w:hint="default" w:ascii="Times New Roman" w:hAnsi="Times New Roman" w:eastAsia="仿宋_GB2312" w:cs="Times New Roman"/>
          <w:color w:val="auto"/>
          <w:sz w:val="32"/>
          <w:szCs w:val="32"/>
          <w:highlight w:val="none"/>
          <w:u w:val="none" w:color="auto"/>
          <w:lang w:val="en-US" w:eastAsia="zh-CN"/>
        </w:rPr>
        <w:t>形式，鼓励引</w:t>
      </w:r>
      <w:r>
        <w:rPr>
          <w:rFonts w:hint="default" w:ascii="Times New Roman" w:hAnsi="Times New Roman" w:eastAsia="仿宋_GB2312" w:cs="Times New Roman"/>
          <w:color w:val="auto"/>
          <w:sz w:val="32"/>
          <w:szCs w:val="32"/>
          <w:highlight w:val="none"/>
          <w:u w:val="none" w:color="auto"/>
        </w:rPr>
        <w:t>导社会力量参与社区公共服务、便民利民服务和</w:t>
      </w:r>
      <w:r>
        <w:rPr>
          <w:rFonts w:hint="default" w:ascii="Times New Roman" w:hAnsi="Times New Roman" w:eastAsia="仿宋_GB2312" w:cs="Times New Roman"/>
          <w:color w:val="auto"/>
          <w:sz w:val="32"/>
          <w:szCs w:val="32"/>
          <w:highlight w:val="none"/>
          <w:u w:val="none" w:color="auto"/>
          <w:lang w:val="en-US" w:eastAsia="zh-CN"/>
        </w:rPr>
        <w:t>社会管理。健</w:t>
      </w:r>
      <w:r>
        <w:rPr>
          <w:rFonts w:hint="default" w:ascii="Times New Roman" w:hAnsi="Times New Roman" w:eastAsia="仿宋_GB2312" w:cs="Times New Roman"/>
          <w:color w:val="auto"/>
          <w:sz w:val="32"/>
          <w:szCs w:val="32"/>
          <w:highlight w:val="none"/>
          <w:u w:val="none" w:color="auto"/>
        </w:rPr>
        <w:t>全以财政投入为主的稳定的村级组织运转经费保</w:t>
      </w:r>
      <w:r>
        <w:rPr>
          <w:rFonts w:hint="default" w:ascii="Times New Roman" w:hAnsi="Times New Roman" w:eastAsia="仿宋_GB2312" w:cs="Times New Roman"/>
          <w:color w:val="auto"/>
          <w:sz w:val="32"/>
          <w:szCs w:val="32"/>
          <w:highlight w:val="none"/>
          <w:u w:val="none" w:color="auto"/>
          <w:lang w:val="en-US" w:eastAsia="zh-CN"/>
        </w:rPr>
        <w:t>障机制，完善村</w:t>
      </w:r>
      <w:r>
        <w:rPr>
          <w:rFonts w:hint="default" w:ascii="Times New Roman" w:hAnsi="Times New Roman" w:eastAsia="仿宋_GB2312" w:cs="Times New Roman"/>
          <w:color w:val="auto"/>
          <w:sz w:val="32"/>
          <w:szCs w:val="32"/>
          <w:highlight w:val="none"/>
          <w:u w:val="none" w:color="auto"/>
        </w:rPr>
        <w:t>级议事协商制度。</w:t>
      </w:r>
    </w:p>
    <w:bookmarkEnd w:id="37"/>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600" w:firstLineChars="200"/>
        <w:jc w:val="both"/>
        <w:textAlignment w:val="auto"/>
        <w:outlineLvl w:val="0"/>
        <w:rPr>
          <w:rFonts w:hint="default" w:ascii="Times New Roman" w:hAnsi="Times New Roman" w:eastAsia="方正小标宋简体" w:cs="Times New Roman"/>
          <w:bCs/>
          <w:caps w:val="0"/>
          <w:color w:val="auto"/>
          <w:kern w:val="2"/>
          <w:sz w:val="30"/>
          <w:szCs w:val="30"/>
          <w:highlight w:val="none"/>
          <w:u w:val="none" w:color="auto"/>
          <w:lang w:val="en-US" w:eastAsia="zh-CN" w:bidi="ar-SA"/>
        </w:rPr>
      </w:pPr>
      <w:bookmarkStart w:id="38" w:name="_Toc27095"/>
      <w:bookmarkStart w:id="39" w:name="_Toc21357"/>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第四章 深入推进污染防治，</w:t>
      </w:r>
      <w:bookmarkEnd w:id="38"/>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高水平保护生态环境</w:t>
      </w:r>
      <w:bookmarkEnd w:id="39"/>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sz w:val="32"/>
          <w:szCs w:val="32"/>
          <w:highlight w:val="none"/>
          <w:u w:val="none" w:color="auto"/>
          <w:lang w:val="en-US" w:eastAsia="zh-CN"/>
        </w:rPr>
        <w:t>实施生态筑基战略，一体推进治山、治水、治气、治城，</w:t>
      </w:r>
      <w:r>
        <w:rPr>
          <w:rFonts w:hint="default" w:ascii="Times New Roman" w:hAnsi="Times New Roman" w:eastAsia="仿宋_GB2312" w:cs="Times New Roman"/>
          <w:b w:val="0"/>
          <w:bCs w:val="0"/>
          <w:color w:val="auto"/>
          <w:kern w:val="2"/>
          <w:sz w:val="32"/>
          <w:szCs w:val="32"/>
          <w:highlight w:val="none"/>
          <w:u w:val="none" w:color="auto"/>
          <w:lang w:val="zh-CN" w:eastAsia="zh-CN" w:bidi="ar-SA"/>
        </w:rPr>
        <w:t>坚决整治整改环保突出问题，着力提升</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城乡</w:t>
      </w:r>
      <w:r>
        <w:rPr>
          <w:rFonts w:hint="default" w:ascii="Times New Roman" w:hAnsi="Times New Roman" w:eastAsia="仿宋_GB2312" w:cs="Times New Roman"/>
          <w:b w:val="0"/>
          <w:bCs w:val="0"/>
          <w:color w:val="auto"/>
          <w:kern w:val="2"/>
          <w:sz w:val="32"/>
          <w:szCs w:val="32"/>
          <w:highlight w:val="none"/>
          <w:u w:val="none" w:color="auto"/>
          <w:lang w:val="zh-CN" w:eastAsia="zh-CN" w:bidi="ar-SA"/>
        </w:rPr>
        <w:t>人居环境和生产生活条件，</w:t>
      </w:r>
      <w:r>
        <w:rPr>
          <w:rFonts w:hint="default" w:ascii="Times New Roman" w:hAnsi="Times New Roman" w:eastAsia="仿宋_GB2312" w:cs="Times New Roman"/>
          <w:color w:val="auto"/>
          <w:sz w:val="32"/>
          <w:szCs w:val="32"/>
          <w:highlight w:val="none"/>
          <w:u w:val="none" w:color="auto"/>
        </w:rPr>
        <w:t>建设山清水秀、绿色发展的新典范</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仿宋_GB2312" w:cs="Times New Roman"/>
          <w:b/>
          <w:bCs/>
          <w:color w:val="auto"/>
          <w:kern w:val="2"/>
          <w:sz w:val="32"/>
          <w:szCs w:val="32"/>
          <w:highlight w:val="none"/>
          <w:u w:val="none" w:color="auto"/>
          <w:lang w:val="en-US" w:eastAsia="zh-CN" w:bidi="ar-SA"/>
        </w:rPr>
      </w:pPr>
      <w:bookmarkStart w:id="40" w:name="_Toc7464"/>
      <w:bookmarkStart w:id="41" w:name="_Toc15415"/>
      <w:r>
        <w:rPr>
          <w:rFonts w:hint="default" w:ascii="Times New Roman" w:hAnsi="Times New Roman" w:eastAsia="黑体" w:cs="Times New Roman"/>
          <w:color w:val="auto"/>
          <w:sz w:val="32"/>
          <w:szCs w:val="32"/>
          <w:highlight w:val="none"/>
          <w:u w:val="none" w:color="auto"/>
          <w:lang w:val="en-US" w:eastAsia="zh-CN"/>
        </w:rPr>
        <w:t>第一节 全面提升系统治水能力</w:t>
      </w:r>
      <w:bookmarkEnd w:id="40"/>
      <w:bookmarkEnd w:id="41"/>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rPr>
        <w:t>严格落实河湖长制</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坚持“五水同治”</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加强水源地及水源涵养区等生态功能区建设，</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深入推进污水管网配套建设，</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全面提升水环境质量</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42" w:name="_Toc19724"/>
      <w:r>
        <w:rPr>
          <w:rFonts w:hint="default" w:ascii="Times New Roman" w:hAnsi="Times New Roman" w:eastAsia="楷体_GB2312" w:cs="Times New Roman"/>
          <w:b/>
          <w:bCs w:val="0"/>
          <w:color w:val="auto"/>
          <w:kern w:val="0"/>
          <w:sz w:val="32"/>
          <w:szCs w:val="32"/>
          <w:highlight w:val="none"/>
          <w:u w:val="none" w:color="auto"/>
          <w:lang w:val="en-US" w:eastAsia="zh-CN" w:bidi="ar-SA"/>
        </w:rPr>
        <w:t>一、加快推进河流综合整治</w:t>
      </w:r>
      <w:bookmarkEnd w:id="42"/>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全面推行市、县、乡、村四级“河长制”，持续开展</w:t>
      </w:r>
      <w:r>
        <w:rPr>
          <w:rFonts w:hint="default" w:ascii="Times New Roman" w:hAnsi="Times New Roman" w:eastAsia="仿宋_GB2312" w:cs="Times New Roman"/>
          <w:color w:val="auto"/>
          <w:sz w:val="32"/>
          <w:szCs w:val="32"/>
          <w:highlight w:val="none"/>
          <w:u w:val="none" w:color="auto"/>
        </w:rPr>
        <w:t>滹沱河、乌河、龙华河、绵河、温河、桃河、南川河</w:t>
      </w:r>
      <w:r>
        <w:rPr>
          <w:rFonts w:hint="default" w:ascii="Times New Roman" w:hAnsi="Times New Roman" w:eastAsia="仿宋_GB2312" w:cs="Times New Roman"/>
          <w:color w:val="auto"/>
          <w:sz w:val="32"/>
          <w:szCs w:val="32"/>
          <w:highlight w:val="none"/>
          <w:u w:val="none" w:color="auto"/>
          <w:lang w:val="en-US" w:eastAsia="zh-CN"/>
        </w:rPr>
        <w:t>等</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河流水污染治理，力争到2025年全市水环境质量明显改善，国、省考河流断面消除劣Ⅴ类水体。加强入河排污口监管，推进排水管网智能建设，定期对入河排污口开展监测，确保工业企业、城镇生活污水、养殖、农村生活污水等达标排放。以恢复河流生态流量、保护利用水资源为目标，加强</w:t>
      </w:r>
      <w:r>
        <w:rPr>
          <w:rFonts w:hint="default" w:ascii="Times New Roman" w:hAnsi="Times New Roman" w:eastAsia="仿宋_GB2312" w:cs="Times New Roman"/>
          <w:color w:val="auto"/>
          <w:kern w:val="2"/>
          <w:sz w:val="32"/>
          <w:szCs w:val="32"/>
          <w:highlight w:val="none"/>
          <w:u w:val="none" w:color="auto"/>
          <w:lang w:val="en-US" w:eastAsia="zh-CN" w:bidi="ar-SA"/>
        </w:rPr>
        <w:t>娘子关岩溶泉</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保护，稳步推进龙华口调水工程、</w:t>
      </w:r>
      <w:r>
        <w:rPr>
          <w:rFonts w:hint="default" w:ascii="Times New Roman" w:hAnsi="Times New Roman" w:eastAsia="仿宋_GB2312" w:cs="Times New Roman"/>
          <w:color w:val="auto"/>
          <w:sz w:val="32"/>
          <w:szCs w:val="32"/>
          <w:highlight w:val="none"/>
          <w:u w:val="none" w:color="auto"/>
        </w:rPr>
        <w:t>大水网“第二横”滹沱河连通工程</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，推进河流生态补水常态化。有效防范矸石山、尾矿库等水污染风险，开展老窑水污染调查评估、修复治理及废弃钻井、取水井回填工程，实施地下水修复试点。</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43" w:name="_Toc29706"/>
      <w:r>
        <w:rPr>
          <w:rFonts w:hint="default" w:ascii="Times New Roman" w:hAnsi="Times New Roman" w:eastAsia="楷体_GB2312" w:cs="Times New Roman"/>
          <w:b/>
          <w:bCs w:val="0"/>
          <w:color w:val="auto"/>
          <w:kern w:val="0"/>
          <w:sz w:val="32"/>
          <w:szCs w:val="32"/>
          <w:highlight w:val="none"/>
          <w:u w:val="none" w:color="auto"/>
          <w:lang w:val="en-US" w:eastAsia="zh-CN" w:bidi="ar-SA"/>
        </w:rPr>
        <w:t>二、完善污水管网建设管理</w:t>
      </w:r>
      <w:bookmarkEnd w:id="43"/>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新城建设严格实行雨污分流，重点片区、城中村稳步推进雨污分流改造，进一步提高雨污分流率。规划建设建成区雨污分流排水管网改造工程（二期）等项目，改造管线长度34.8公里。</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实施</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阳泉市新建污水处理厂建设工程</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完成盂县、郊区污水处理厂提标升级改造。加强生活污水处理厂配套管网建设，严格管网建设标准，</w:t>
      </w:r>
      <w:r>
        <w:rPr>
          <w:rFonts w:hint="eastAsia" w:ascii="Times New Roman" w:hAnsi="Times New Roman" w:cs="Times New Roman"/>
          <w:b w:val="0"/>
          <w:bCs w:val="0"/>
          <w:color w:val="auto"/>
          <w:kern w:val="2"/>
          <w:sz w:val="32"/>
          <w:szCs w:val="32"/>
          <w:highlight w:val="none"/>
          <w:u w:val="none" w:color="auto"/>
          <w:lang w:val="en-US" w:eastAsia="zh-CN" w:bidi="ar-SA"/>
        </w:rPr>
        <w:t>城镇生活</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污水处理厂稳定达到</w:t>
      </w:r>
      <w:r>
        <w:rPr>
          <w:rFonts w:hint="eastAsia" w:ascii="Times New Roman" w:hAnsi="Times New Roman" w:cs="Times New Roman"/>
          <w:b w:val="0"/>
          <w:bCs w:val="0"/>
          <w:color w:val="auto"/>
          <w:kern w:val="2"/>
          <w:sz w:val="32"/>
          <w:szCs w:val="32"/>
          <w:highlight w:val="none"/>
          <w:u w:val="none" w:color="auto"/>
          <w:lang w:val="en-US" w:eastAsia="zh-CN" w:bidi="ar-SA"/>
        </w:rPr>
        <w:t>地表五类水标准</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，城镇污水处理厂污染物排放标准一级A标准，其中：化学需氧量、氨氮、总磷达到山西省《污水综合排放标准》（地表水V类水）</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。加强污水处理厂运行和在线监管，全面提高污水处理厂运行效率和运行水平。</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44" w:name="_Toc24194"/>
      <w:r>
        <w:rPr>
          <w:rFonts w:hint="default" w:ascii="Times New Roman" w:hAnsi="Times New Roman" w:eastAsia="楷体_GB2312" w:cs="Times New Roman"/>
          <w:b/>
          <w:bCs w:val="0"/>
          <w:color w:val="auto"/>
          <w:kern w:val="0"/>
          <w:sz w:val="32"/>
          <w:szCs w:val="32"/>
          <w:highlight w:val="none"/>
          <w:u w:val="none" w:color="auto"/>
          <w:lang w:val="en-US" w:eastAsia="zh-CN" w:bidi="ar-SA"/>
        </w:rPr>
        <w:t>三、加强农村生活污水治理</w:t>
      </w:r>
      <w:bookmarkEnd w:id="44"/>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以桃河、温河、阳胜河流经村庄为重点，梯次推进农村生活污水治理，扩大农村污水垃圾处理设施覆盖面。统筹推进农村“厕所革命”，与乡村风貌提升互补融合，大力推广农村厕所粪污无害化处理和资源化利用的治理模式，实现农村厕所粪污治理与生态循环农业协同推进。促进生产生活用水循环利用，探索将高标准农田建设、农田水利建设与农村生活污水治理相结合，在确保农业用水安全的前提下，实现农业农村水资源的良性循环。</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45" w:name="_Toc13941"/>
      <w:r>
        <w:rPr>
          <w:rFonts w:hint="default" w:ascii="Times New Roman" w:hAnsi="Times New Roman" w:eastAsia="楷体_GB2312" w:cs="Times New Roman"/>
          <w:b/>
          <w:bCs w:val="0"/>
          <w:color w:val="auto"/>
          <w:kern w:val="0"/>
          <w:sz w:val="32"/>
          <w:szCs w:val="32"/>
          <w:highlight w:val="none"/>
          <w:u w:val="none" w:color="auto"/>
          <w:lang w:val="en-US" w:eastAsia="zh-CN" w:bidi="ar-SA"/>
        </w:rPr>
        <w:t>四、加强流域面源污染防控</w:t>
      </w:r>
      <w:bookmarkEnd w:id="45"/>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加大娘子关饮用水源地违法建筑和排污口清理力度，定期开展饮用水源地环境风险排查。加强城市面源污染物收集、运输、处理处置全流程整治，大幅度削减入河面源污染。全面开展沿河违法种植养殖、违法搭建、暴露垃圾等清理工程，最大程度削减入库污染负荷。加快推进规模化畜禽养殖场标准化改造和处理设施提标。大力发展节水农业，加强节水灌溉工程建设和节水改造，实施化肥、农药零增长行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22" w:type="dxa"/>
          </w:tcPr>
          <w:p>
            <w:pPr>
              <w:pStyle w:val="9"/>
              <w:snapToGrid/>
              <w:spacing w:after="0" w:line="400" w:lineRule="exact"/>
              <w:jc w:val="center"/>
              <w:rPr>
                <w:rFonts w:hint="default" w:ascii="Times New Roman" w:hAnsi="Times New Roman" w:eastAsia="宋体" w:cs="Times New Roman"/>
                <w:b/>
                <w:bCs/>
                <w:color w:val="auto"/>
                <w:kern w:val="0"/>
                <w:sz w:val="28"/>
                <w:szCs w:val="28"/>
                <w:highlight w:val="none"/>
                <w:u w:val="none" w:color="auto"/>
                <w:lang w:val="en-US" w:eastAsia="zh-CN"/>
              </w:rPr>
            </w:pPr>
            <w:r>
              <w:rPr>
                <w:rFonts w:hint="default" w:ascii="Times New Roman" w:hAnsi="Times New Roman" w:eastAsia="宋体" w:cs="Times New Roman"/>
                <w:b/>
                <w:bCs/>
                <w:color w:val="auto"/>
                <w:kern w:val="0"/>
                <w:sz w:val="28"/>
                <w:szCs w:val="28"/>
                <w:highlight w:val="none"/>
                <w:u w:val="none" w:color="auto"/>
              </w:rPr>
              <w:t>专栏</w:t>
            </w:r>
            <w:r>
              <w:rPr>
                <w:rFonts w:hint="default" w:ascii="Times New Roman" w:hAnsi="Times New Roman" w:eastAsia="宋体" w:cs="Times New Roman"/>
                <w:b/>
                <w:bCs/>
                <w:color w:val="auto"/>
                <w:kern w:val="0"/>
                <w:sz w:val="28"/>
                <w:szCs w:val="28"/>
                <w:highlight w:val="none"/>
                <w:u w:val="none" w:color="auto"/>
                <w:lang w:val="en-US" w:eastAsia="zh-CN"/>
              </w:rPr>
              <w:t>4-1</w:t>
            </w:r>
            <w:r>
              <w:rPr>
                <w:rFonts w:hint="default" w:ascii="Times New Roman" w:hAnsi="Times New Roman" w:eastAsia="宋体" w:cs="Times New Roman"/>
                <w:b/>
                <w:bCs/>
                <w:color w:val="auto"/>
                <w:kern w:val="0"/>
                <w:sz w:val="28"/>
                <w:szCs w:val="28"/>
                <w:highlight w:val="none"/>
                <w:u w:val="none" w:color="auto"/>
              </w:rPr>
              <w:t>：</w:t>
            </w:r>
            <w:r>
              <w:rPr>
                <w:rFonts w:hint="default" w:ascii="Times New Roman" w:hAnsi="Times New Roman" w:eastAsia="宋体" w:cs="Times New Roman"/>
                <w:b/>
                <w:bCs/>
                <w:color w:val="auto"/>
                <w:kern w:val="0"/>
                <w:sz w:val="28"/>
                <w:szCs w:val="28"/>
                <w:highlight w:val="none"/>
                <w:u w:val="none" w:color="auto"/>
                <w:lang w:val="en-US" w:eastAsia="zh-CN"/>
              </w:rPr>
              <w:t xml:space="preserve"> </w:t>
            </w:r>
            <w:r>
              <w:rPr>
                <w:rFonts w:hint="default" w:ascii="Times New Roman" w:hAnsi="Times New Roman" w:eastAsia="宋体" w:cs="Times New Roman"/>
                <w:b/>
                <w:bCs/>
                <w:color w:val="auto"/>
                <w:kern w:val="0"/>
                <w:sz w:val="28"/>
                <w:szCs w:val="28"/>
                <w:highlight w:val="none"/>
                <w:u w:val="none" w:color="auto"/>
              </w:rPr>
              <w:t>水</w:t>
            </w:r>
            <w:r>
              <w:rPr>
                <w:rFonts w:hint="default" w:ascii="Times New Roman" w:hAnsi="Times New Roman" w:eastAsia="宋体" w:cs="Times New Roman"/>
                <w:b/>
                <w:bCs/>
                <w:color w:val="auto"/>
                <w:kern w:val="0"/>
                <w:sz w:val="28"/>
                <w:szCs w:val="28"/>
                <w:highlight w:val="none"/>
                <w:u w:val="none" w:color="auto"/>
                <w:lang w:val="en-US" w:eastAsia="zh-CN"/>
              </w:rPr>
              <w:t>环境质量改善重点</w:t>
            </w:r>
            <w:r>
              <w:rPr>
                <w:rFonts w:hint="default" w:ascii="Times New Roman" w:hAnsi="Times New Roman" w:eastAsia="宋体" w:cs="Times New Roman"/>
                <w:b/>
                <w:bCs/>
                <w:color w:val="auto"/>
                <w:kern w:val="0"/>
                <w:sz w:val="28"/>
                <w:szCs w:val="28"/>
                <w:highlight w:val="none"/>
                <w:u w:val="none" w:color="auto"/>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河流整治工程。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桃河河底生态修复工程、桃河蓄水池改造。</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污水管网建设。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建成区雨污分流排水管网改造（二期）、桃河中水管网建设工程，2021年改造雨污合流制管网28公里。</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污水处理厂建设。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2023年</w:t>
            </w:r>
            <w:r>
              <w:rPr>
                <w:rFonts w:hint="eastAsia" w:ascii="Times New Roman" w:hAnsi="Times New Roman" w:eastAsia="宋体" w:cs="Times New Roman"/>
                <w:b w:val="0"/>
                <w:bCs w:val="0"/>
                <w:color w:val="auto"/>
                <w:kern w:val="2"/>
                <w:sz w:val="24"/>
                <w:szCs w:val="24"/>
                <w:highlight w:val="none"/>
                <w:u w:val="none" w:color="auto"/>
                <w:lang w:val="en-US" w:eastAsia="zh-CN" w:bidi="ar-SA"/>
              </w:rPr>
              <w:t>底前，</w:t>
            </w:r>
            <w:r>
              <w:rPr>
                <w:rFonts w:hint="default" w:ascii="Times New Roman" w:hAnsi="Times New Roman" w:eastAsia="宋体" w:cs="Times New Roman"/>
                <w:b w:val="0"/>
                <w:bCs w:val="0"/>
                <w:color w:val="auto"/>
                <w:kern w:val="2"/>
                <w:sz w:val="24"/>
                <w:szCs w:val="24"/>
                <w:highlight w:val="none"/>
                <w:u w:val="none" w:color="auto"/>
                <w:lang w:val="en-US" w:eastAsia="zh-CN" w:bidi="ar-SA"/>
              </w:rPr>
              <w:t>基本完成阳泉市新建污水处理厂建设工程，完成盂县污水处理厂二期扩建工程。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排水管网智能建设。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开展排水管网基础数据普查，安装排水监管感知物联网监测设备，建立排水管网综合监管软件系统、完善污水管网水质监测系统。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调水供水工程。</w:t>
            </w:r>
            <w:r>
              <w:rPr>
                <w:rFonts w:hint="default" w:ascii="Times New Roman" w:hAnsi="Times New Roman" w:eastAsia="宋体" w:cs="Times New Roman"/>
                <w:b w:val="0"/>
                <w:bCs w:val="0"/>
                <w:color w:val="auto"/>
                <w:kern w:val="2"/>
                <w:sz w:val="24"/>
                <w:szCs w:val="24"/>
                <w:highlight w:val="none"/>
                <w:u w:val="none" w:color="auto"/>
                <w:lang w:val="en-US" w:eastAsia="zh-CN" w:bidi="ar-SA"/>
              </w:rPr>
              <w:t>加快推进龙华口调水工程；市区改造3条输水管线、9条配水管线，改造4套消毒系统，更新改造娘子关一期设备设施，完善水质改善二阶段工程，启动智慧水务工程；新城生态新城供水一期工程，改造</w:t>
            </w:r>
            <w:r>
              <w:rPr>
                <w:rFonts w:hint="eastAsia" w:ascii="Times New Roman" w:hAnsi="Times New Roman" w:cs="Times New Roman"/>
                <w:b w:val="0"/>
                <w:bCs w:val="0"/>
                <w:color w:val="auto"/>
                <w:kern w:val="2"/>
                <w:sz w:val="24"/>
                <w:szCs w:val="24"/>
                <w:highlight w:val="none"/>
                <w:u w:val="none" w:color="auto"/>
                <w:lang w:val="en-US" w:eastAsia="zh-CN" w:bidi="ar-SA"/>
              </w:rPr>
              <w:t>华阳集团</w:t>
            </w:r>
            <w:r>
              <w:rPr>
                <w:rFonts w:hint="default" w:ascii="Times New Roman" w:hAnsi="Times New Roman" w:eastAsia="宋体" w:cs="Times New Roman"/>
                <w:b w:val="0"/>
                <w:bCs w:val="0"/>
                <w:color w:val="auto"/>
                <w:kern w:val="2"/>
                <w:sz w:val="24"/>
                <w:szCs w:val="24"/>
                <w:highlight w:val="none"/>
                <w:u w:val="none" w:color="auto"/>
                <w:lang w:val="en-US" w:eastAsia="zh-CN" w:bidi="ar-SA"/>
              </w:rPr>
              <w:t>供水系统。</w:t>
            </w:r>
          </w:p>
        </w:tc>
      </w:tr>
    </w:tbl>
    <w:p>
      <w:pPr>
        <w:pStyle w:val="10"/>
        <w:keepNext w:val="0"/>
        <w:keepLines w:val="0"/>
        <w:pageBreakBefore w:val="0"/>
        <w:widowControl w:val="0"/>
        <w:kinsoku/>
        <w:wordWrap/>
        <w:topLinePunct w:val="0"/>
        <w:autoSpaceDE/>
        <w:autoSpaceDN/>
        <w:bidi w:val="0"/>
        <w:adjustRightInd/>
        <w:snapToGrid/>
        <w:spacing w:before="157" w:beforeLines="50" w:line="360" w:lineRule="auto"/>
        <w:ind w:left="0" w:leftChars="0" w:firstLine="0" w:firstLine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46" w:name="_Toc5333"/>
      <w:bookmarkStart w:id="47" w:name="_Toc1913"/>
      <w:r>
        <w:rPr>
          <w:rFonts w:hint="default" w:ascii="Times New Roman" w:hAnsi="Times New Roman" w:eastAsia="黑体" w:cs="Times New Roman"/>
          <w:color w:val="auto"/>
          <w:sz w:val="32"/>
          <w:szCs w:val="32"/>
          <w:highlight w:val="none"/>
          <w:u w:val="none" w:color="auto"/>
          <w:lang w:val="en-US" w:eastAsia="zh-CN"/>
        </w:rPr>
        <w:t>第二节 推进大气污染协同治理</w:t>
      </w:r>
      <w:bookmarkEnd w:id="46"/>
      <w:bookmarkEnd w:id="47"/>
    </w:p>
    <w:p>
      <w:pPr>
        <w:pStyle w:val="10"/>
        <w:keepNext w:val="0"/>
        <w:keepLines w:val="0"/>
        <w:pageBreakBefore w:val="0"/>
        <w:widowControl w:val="0"/>
        <w:kinsoku/>
        <w:wordWrap/>
        <w:topLinePunct w:val="0"/>
        <w:autoSpaceDE/>
        <w:autoSpaceDN/>
        <w:bidi w:val="0"/>
        <w:adjustRightInd/>
        <w:snapToGrid/>
        <w:spacing w:before="0" w:line="360" w:lineRule="auto"/>
        <w:ind w:left="0" w:leftChars="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强化“降尘、治企、控煤、管车、应对”五项措施，实施区域协同治理，促进氮氧化物和挥发性有机物协同减排、细颗粒物和臭氧协同控制，基本消除重污染天气，实现全市环境空气质量持续改善，增强人民的蓝天幸福感。</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48" w:name="_Toc27904"/>
      <w:r>
        <w:rPr>
          <w:rFonts w:hint="default" w:ascii="Times New Roman" w:hAnsi="Times New Roman" w:eastAsia="楷体_GB2312" w:cs="Times New Roman"/>
          <w:b/>
          <w:bCs w:val="0"/>
          <w:color w:val="auto"/>
          <w:kern w:val="0"/>
          <w:sz w:val="32"/>
          <w:szCs w:val="32"/>
          <w:highlight w:val="none"/>
          <w:u w:val="none" w:color="auto"/>
          <w:lang w:val="en-US" w:eastAsia="zh-CN" w:bidi="ar-SA"/>
        </w:rPr>
        <w:t>一、扎实优化调整能源结构</w:t>
      </w:r>
      <w:bookmarkEnd w:id="48"/>
    </w:p>
    <w:p>
      <w:pPr>
        <w:pStyle w:val="10"/>
        <w:keepNext w:val="0"/>
        <w:keepLines w:val="0"/>
        <w:pageBreakBefore w:val="0"/>
        <w:widowControl w:val="0"/>
        <w:kinsoku/>
        <w:wordWrap/>
        <w:topLinePunct w:val="0"/>
        <w:autoSpaceDE/>
        <w:autoSpaceDN/>
        <w:bidi w:val="0"/>
        <w:adjustRightInd/>
        <w:snapToGrid/>
        <w:spacing w:before="0" w:line="360" w:lineRule="auto"/>
        <w:ind w:left="0" w:leftChars="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加强重点领域节能，突出抓好有色金属、煤炭、电力、化工、建材等重点耗能行业节能工作。巩固提升冬季清洁取暖成果，优化清洁取暖方式。持续实施能源消费“双控”工程，重点削减非电燃料用煤，推进电能、清洁能源替代非电用煤，因地制宜发展风电、光伏、生物质能和地热能。广泛开展煤炭等量减量替代，按照企业为主、政府推动、居民可承受的原则，</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持续巩固冬季清洁取暖的成果</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49" w:name="_Toc18723"/>
      <w:r>
        <w:rPr>
          <w:rFonts w:hint="default" w:ascii="Times New Roman" w:hAnsi="Times New Roman" w:eastAsia="楷体_GB2312" w:cs="Times New Roman"/>
          <w:b/>
          <w:bCs w:val="0"/>
          <w:color w:val="auto"/>
          <w:kern w:val="0"/>
          <w:sz w:val="32"/>
          <w:szCs w:val="32"/>
          <w:highlight w:val="none"/>
          <w:u w:val="none" w:color="auto"/>
          <w:lang w:val="en-US" w:eastAsia="zh-CN" w:bidi="ar-SA"/>
        </w:rPr>
        <w:t>二、持续提升工业企业治污水平</w:t>
      </w:r>
      <w:bookmarkEnd w:id="49"/>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9"/>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严格执行排污许可制度，</w:t>
      </w:r>
      <w:r>
        <w:rPr>
          <w:rFonts w:hint="default" w:ascii="Times New Roman" w:hAnsi="Times New Roman" w:eastAsia="仿宋_GB2312" w:cs="Times New Roman"/>
          <w:color w:val="auto"/>
          <w:sz w:val="32"/>
          <w:szCs w:val="32"/>
          <w:highlight w:val="none"/>
          <w:u w:val="none" w:color="auto"/>
          <w:lang w:val="en-US" w:eastAsia="zh-CN"/>
        </w:rPr>
        <w:t>坚决</w:t>
      </w:r>
      <w:r>
        <w:rPr>
          <w:rFonts w:hint="default" w:ascii="Times New Roman" w:hAnsi="Times New Roman" w:eastAsia="仿宋_GB2312" w:cs="Times New Roman"/>
          <w:color w:val="auto"/>
          <w:sz w:val="32"/>
          <w:szCs w:val="32"/>
          <w:highlight w:val="none"/>
          <w:u w:val="none" w:color="auto"/>
          <w:lang w:eastAsia="zh-CN"/>
        </w:rPr>
        <w:t>控制新增污染物排放总量。</w:t>
      </w:r>
      <w:r>
        <w:rPr>
          <w:rFonts w:hint="default" w:ascii="Times New Roman" w:hAnsi="Times New Roman" w:eastAsia="仿宋_GB2312" w:cs="Times New Roman"/>
          <w:b w:val="0"/>
          <w:bCs w:val="0"/>
          <w:color w:val="auto"/>
          <w:kern w:val="0"/>
          <w:sz w:val="32"/>
          <w:szCs w:val="32"/>
          <w:highlight w:val="none"/>
          <w:u w:val="none" w:color="auto"/>
          <w:lang w:val="en-US" w:eastAsia="zh-CN"/>
        </w:rPr>
        <w:t>对有大气污染排放的工业企业，实施“一厂一策”管理，加强依法治污、精准治污。</w:t>
      </w:r>
      <w:r>
        <w:rPr>
          <w:rFonts w:hint="default" w:ascii="Times New Roman" w:hAnsi="Times New Roman" w:eastAsia="仿宋_GB2312" w:cs="Times New Roman"/>
          <w:color w:val="auto"/>
          <w:sz w:val="32"/>
          <w:szCs w:val="32"/>
          <w:highlight w:val="none"/>
          <w:u w:val="none" w:color="auto"/>
          <w:lang w:eastAsia="zh-CN"/>
        </w:rPr>
        <w:t>全面推进建材、有色、火电、铸造、煤炭等重点行业物料运输、装卸、储存、转移和工艺过程等无组织排放深度治理，加强行业环境保护规范化管理。</w:t>
      </w:r>
      <w:r>
        <w:rPr>
          <w:rFonts w:hint="default" w:ascii="Times New Roman" w:hAnsi="Times New Roman" w:eastAsia="仿宋_GB2312" w:cs="Times New Roman"/>
          <w:b w:val="0"/>
          <w:bCs w:val="0"/>
          <w:color w:val="auto"/>
          <w:kern w:val="0"/>
          <w:sz w:val="32"/>
          <w:szCs w:val="32"/>
          <w:highlight w:val="none"/>
          <w:u w:val="none" w:color="auto"/>
          <w:lang w:val="en-US" w:eastAsia="zh-CN"/>
        </w:rPr>
        <w:t>大力推广可资源化的烟气脱硫、脱氮技术，开展细颗粒物、</w:t>
      </w:r>
      <w:r>
        <w:rPr>
          <w:rFonts w:hint="eastAsia" w:ascii="Times New Roman" w:hAnsi="Times New Roman" w:eastAsia="仿宋_GB2312" w:cs="Times New Roman"/>
          <w:b w:val="0"/>
          <w:bCs w:val="0"/>
          <w:color w:val="auto"/>
          <w:kern w:val="0"/>
          <w:sz w:val="32"/>
          <w:szCs w:val="32"/>
          <w:highlight w:val="none"/>
          <w:u w:val="none" w:color="auto"/>
          <w:lang w:val="en-US" w:eastAsia="zh-CN"/>
        </w:rPr>
        <w:t>二氧化硫</w:t>
      </w:r>
      <w:r>
        <w:rPr>
          <w:rFonts w:hint="default" w:ascii="Times New Roman" w:hAnsi="Times New Roman" w:eastAsia="仿宋_GB2312" w:cs="Times New Roman"/>
          <w:b w:val="0"/>
          <w:bCs w:val="0"/>
          <w:color w:val="auto"/>
          <w:kern w:val="0"/>
          <w:sz w:val="32"/>
          <w:szCs w:val="32"/>
          <w:highlight w:val="none"/>
          <w:u w:val="none" w:color="auto"/>
          <w:lang w:val="en-US" w:eastAsia="zh-CN"/>
        </w:rPr>
        <w:t>、氮氧化物等多种污染物协同控制技术研究应用，推动大气污染源头治理。</w:t>
      </w:r>
      <w:r>
        <w:rPr>
          <w:rFonts w:hint="default" w:ascii="Times New Roman" w:hAnsi="Times New Roman" w:eastAsia="仿宋_GB2312" w:cs="Times New Roman"/>
          <w:color w:val="auto"/>
          <w:sz w:val="32"/>
          <w:szCs w:val="32"/>
          <w:highlight w:val="none"/>
          <w:u w:val="none" w:color="auto"/>
          <w:lang w:eastAsia="zh-CN"/>
        </w:rPr>
        <w:t>强化化工、工业涂装、包装印刷等重点行业VOCs综合治理。严格“两高一危一化”项目环境准入管理。</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50" w:name="_Toc2886"/>
      <w:r>
        <w:rPr>
          <w:rFonts w:hint="default" w:ascii="Times New Roman" w:hAnsi="Times New Roman" w:eastAsia="楷体_GB2312" w:cs="Times New Roman"/>
          <w:b/>
          <w:bCs w:val="0"/>
          <w:color w:val="auto"/>
          <w:kern w:val="0"/>
          <w:sz w:val="32"/>
          <w:szCs w:val="32"/>
          <w:highlight w:val="none"/>
          <w:u w:val="none" w:color="auto"/>
          <w:lang w:val="en-US" w:eastAsia="zh-CN" w:bidi="ar-SA"/>
        </w:rPr>
        <w:t>三、全面深化扬尘污染控制</w:t>
      </w:r>
      <w:bookmarkEnd w:id="50"/>
    </w:p>
    <w:p>
      <w:pPr>
        <w:pStyle w:val="10"/>
        <w:keepNext w:val="0"/>
        <w:keepLines w:val="0"/>
        <w:pageBreakBefore w:val="0"/>
        <w:widowControl w:val="0"/>
        <w:kinsoku/>
        <w:wordWrap/>
        <w:topLinePunct w:val="0"/>
        <w:autoSpaceDE/>
        <w:autoSpaceDN/>
        <w:bidi w:val="0"/>
        <w:adjustRightInd/>
        <w:snapToGrid/>
        <w:spacing w:before="0" w:line="360" w:lineRule="auto"/>
        <w:ind w:left="0" w:leftChars="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强化建筑工地扬尘监管，严格落实施工工地周边围挡、物料堆放覆盖、土方开挖湿法作业、路面硬化、出入车辆清洗、渣土车辆密闭运输“六个百分百”要求。大力推进智慧工地建设，5000平方米及以上土方建筑工地全部安装在线监测和视频监控，提升“智慧建筑”管理平台监管能力，确保施工扬尘治理达到环保要求。加强拆除工程和土地整备项目扬尘防治。有效减少城市道路扬尘，垃圾、渣土全部实行密闭化运输。强化城市道路清扫保洁，提高城市道路保洁标准和机扫比例。</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51" w:name="_Toc2863"/>
      <w:r>
        <w:rPr>
          <w:rFonts w:hint="default" w:ascii="Times New Roman" w:hAnsi="Times New Roman" w:eastAsia="楷体_GB2312" w:cs="Times New Roman"/>
          <w:b/>
          <w:bCs w:val="0"/>
          <w:color w:val="auto"/>
          <w:kern w:val="0"/>
          <w:sz w:val="32"/>
          <w:szCs w:val="32"/>
          <w:highlight w:val="none"/>
          <w:u w:val="none" w:color="auto"/>
          <w:lang w:val="en-US" w:eastAsia="zh-CN" w:bidi="ar-SA"/>
        </w:rPr>
        <w:t>四、推动交通运输转型升级</w:t>
      </w:r>
      <w:bookmarkEnd w:id="51"/>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开展交通基础设施绿色化行动，积极创建国家级公交都市，让简约适度、绿色低碳成为阳泉新名片。开展高排放车辆、非道路移动机械尾气达标治理。在主要物流货运通道和城市主要入口合理布设联合执法点，建立常态化柴油货车路检路查机制。推广使用新能源汽车，加强充电桩、充电设备设施建设，建成区新增和更新城市公交、出租车力争全部使用电动汽车或甲醇汽车，其中电动汽车比例不低于80%。</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22" w:type="dxa"/>
            <w:vAlign w:val="center"/>
          </w:tcPr>
          <w:p>
            <w:pPr>
              <w:pStyle w:val="9"/>
              <w:snapToGrid/>
              <w:spacing w:after="0" w:line="400" w:lineRule="exact"/>
              <w:jc w:val="center"/>
              <w:rPr>
                <w:rFonts w:hint="default" w:ascii="Times New Roman" w:hAnsi="Times New Roman" w:eastAsia="宋体" w:cs="Times New Roman"/>
                <w:b/>
                <w:bCs/>
                <w:color w:val="auto"/>
                <w:kern w:val="0"/>
                <w:sz w:val="28"/>
                <w:szCs w:val="28"/>
                <w:highlight w:val="none"/>
                <w:u w:val="none" w:color="auto"/>
                <w:lang w:val="en-US" w:eastAsia="zh-CN"/>
              </w:rPr>
            </w:pPr>
            <w:r>
              <w:rPr>
                <w:rFonts w:hint="default" w:ascii="Times New Roman" w:hAnsi="Times New Roman" w:eastAsia="宋体" w:cs="Times New Roman"/>
                <w:b/>
                <w:bCs/>
                <w:color w:val="auto"/>
                <w:kern w:val="0"/>
                <w:sz w:val="28"/>
                <w:szCs w:val="28"/>
                <w:highlight w:val="none"/>
                <w:u w:val="none" w:color="auto"/>
                <w:lang w:val="en-US" w:eastAsia="zh-CN"/>
              </w:rPr>
              <w:t>专栏4-2：大气环境质量提升工程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val="0"/>
                <w:bCs w:val="0"/>
                <w:color w:val="auto"/>
                <w:kern w:val="2"/>
                <w:sz w:val="24"/>
                <w:szCs w:val="24"/>
                <w:highlight w:val="none"/>
                <w:u w:val="none" w:color="auto"/>
                <w:lang w:val="en-US" w:eastAsia="zh-CN" w:bidi="ar-SA"/>
              </w:rPr>
              <w:t>进一步巩固冬季清洁取暖的成果，持续做好燃煤锅炉超低排放稳定运行工作，水泥建材等重点行业企业超低排放，VOCs综合治理，重型柴油车污染治理和扬尘污染控制等工程。</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jc w:val="center"/>
        <w:textAlignment w:val="auto"/>
        <w:outlineLvl w:val="1"/>
        <w:rPr>
          <w:rFonts w:hint="default" w:ascii="Times New Roman" w:hAnsi="Times New Roman" w:cs="Times New Roman"/>
          <w:color w:val="auto"/>
          <w:highlight w:val="none"/>
          <w:u w:val="none" w:color="auto"/>
          <w:lang w:val="en-US" w:eastAsia="zh-CN"/>
        </w:rPr>
      </w:pPr>
      <w:bookmarkStart w:id="52" w:name="_Toc17534"/>
      <w:bookmarkStart w:id="53" w:name="_Toc6825"/>
      <w:r>
        <w:rPr>
          <w:rFonts w:hint="default" w:ascii="Times New Roman" w:hAnsi="Times New Roman" w:eastAsia="黑体" w:cs="Times New Roman"/>
          <w:color w:val="auto"/>
          <w:sz w:val="32"/>
          <w:szCs w:val="32"/>
          <w:highlight w:val="none"/>
          <w:u w:val="none" w:color="auto"/>
          <w:lang w:val="en-US" w:eastAsia="zh-CN"/>
        </w:rPr>
        <w:t>第三节 加强土壤环境质量安全保障</w:t>
      </w:r>
      <w:bookmarkEnd w:id="52"/>
      <w:bookmarkEnd w:id="53"/>
    </w:p>
    <w:p>
      <w:pPr>
        <w:pStyle w:val="7"/>
        <w:keepNext w:val="0"/>
        <w:keepLines w:val="0"/>
        <w:pageBreakBefore w:val="0"/>
        <w:widowControl w:val="0"/>
        <w:kinsoku/>
        <w:wordWrap/>
        <w:topLinePunct w:val="0"/>
        <w:autoSpaceDE/>
        <w:autoSpaceDN/>
        <w:bidi w:val="0"/>
        <w:adjustRightInd/>
        <w:snapToGrid/>
        <w:spacing w:line="360" w:lineRule="auto"/>
        <w:ind w:left="0" w:leftChars="0"/>
        <w:textAlignment w:val="auto"/>
        <w:rPr>
          <w:rFonts w:hint="default" w:ascii="Times New Roman" w:hAnsi="Times New Roman" w:eastAsia="仿宋_GB2312" w:cs="Times New Roman"/>
          <w:color w:val="auto"/>
          <w:highlight w:val="none"/>
          <w:u w:val="none" w:color="auto"/>
          <w:lang w:val="en-US" w:eastAsia="zh-CN"/>
        </w:rPr>
      </w:pPr>
      <w:r>
        <w:rPr>
          <w:rFonts w:hint="default" w:ascii="Times New Roman" w:hAnsi="Times New Roman" w:eastAsia="仿宋_GB2312" w:cs="Times New Roman"/>
          <w:i w:val="0"/>
          <w:caps w:val="0"/>
          <w:color w:val="auto"/>
          <w:spacing w:val="0"/>
          <w:sz w:val="32"/>
          <w:szCs w:val="32"/>
          <w:highlight w:val="none"/>
          <w:u w:val="none" w:color="auto"/>
          <w:shd w:val="clear" w:color="auto" w:fill="FFFFFF"/>
        </w:rPr>
        <w:t>坚持预防为主、保护优先、风险管控，</w:t>
      </w:r>
      <w:r>
        <w:rPr>
          <w:rFonts w:hint="default" w:ascii="Times New Roman" w:hAnsi="Times New Roman" w:eastAsia="仿宋_GB2312" w:cs="Times New Roman"/>
          <w:i w:val="0"/>
          <w:caps w:val="0"/>
          <w:color w:val="auto"/>
          <w:spacing w:val="0"/>
          <w:sz w:val="32"/>
          <w:szCs w:val="32"/>
          <w:highlight w:val="none"/>
          <w:u w:val="none" w:color="auto"/>
          <w:shd w:val="clear" w:color="auto" w:fill="FFFFFF"/>
          <w:lang w:val="en-US" w:eastAsia="zh-CN"/>
        </w:rPr>
        <w:t>以</w:t>
      </w:r>
      <w:r>
        <w:rPr>
          <w:rFonts w:hint="default" w:ascii="Times New Roman" w:hAnsi="Times New Roman" w:eastAsia="仿宋_GB2312" w:cs="Times New Roman"/>
          <w:i w:val="0"/>
          <w:caps w:val="0"/>
          <w:color w:val="auto"/>
          <w:spacing w:val="0"/>
          <w:sz w:val="32"/>
          <w:szCs w:val="32"/>
          <w:highlight w:val="none"/>
          <w:u w:val="none" w:color="auto"/>
          <w:shd w:val="clear" w:color="auto" w:fill="FFFFFF"/>
        </w:rPr>
        <w:t>重点区域、行业和污染物</w:t>
      </w:r>
      <w:r>
        <w:rPr>
          <w:rFonts w:hint="default" w:ascii="Times New Roman" w:hAnsi="Times New Roman" w:eastAsia="仿宋_GB2312" w:cs="Times New Roman"/>
          <w:i w:val="0"/>
          <w:caps w:val="0"/>
          <w:color w:val="auto"/>
          <w:spacing w:val="0"/>
          <w:sz w:val="32"/>
          <w:szCs w:val="32"/>
          <w:highlight w:val="none"/>
          <w:u w:val="none" w:color="auto"/>
          <w:shd w:val="clear" w:color="auto" w:fill="FFFFFF"/>
          <w:lang w:val="en-US" w:eastAsia="zh-CN"/>
        </w:rPr>
        <w:t>为主</w:t>
      </w:r>
      <w:r>
        <w:rPr>
          <w:rFonts w:hint="default" w:ascii="Times New Roman" w:hAnsi="Times New Roman" w:eastAsia="仿宋_GB2312" w:cs="Times New Roman"/>
          <w:i w:val="0"/>
          <w:caps w:val="0"/>
          <w:color w:val="auto"/>
          <w:spacing w:val="0"/>
          <w:sz w:val="32"/>
          <w:szCs w:val="32"/>
          <w:highlight w:val="none"/>
          <w:u w:val="none" w:color="auto"/>
          <w:shd w:val="clear" w:color="auto" w:fill="FFFFFF"/>
        </w:rPr>
        <w:t>，实施分类别、分用途、分阶段治理，严控新增污染、逐步减少存量</w:t>
      </w:r>
      <w:r>
        <w:rPr>
          <w:rFonts w:hint="default" w:ascii="Times New Roman" w:hAnsi="Times New Roman" w:eastAsia="仿宋_GB2312" w:cs="Times New Roman"/>
          <w:i w:val="0"/>
          <w:caps w:val="0"/>
          <w:color w:val="auto"/>
          <w:spacing w:val="0"/>
          <w:sz w:val="32"/>
          <w:szCs w:val="32"/>
          <w:highlight w:val="none"/>
          <w:u w:val="none" w:color="auto"/>
          <w:shd w:val="clear" w:color="auto" w:fill="FFFFFF"/>
          <w:lang w:val="en-US" w:eastAsia="zh-CN"/>
        </w:rPr>
        <w:t>污染</w:t>
      </w:r>
      <w:r>
        <w:rPr>
          <w:rFonts w:hint="default" w:ascii="Times New Roman" w:hAnsi="Times New Roman" w:eastAsia="仿宋_GB2312" w:cs="Times New Roman"/>
          <w:i w:val="0"/>
          <w:caps w:val="0"/>
          <w:color w:val="auto"/>
          <w:spacing w:val="0"/>
          <w:sz w:val="32"/>
          <w:szCs w:val="32"/>
          <w:highlight w:val="none"/>
          <w:u w:val="none" w:color="auto"/>
          <w:shd w:val="clear" w:color="auto" w:fill="FFFFFF"/>
        </w:rPr>
        <w:t>，促进土壤资源永续利用</w:t>
      </w:r>
      <w:r>
        <w:rPr>
          <w:rFonts w:hint="default" w:ascii="Times New Roman" w:hAnsi="Times New Roman" w:eastAsia="仿宋_GB2312" w:cs="Times New Roman"/>
          <w:i w:val="0"/>
          <w:caps w:val="0"/>
          <w:color w:val="auto"/>
          <w:spacing w:val="0"/>
          <w:sz w:val="32"/>
          <w:szCs w:val="32"/>
          <w:highlight w:val="none"/>
          <w:u w:val="none" w:color="auto"/>
          <w:shd w:val="clear" w:color="auto" w:fill="FFFFFF"/>
          <w:lang w:eastAsia="zh-CN"/>
        </w:rPr>
        <w:t>。</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54" w:name="_Toc22532"/>
      <w:r>
        <w:rPr>
          <w:rFonts w:hint="default" w:ascii="Times New Roman" w:hAnsi="Times New Roman" w:eastAsia="楷体_GB2312" w:cs="Times New Roman"/>
          <w:b/>
          <w:bCs w:val="0"/>
          <w:color w:val="auto"/>
          <w:kern w:val="0"/>
          <w:sz w:val="32"/>
          <w:szCs w:val="32"/>
          <w:highlight w:val="none"/>
          <w:u w:val="none" w:color="auto"/>
          <w:lang w:val="en-US" w:eastAsia="zh-CN" w:bidi="ar-SA"/>
        </w:rPr>
        <w:t>一、加强建设用地分用途管理</w:t>
      </w:r>
      <w:bookmarkEnd w:id="54"/>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健全建设用地土壤环境质量调查评估制度，严格建设用地准入管理。完善建设用地土壤污染风险管控和修复地块名录，严禁开工建设任何与风险管控、修复无关的项目。对存在风险但暂不开发利用或现阶段不具备治理修复条件的已收回污染地块，要划定管控区域，加强地块环境监测，实施环境风险管控措施。对涉及成片污染地块分期分批开发的，要</w:t>
      </w:r>
      <w:r>
        <w:rPr>
          <w:rFonts w:hint="eastAsia" w:ascii="Times New Roman" w:hAnsi="Times New Roman" w:eastAsia="仿宋_GB2312" w:cs="Times New Roman"/>
          <w:color w:val="auto"/>
          <w:kern w:val="2"/>
          <w:sz w:val="32"/>
          <w:szCs w:val="32"/>
          <w:highlight w:val="none"/>
          <w:u w:val="none" w:color="auto"/>
          <w:lang w:val="en-US" w:eastAsia="zh-CN" w:bidi="ar-SA"/>
        </w:rPr>
        <w:t>按照相关规定完成土壤修复，</w:t>
      </w:r>
      <w:r>
        <w:rPr>
          <w:rFonts w:hint="default" w:ascii="Times New Roman" w:hAnsi="Times New Roman" w:eastAsia="仿宋_GB2312" w:cs="Times New Roman"/>
          <w:color w:val="auto"/>
          <w:kern w:val="2"/>
          <w:sz w:val="32"/>
          <w:szCs w:val="32"/>
          <w:highlight w:val="none"/>
          <w:u w:val="none" w:color="auto"/>
          <w:lang w:val="en-US" w:eastAsia="zh-CN" w:bidi="ar-SA"/>
        </w:rPr>
        <w:t>合理安排土地供应及相关规划许可证发放时序。</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55" w:name="_Toc20553"/>
      <w:r>
        <w:rPr>
          <w:rFonts w:hint="default" w:ascii="Times New Roman" w:hAnsi="Times New Roman" w:eastAsia="楷体_GB2312" w:cs="Times New Roman"/>
          <w:b/>
          <w:bCs w:val="0"/>
          <w:color w:val="auto"/>
          <w:kern w:val="0"/>
          <w:sz w:val="32"/>
          <w:szCs w:val="32"/>
          <w:highlight w:val="none"/>
          <w:u w:val="none" w:color="auto"/>
          <w:lang w:val="en-US" w:eastAsia="zh-CN" w:bidi="ar-SA"/>
        </w:rPr>
        <w:t>二、实施农用地和水源地分类分级管理</w:t>
      </w:r>
      <w:bookmarkEnd w:id="55"/>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rPr>
        <w:t>划定耕地土壤环境质量类别</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稳</w:t>
      </w:r>
      <w:r>
        <w:rPr>
          <w:rFonts w:hint="default" w:ascii="Times New Roman" w:hAnsi="Times New Roman" w:eastAsia="仿宋_GB2312" w:cs="Times New Roman"/>
          <w:color w:val="auto"/>
          <w:sz w:val="32"/>
          <w:szCs w:val="32"/>
          <w:highlight w:val="none"/>
          <w:u w:val="none" w:color="auto"/>
        </w:rPr>
        <w:t>步推进受污染耕地安全利用和严格管控</w:t>
      </w:r>
      <w:r>
        <w:rPr>
          <w:rFonts w:hint="default" w:ascii="Times New Roman" w:hAnsi="Times New Roman" w:eastAsia="仿宋_GB2312" w:cs="Times New Roman"/>
          <w:color w:val="auto"/>
          <w:sz w:val="32"/>
          <w:szCs w:val="32"/>
          <w:highlight w:val="none"/>
          <w:u w:val="none" w:color="auto"/>
          <w:lang w:eastAsia="zh-CN"/>
        </w:rPr>
        <w:t>，确保“一控两减三基本”目标的实现。</w:t>
      </w:r>
      <w:r>
        <w:rPr>
          <w:rFonts w:hint="default" w:ascii="Times New Roman" w:hAnsi="Times New Roman" w:eastAsia="仿宋_GB2312" w:cs="Times New Roman"/>
          <w:color w:val="auto"/>
          <w:kern w:val="2"/>
          <w:sz w:val="32"/>
          <w:szCs w:val="32"/>
          <w:highlight w:val="none"/>
          <w:u w:val="none" w:color="auto"/>
          <w:lang w:val="en-US" w:eastAsia="zh-CN" w:bidi="ar-SA"/>
        </w:rPr>
        <w:t>对受污染农用地，强化农艺调控、替代种植等措施，确保农产品质量安全。加强经济林地土壤环境管理。</w:t>
      </w:r>
      <w:r>
        <w:rPr>
          <w:rFonts w:hint="default" w:ascii="Times New Roman" w:hAnsi="Times New Roman" w:eastAsia="仿宋_GB2312" w:cs="Times New Roman"/>
          <w:color w:val="auto"/>
          <w:sz w:val="32"/>
          <w:szCs w:val="32"/>
          <w:highlight w:val="none"/>
          <w:u w:val="none" w:color="auto"/>
        </w:rPr>
        <w:t>推进城市和农村集中式地下水型饮用水水源补给区、化工企业、加油站、</w:t>
      </w:r>
      <w:r>
        <w:rPr>
          <w:rFonts w:hint="default" w:ascii="Times New Roman" w:hAnsi="Times New Roman" w:eastAsia="仿宋_GB2312" w:cs="Times New Roman"/>
          <w:color w:val="auto"/>
          <w:sz w:val="32"/>
          <w:szCs w:val="32"/>
          <w:highlight w:val="none"/>
          <w:u w:val="none" w:color="auto"/>
          <w:lang w:val="en-US" w:eastAsia="zh-CN"/>
        </w:rPr>
        <w:t>非正规</w:t>
      </w:r>
      <w:r>
        <w:rPr>
          <w:rFonts w:hint="default" w:ascii="Times New Roman" w:hAnsi="Times New Roman" w:eastAsia="仿宋_GB2312" w:cs="Times New Roman"/>
          <w:color w:val="auto"/>
          <w:sz w:val="32"/>
          <w:szCs w:val="32"/>
          <w:highlight w:val="none"/>
          <w:u w:val="none" w:color="auto"/>
        </w:rPr>
        <w:t>垃圾填埋场和危险废物处置场等区域周边地下水环境状况调查</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研究布设土壤和地下水常规监测点</w:t>
      </w:r>
      <w:r>
        <w:rPr>
          <w:rFonts w:hint="default" w:ascii="Times New Roman" w:hAnsi="Times New Roman" w:eastAsia="仿宋_GB2312" w:cs="Times New Roman"/>
          <w:color w:val="auto"/>
          <w:sz w:val="32"/>
          <w:szCs w:val="32"/>
          <w:highlight w:val="none"/>
          <w:u w:val="none" w:color="auto"/>
          <w:lang w:eastAsia="zh-CN"/>
        </w:rPr>
        <w:t>，确保全市地下水环境质量保持稳定</w:t>
      </w:r>
      <w:r>
        <w:rPr>
          <w:rFonts w:hint="default" w:ascii="Times New Roman" w:hAnsi="Times New Roman" w:eastAsia="仿宋_GB2312" w:cs="Times New Roman"/>
          <w:color w:val="auto"/>
          <w:sz w:val="32"/>
          <w:szCs w:val="32"/>
          <w:highlight w:val="none"/>
          <w:u w:val="none" w:color="auto"/>
        </w:rPr>
        <w:t>。</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56" w:name="_Toc15214"/>
      <w:r>
        <w:rPr>
          <w:rFonts w:hint="default" w:ascii="Times New Roman" w:hAnsi="Times New Roman" w:eastAsia="楷体_GB2312" w:cs="Times New Roman"/>
          <w:b/>
          <w:bCs w:val="0"/>
          <w:color w:val="auto"/>
          <w:kern w:val="0"/>
          <w:sz w:val="32"/>
          <w:szCs w:val="32"/>
          <w:highlight w:val="none"/>
          <w:u w:val="none" w:color="auto"/>
          <w:lang w:val="en-US" w:eastAsia="zh-CN" w:bidi="ar-SA"/>
        </w:rPr>
        <w:t>三、开展土壤污染治理修复试点示范</w:t>
      </w:r>
      <w:bookmarkEnd w:id="56"/>
    </w:p>
    <w:p>
      <w:pPr>
        <w:pStyle w:val="9"/>
        <w:keepNext w:val="0"/>
        <w:keepLines w:val="0"/>
        <w:pageBreakBefore w:val="0"/>
        <w:widowControl w:val="0"/>
        <w:kinsoku/>
        <w:wordWrap/>
        <w:topLinePunct w:val="0"/>
        <w:autoSpaceDE/>
        <w:autoSpaceDN/>
        <w:bidi w:val="0"/>
        <w:adjustRightInd/>
        <w:snapToGrid/>
        <w:spacing w:after="0" w:line="360" w:lineRule="auto"/>
        <w:ind w:left="0" w:leftChars="0" w:firstLine="640"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按照“谁污染，谁治理”的原则，明确治理与修复责任主体。根据土壤污染物类型、污染程度、土地利用现状等因素，有计划、分步骤开展土壤污染治理与修复试点示范，完善土壤污染治理与修复技术体系。以建设花园式绿色矸石山、生态矸山为目标，高标准、高质量完成矸石山治理巩固工程。加快推动东坪煤业连采连充、西上庄煤矿井下矸石智能分选试点示范工程建设。建立土壤污染治理修复全过程监管制度，严格治理修复方案审查，加强治理修复过程监督和检查，开展损害状况、治理修复成效第</w:t>
      </w:r>
      <w:r>
        <w:rPr>
          <w:rFonts w:hint="default" w:ascii="Times New Roman" w:hAnsi="Times New Roman" w:eastAsia="仿宋_GB2312" w:cs="Times New Roman"/>
          <w:color w:val="auto"/>
          <w:spacing w:val="-17"/>
          <w:kern w:val="2"/>
          <w:sz w:val="32"/>
          <w:szCs w:val="32"/>
          <w:highlight w:val="none"/>
          <w:u w:val="none" w:color="auto"/>
          <w:lang w:val="en-US" w:eastAsia="zh-CN" w:bidi="ar-SA"/>
        </w:rPr>
        <w:t>三方评估，依法对土壤污染治理修复责任主体实施终身责任追究。</w:t>
      </w:r>
    </w:p>
    <w:p>
      <w:pPr>
        <w:keepNext w:val="0"/>
        <w:keepLines w:val="0"/>
        <w:pageBreakBefore w:val="0"/>
        <w:widowControl w:val="0"/>
        <w:kinsoku/>
        <w:wordWrap/>
        <w:autoSpaceDE/>
        <w:autoSpaceDN/>
        <w:bidi w:val="0"/>
        <w:adjustRightInd/>
        <w:snapToGrid/>
        <w:spacing w:line="360" w:lineRule="auto"/>
        <w:ind w:left="0" w:leftChars="0"/>
        <w:jc w:val="center"/>
        <w:textAlignment w:val="auto"/>
        <w:outlineLvl w:val="0"/>
        <w:rPr>
          <w:rFonts w:hint="default" w:ascii="Times New Roman" w:hAnsi="Times New Roman" w:eastAsia="方正小标宋简体" w:cs="Times New Roman"/>
          <w:bCs/>
          <w:caps w:val="0"/>
          <w:color w:val="auto"/>
          <w:kern w:val="2"/>
          <w:sz w:val="30"/>
          <w:szCs w:val="30"/>
          <w:highlight w:val="none"/>
          <w:u w:val="none" w:color="auto"/>
          <w:lang w:val="en-US" w:eastAsia="zh-CN" w:bidi="ar-SA"/>
        </w:rPr>
      </w:pPr>
      <w:bookmarkStart w:id="57" w:name="_Toc6863"/>
      <w:bookmarkStart w:id="58" w:name="_Toc29099"/>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第五章 实施生态系统保护工程，高起点打造生态</w:t>
      </w:r>
      <w:bookmarkEnd w:id="57"/>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城市</w:t>
      </w:r>
      <w:bookmarkEnd w:id="58"/>
    </w:p>
    <w:p>
      <w:pPr>
        <w:ind w:firstLine="640" w:firstLineChars="200"/>
        <w:rPr>
          <w:rFonts w:hint="default" w:ascii="Times New Roman" w:hAnsi="Times New Roman" w:cs="Times New Roman"/>
          <w:color w:val="auto"/>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牢固树立绿水青山就是金山银山理念，</w:t>
      </w:r>
      <w:r>
        <w:rPr>
          <w:rFonts w:hint="default" w:ascii="Times New Roman" w:hAnsi="Times New Roman" w:eastAsia="仿宋_GB2312" w:cs="Times New Roman"/>
          <w:color w:val="auto"/>
          <w:sz w:val="32"/>
          <w:szCs w:val="32"/>
          <w:highlight w:val="none"/>
          <w:u w:val="none" w:color="auto"/>
          <w:lang w:val="en-US" w:eastAsia="zh-CN"/>
        </w:rPr>
        <w:t>加</w:t>
      </w:r>
      <w:r>
        <w:rPr>
          <w:rFonts w:hint="default" w:ascii="Times New Roman" w:hAnsi="Times New Roman" w:eastAsia="仿宋_GB2312" w:cs="Times New Roman"/>
          <w:color w:val="auto"/>
          <w:kern w:val="2"/>
          <w:sz w:val="32"/>
          <w:szCs w:val="32"/>
          <w:highlight w:val="none"/>
          <w:u w:val="none" w:color="auto"/>
          <w:lang w:val="en-US" w:eastAsia="zh-CN" w:bidi="ar-SA"/>
        </w:rPr>
        <w:t>强</w:t>
      </w:r>
      <w:r>
        <w:rPr>
          <w:rFonts w:hint="default" w:ascii="Times New Roman" w:hAnsi="Times New Roman" w:eastAsia="仿宋_GB2312" w:cs="Times New Roman"/>
          <w:color w:val="auto"/>
          <w:kern w:val="2"/>
          <w:sz w:val="32"/>
          <w:szCs w:val="32"/>
          <w:highlight w:val="none"/>
          <w:u w:val="none" w:color="auto"/>
          <w:lang w:val="zh-CN" w:eastAsia="zh-CN" w:bidi="ar-SA"/>
        </w:rPr>
        <w:t>“两河四山一泉域”生态保护和修复，</w:t>
      </w:r>
      <w:r>
        <w:rPr>
          <w:rFonts w:hint="default" w:ascii="Times New Roman" w:hAnsi="Times New Roman" w:eastAsia="仿宋_GB2312" w:cs="Times New Roman"/>
          <w:color w:val="auto"/>
          <w:sz w:val="32"/>
          <w:szCs w:val="32"/>
          <w:highlight w:val="none"/>
          <w:u w:val="none" w:color="auto"/>
        </w:rPr>
        <w:t>打造晋东生态功能核心区，拱卫首都生态安全。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w:hAnsi="Times New Roman" w:eastAsia="黑体" w:cs="Times New Roman"/>
          <w:b w:val="0"/>
          <w:bCs w:val="0"/>
          <w:color w:val="auto"/>
          <w:kern w:val="44"/>
          <w:sz w:val="32"/>
          <w:szCs w:val="32"/>
          <w:highlight w:val="none"/>
          <w:u w:val="none" w:color="auto"/>
          <w:lang w:val="en-US" w:eastAsia="zh-CN" w:bidi="ar-SA"/>
        </w:rPr>
      </w:pPr>
      <w:bookmarkStart w:id="59" w:name="_Toc15257"/>
      <w:bookmarkStart w:id="60" w:name="_Toc11929"/>
      <w:r>
        <w:rPr>
          <w:rFonts w:hint="default" w:ascii="Times New Roman" w:hAnsi="Times New Roman" w:eastAsia="黑体" w:cs="Times New Roman"/>
          <w:b w:val="0"/>
          <w:bCs w:val="0"/>
          <w:color w:val="auto"/>
          <w:kern w:val="44"/>
          <w:sz w:val="32"/>
          <w:szCs w:val="32"/>
          <w:highlight w:val="none"/>
          <w:u w:val="none" w:color="auto"/>
          <w:lang w:val="en-US" w:eastAsia="zh-CN" w:bidi="ar-SA"/>
        </w:rPr>
        <w:t>第一节 维护生态安全格局</w:t>
      </w:r>
      <w:bookmarkEnd w:id="59"/>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严格按照</w:t>
      </w:r>
      <w:r>
        <w:rPr>
          <w:rFonts w:hint="default" w:ascii="Times New Roman" w:hAnsi="Times New Roman" w:eastAsia="仿宋_GB2312" w:cs="Times New Roman"/>
          <w:color w:val="auto"/>
          <w:sz w:val="32"/>
          <w:szCs w:val="32"/>
          <w:highlight w:val="none"/>
          <w:u w:val="none" w:color="auto"/>
          <w:lang w:val="en-US" w:eastAsia="zh-CN"/>
        </w:rPr>
        <w:t>国土空间</w:t>
      </w:r>
      <w:r>
        <w:rPr>
          <w:rFonts w:hint="default" w:ascii="Times New Roman" w:hAnsi="Times New Roman" w:eastAsia="仿宋_GB2312" w:cs="Times New Roman"/>
          <w:color w:val="auto"/>
          <w:sz w:val="32"/>
          <w:szCs w:val="32"/>
          <w:highlight w:val="none"/>
          <w:u w:val="none" w:color="auto"/>
        </w:rPr>
        <w:t>规划和生态保护红线划定范围的要求，</w:t>
      </w:r>
      <w:r>
        <w:rPr>
          <w:rFonts w:hint="default" w:ascii="Times New Roman" w:hAnsi="Times New Roman" w:eastAsia="仿宋_GB2312" w:cs="Times New Roman"/>
          <w:color w:val="auto"/>
          <w:sz w:val="32"/>
          <w:szCs w:val="32"/>
          <w:highlight w:val="none"/>
          <w:u w:val="none" w:color="auto"/>
          <w:lang w:val="en-US" w:eastAsia="zh-CN"/>
        </w:rPr>
        <w:t>立足资源环境承载力，推动形成主体功能明显、优势互补、高质量发展的国土空间开发保护新格局。</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jc w:val="both"/>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一、强化国土空间规划引领</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全面完成市、县国土空间规划，加快建立“多规合一”的国土空间规划体系，构筑刚性与弹性结合的城镇开发边界，</w:t>
      </w:r>
      <w:r>
        <w:rPr>
          <w:rFonts w:hint="default" w:ascii="Times New Roman" w:hAnsi="Times New Roman" w:eastAsia="仿宋_GB2312" w:cs="Times New Roman"/>
          <w:i w:val="0"/>
          <w:caps w:val="0"/>
          <w:color w:val="auto"/>
          <w:spacing w:val="0"/>
          <w:sz w:val="32"/>
          <w:szCs w:val="32"/>
          <w:highlight w:val="none"/>
          <w:u w:val="none" w:color="auto"/>
          <w:shd w:val="clear" w:color="auto" w:fill="FFFFFF"/>
        </w:rPr>
        <w:t>逐步形成城市化地区、农产品主产区、生态功能区三大空间格局</w:t>
      </w:r>
      <w:r>
        <w:rPr>
          <w:rFonts w:hint="default" w:ascii="Times New Roman" w:hAnsi="Times New Roman" w:eastAsia="仿宋_GB2312" w:cs="Times New Roman"/>
          <w:color w:val="auto"/>
          <w:kern w:val="2"/>
          <w:sz w:val="32"/>
          <w:szCs w:val="32"/>
          <w:highlight w:val="none"/>
          <w:u w:val="none" w:color="auto"/>
          <w:lang w:val="en-US" w:eastAsia="zh-CN" w:bidi="ar-SA"/>
        </w:rPr>
        <w:t>。实施分区分类用途管制，城镇开发边界内实行“详细规划+规划许可”的方式，城镇开发边界外实行“详细规划+规划许可”和“约束指标+分区准入”的方式。科学编制矿产资源保护和开发利用规划。积极稳妥推进行政区划调整，全面提升行政区划管理水平。</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2" w:firstLineChars="200"/>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二、完善生态安全网络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进一步优化生态空间结构，加快形成生态调节主导优先、生态服务功能互补、生态产品支撑供给的生态安全格局。坚持绿化彩化财化同步推进，实施山水林田泉草综合治理，做好“两河四山一泉域”生态保护和修复。以中央森林公园西部、义白路以东、阳五高速以西区域生态廊道为骨架，全力构建城市生态廊道，提升生态系统质量和稳定性。强化重点生态功能区保护，加强太行山、系舟山、冠山、龙华河、滹沱河、娘子关水源地及水源涵养区等生态功能区建设，促进生态空间品质整体提升。推进南娄镇西部山地生物多样性保护。依托自然保护区、森林公园、湿地公园，完善自然保护地体系，加强珍稀动植物的就地保护。</w:t>
      </w:r>
    </w:p>
    <w:p>
      <w:pPr>
        <w:pStyle w:val="9"/>
        <w:keepNext w:val="0"/>
        <w:keepLines w:val="0"/>
        <w:pageBreakBefore w:val="0"/>
        <w:widowControl w:val="0"/>
        <w:kinsoku/>
        <w:wordWrap/>
        <w:autoSpaceDE/>
        <w:autoSpaceDN/>
        <w:bidi w:val="0"/>
        <w:adjustRightInd/>
        <w:snapToGrid/>
        <w:spacing w:after="0" w:line="360" w:lineRule="auto"/>
        <w:ind w:left="0" w:leftChars="0" w:firstLine="642" w:firstLineChars="200"/>
        <w:textAlignment w:val="auto"/>
        <w:outlineLvl w:val="2"/>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楷体" w:cs="Times New Roman"/>
          <w:b/>
          <w:bCs/>
          <w:color w:val="auto"/>
          <w:kern w:val="2"/>
          <w:sz w:val="32"/>
          <w:szCs w:val="32"/>
          <w:highlight w:val="none"/>
          <w:u w:val="none" w:color="auto"/>
          <w:lang w:val="en-US" w:eastAsia="zh-CN" w:bidi="ar-SA"/>
        </w:rPr>
        <w:t>三、加快划定与严守生态保护红线</w:t>
      </w:r>
    </w:p>
    <w:p>
      <w:pPr>
        <w:pStyle w:val="9"/>
        <w:keepNext w:val="0"/>
        <w:keepLines w:val="0"/>
        <w:pageBreakBefore w:val="0"/>
        <w:widowControl w:val="0"/>
        <w:kinsoku/>
        <w:wordWrap/>
        <w:autoSpaceDE/>
        <w:autoSpaceDN/>
        <w:bidi w:val="0"/>
        <w:adjustRightInd/>
        <w:snapToGrid/>
        <w:spacing w:after="0" w:line="360" w:lineRule="auto"/>
        <w:ind w:left="0" w:leftChars="0" w:firstLine="640"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依法在重点生态功能区、生态环境敏感区和脆弱区等区域科学划定生态保护红线，严格生态保护红线管理，确保红线区生态功能不降低、面积不减少、性质不转换。强化生态红线区域保护的监督、管理与考核工作，完善市场化、多元化生态补偿。加大生态红线区域专项执法力度，开展生态保护红线内建设用地清退和生态修复</w:t>
      </w:r>
      <w:r>
        <w:rPr>
          <w:rFonts w:hint="default" w:ascii="Times New Roman" w:hAnsi="Times New Roman"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持续加强违法违规问题清理整治。实行最严格的耕地保护制度。</w:t>
      </w:r>
    </w:p>
    <w:p>
      <w:pPr>
        <w:keepNext w:val="0"/>
        <w:keepLines w:val="0"/>
        <w:pageBreakBefore w:val="0"/>
        <w:widowControl w:val="0"/>
        <w:kinsoku/>
        <w:wordWrap/>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61" w:name="_Toc6047"/>
      <w:r>
        <w:rPr>
          <w:rFonts w:hint="default" w:ascii="Times New Roman" w:hAnsi="Times New Roman" w:eastAsia="黑体" w:cs="Times New Roman"/>
          <w:color w:val="auto"/>
          <w:sz w:val="32"/>
          <w:szCs w:val="32"/>
          <w:highlight w:val="none"/>
          <w:u w:val="none" w:color="auto"/>
          <w:lang w:val="en-US" w:eastAsia="zh-CN"/>
        </w:rPr>
        <w:t>第二节</w:t>
      </w:r>
      <w:bookmarkEnd w:id="60"/>
      <w:r>
        <w:rPr>
          <w:rFonts w:hint="default" w:ascii="Times New Roman" w:hAnsi="Times New Roman" w:eastAsia="黑体" w:cs="Times New Roman"/>
          <w:color w:val="auto"/>
          <w:sz w:val="32"/>
          <w:szCs w:val="32"/>
          <w:highlight w:val="none"/>
          <w:u w:val="none" w:color="auto"/>
          <w:lang w:val="en-US" w:eastAsia="zh-CN"/>
        </w:rPr>
        <w:t xml:space="preserve"> 全方位开展生态环境保护</w:t>
      </w:r>
      <w:bookmarkEnd w:id="61"/>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rPr>
        <w:t>大规模开展国土绿化彩化财化行动，</w:t>
      </w:r>
      <w:r>
        <w:rPr>
          <w:rFonts w:hint="default" w:ascii="Times New Roman" w:hAnsi="Times New Roman" w:eastAsia="仿宋_GB2312" w:cs="Times New Roman"/>
          <w:color w:val="auto"/>
          <w:kern w:val="2"/>
          <w:sz w:val="32"/>
          <w:szCs w:val="32"/>
          <w:highlight w:val="none"/>
          <w:u w:val="none" w:color="auto"/>
          <w:lang w:val="en-US" w:eastAsia="zh-CN" w:bidi="ar-SA"/>
        </w:rPr>
        <w:t>大力推进“一环二廊三带七园九点”绿地景观建设，加快构建区域绿色生态安全屏障，切实</w:t>
      </w:r>
      <w:r>
        <w:rPr>
          <w:rFonts w:hint="default" w:ascii="Times New Roman" w:hAnsi="Times New Roman" w:eastAsia="仿宋_GB2312" w:cs="Times New Roman"/>
          <w:bCs/>
          <w:color w:val="auto"/>
          <w:sz w:val="32"/>
          <w:szCs w:val="32"/>
          <w:highlight w:val="none"/>
          <w:u w:val="none" w:color="auto"/>
          <w:lang w:val="en-US" w:eastAsia="zh-CN"/>
        </w:rPr>
        <w:t>增强生态系统质量和稳定性，</w:t>
      </w:r>
      <w:r>
        <w:rPr>
          <w:rFonts w:hint="default" w:ascii="Times New Roman" w:hAnsi="Times New Roman" w:cs="Times New Roman"/>
          <w:color w:val="auto"/>
          <w:sz w:val="32"/>
          <w:szCs w:val="32"/>
          <w:highlight w:val="none"/>
          <w:u w:val="none" w:color="auto"/>
        </w:rPr>
        <w:t>建设人与自然和谐共生的现代化</w:t>
      </w:r>
      <w:r>
        <w:rPr>
          <w:rFonts w:hint="default" w:ascii="Times New Roman" w:hAnsi="Times New Roman" w:eastAsia="仿宋_GB2312" w:cs="Times New Roman"/>
          <w:color w:val="auto"/>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62" w:name="_Toc4746"/>
      <w:r>
        <w:rPr>
          <w:rFonts w:hint="default" w:ascii="Times New Roman" w:hAnsi="Times New Roman" w:eastAsia="楷体_GB2312" w:cs="Times New Roman"/>
          <w:b/>
          <w:bCs w:val="0"/>
          <w:color w:val="auto"/>
          <w:kern w:val="0"/>
          <w:sz w:val="32"/>
          <w:szCs w:val="32"/>
          <w:highlight w:val="none"/>
          <w:u w:val="none" w:color="auto"/>
          <w:lang w:val="en-US" w:eastAsia="zh-CN" w:bidi="ar-SA"/>
        </w:rPr>
        <w:t>一、打造美丽宜居公园城市</w:t>
      </w:r>
      <w:bookmarkEnd w:id="62"/>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开展公园主题化、特色化建设，构建“自然公园、城市公园、社区公园”三级公园体系，打造成为三晋公园城市的先行样本。支持狮脑山森林公园、冠山森林公园、尖山森林公园、诸龙山森林公园、药林寺森林公园等申报国家级森林公园。推进狮脑山百团大战遗址红色生态旅游区建设工程、阳泉植物园二期、中央森林公园、南庄煤矿公园、生态新城西郊运动公园、河下公园、新城公园等公园建设。实施公园绿地与生态廊道贯通工程，以公园绿地为组团，以城市绿廊、道路廊道、绿道网、河流水系廊道为骨架，打造多层级、多功能、互联互通的城市生态绿地系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63" w:name="_Toc21482"/>
      <w:r>
        <w:rPr>
          <w:rFonts w:hint="default" w:ascii="Times New Roman" w:hAnsi="Times New Roman" w:eastAsia="楷体_GB2312" w:cs="Times New Roman"/>
          <w:b/>
          <w:bCs w:val="0"/>
          <w:color w:val="auto"/>
          <w:kern w:val="0"/>
          <w:sz w:val="32"/>
          <w:szCs w:val="32"/>
          <w:highlight w:val="none"/>
          <w:u w:val="none" w:color="auto"/>
          <w:lang w:val="en-US" w:eastAsia="zh-CN" w:bidi="ar-SA"/>
        </w:rPr>
        <w:t>二、实施城乡绿化美化工程</w:t>
      </w:r>
      <w:bookmarkEnd w:id="63"/>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加强城市绿化薄弱地区的园林绿化建设，进一步提升城市绿地总量，实现市区居民出行“300米见绿，500米见园”。到2025年，城市绿地率达到39.5%，绿化覆盖率达到43%以上。实施城市重要干道及高速公路绿化景观提升工程，推进广阳路、平阳街、洪城北路等景观绿化带以及魏家峪环城绿化建设，提高道路中分带、两侧绿化、道路节点绿化面积。积极推广屋顶绿化、悬挂绿化和垂直绿化，营造城市凌空风景线。大力推进乡村道路、河渠、村庄周围、闲置土地绿化，着力打造体现文化特色、彰显花果景观、发展集中连片、融合一二三产业的绿色美丽村庄。</w:t>
      </w:r>
    </w:p>
    <w:p>
      <w:pPr>
        <w:pStyle w:val="5"/>
        <w:keepNext w:val="0"/>
        <w:keepLines w:val="0"/>
        <w:pageBreakBefore w:val="0"/>
        <w:widowControl w:val="0"/>
        <w:kinsoku/>
        <w:wordWrap/>
        <w:overflowPunct w:val="0"/>
        <w:topLinePunct/>
        <w:autoSpaceDE/>
        <w:autoSpaceDN/>
        <w:bidi w:val="0"/>
        <w:adjustRightInd/>
        <w:snapToGrid/>
        <w:spacing w:before="0" w:line="360" w:lineRule="auto"/>
        <w:ind w:left="0" w:leftChars="0" w:firstLine="642" w:firstLineChars="200"/>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64" w:name="_Toc15633"/>
      <w:r>
        <w:rPr>
          <w:rFonts w:hint="default" w:ascii="Times New Roman" w:hAnsi="Times New Roman" w:eastAsia="楷体_GB2312" w:cs="Times New Roman"/>
          <w:b/>
          <w:bCs w:val="0"/>
          <w:color w:val="auto"/>
          <w:kern w:val="0"/>
          <w:sz w:val="32"/>
          <w:szCs w:val="32"/>
          <w:highlight w:val="none"/>
          <w:u w:val="none" w:color="auto"/>
          <w:lang w:val="en-US" w:eastAsia="zh-CN" w:bidi="ar-SA"/>
        </w:rPr>
        <w:t>三、提升生态产品和服务供给能力</w:t>
      </w:r>
      <w:bookmarkEnd w:id="64"/>
    </w:p>
    <w:p>
      <w:pPr>
        <w:pStyle w:val="9"/>
        <w:keepNext w:val="0"/>
        <w:keepLines w:val="0"/>
        <w:pageBreakBefore w:val="0"/>
        <w:widowControl w:val="0"/>
        <w:kinsoku/>
        <w:wordWrap/>
        <w:autoSpaceDE/>
        <w:autoSpaceDN/>
        <w:bidi w:val="0"/>
        <w:adjustRightInd/>
        <w:snapToGrid/>
        <w:spacing w:after="0" w:line="360" w:lineRule="auto"/>
        <w:ind w:left="0" w:leftChars="0" w:firstLine="640" w:firstLineChars="200"/>
        <w:textAlignment w:val="auto"/>
        <w:rPr>
          <w:rFonts w:hint="default" w:ascii="Times New Roman" w:hAnsi="Times New Roman" w:cs="Times New Roman"/>
          <w:color w:val="auto"/>
          <w:highlight w:val="none"/>
          <w:u w:val="none" w:color="auto"/>
          <w:lang w:eastAsia="zh-CN"/>
        </w:rPr>
      </w:pPr>
      <w:r>
        <w:rPr>
          <w:rFonts w:hint="default" w:ascii="Times New Roman" w:hAnsi="Times New Roman" w:eastAsia="仿宋_GB2312" w:cs="Times New Roman"/>
          <w:color w:val="auto"/>
          <w:kern w:val="2"/>
          <w:sz w:val="32"/>
          <w:szCs w:val="32"/>
          <w:highlight w:val="none"/>
          <w:u w:val="none" w:color="auto"/>
          <w:lang w:val="en-US" w:eastAsia="zh-CN" w:bidi="ar-SA"/>
        </w:rPr>
        <w:t>大力发展生态旅游、生态种养等产业，打造乡村生态产业链。开发多元化的生态旅游产品，推进生态保护与旅游、教育、文化、康养等产业深度融合。因地制宜发展森林旅游、河湖生态观光、森林康养、森林体验等新业态，创建一批特色生态旅游示范村和精品线路，打造绿色生态环保旅游产业链。以太行山1号国家旅游观光公路（阳泉段）、晋东旅游集散中心等重大项目建设为引擎，积极推动娘子关泉水小镇、梁家寨康养小镇等特色文旅小镇建设，努力建设成为国内知名的生态旅游康养目的地和晋东旅游中心城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22" w:type="dxa"/>
            <w:vAlign w:val="center"/>
          </w:tcPr>
          <w:p>
            <w:pPr>
              <w:pStyle w:val="9"/>
              <w:snapToGrid/>
              <w:spacing w:after="0" w:line="400" w:lineRule="exact"/>
              <w:jc w:val="center"/>
              <w:rPr>
                <w:rFonts w:hint="default" w:ascii="Times New Roman" w:hAnsi="Times New Roman" w:eastAsia="宋体" w:cs="Times New Roman"/>
                <w:b/>
                <w:bCs/>
                <w:color w:val="auto"/>
                <w:kern w:val="0"/>
                <w:sz w:val="28"/>
                <w:szCs w:val="28"/>
                <w:highlight w:val="none"/>
                <w:u w:val="none" w:color="auto"/>
                <w:lang w:val="en-US" w:eastAsia="zh-CN"/>
              </w:rPr>
            </w:pPr>
            <w:r>
              <w:rPr>
                <w:rFonts w:hint="default" w:ascii="Times New Roman" w:hAnsi="Times New Roman" w:eastAsia="宋体" w:cs="Times New Roman"/>
                <w:b/>
                <w:bCs/>
                <w:color w:val="auto"/>
                <w:kern w:val="0"/>
                <w:sz w:val="28"/>
                <w:szCs w:val="28"/>
                <w:highlight w:val="none"/>
                <w:u w:val="none" w:color="auto"/>
              </w:rPr>
              <w:t>专栏</w:t>
            </w:r>
            <w:r>
              <w:rPr>
                <w:rFonts w:hint="default" w:ascii="Times New Roman" w:hAnsi="Times New Roman" w:eastAsia="宋体" w:cs="Times New Roman"/>
                <w:b/>
                <w:bCs/>
                <w:color w:val="auto"/>
                <w:kern w:val="0"/>
                <w:sz w:val="28"/>
                <w:szCs w:val="28"/>
                <w:highlight w:val="none"/>
                <w:u w:val="none" w:color="auto"/>
                <w:lang w:val="en-US" w:eastAsia="zh-CN"/>
              </w:rPr>
              <w:t>5-1</w:t>
            </w:r>
            <w:r>
              <w:rPr>
                <w:rFonts w:hint="default" w:ascii="Times New Roman" w:hAnsi="Times New Roman" w:eastAsia="宋体" w:cs="Times New Roman"/>
                <w:b/>
                <w:bCs/>
                <w:color w:val="auto"/>
                <w:kern w:val="0"/>
                <w:sz w:val="28"/>
                <w:szCs w:val="28"/>
                <w:highlight w:val="none"/>
                <w:u w:val="none" w:color="auto"/>
              </w:rPr>
              <w:t>：</w:t>
            </w:r>
            <w:r>
              <w:rPr>
                <w:rFonts w:hint="default" w:ascii="Times New Roman" w:hAnsi="Times New Roman" w:eastAsia="宋体" w:cs="Times New Roman"/>
                <w:b/>
                <w:bCs/>
                <w:color w:val="auto"/>
                <w:kern w:val="0"/>
                <w:sz w:val="28"/>
                <w:szCs w:val="28"/>
                <w:highlight w:val="none"/>
                <w:u w:val="none" w:color="auto"/>
                <w:lang w:val="en-US" w:eastAsia="zh-CN"/>
              </w:rPr>
              <w:t xml:space="preserve"> 生态系统保护工程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“一环二廊三带七园九点”绿地景观建设。一环：</w:t>
            </w:r>
            <w:r>
              <w:rPr>
                <w:rFonts w:hint="default" w:ascii="Times New Roman" w:hAnsi="Times New Roman" w:eastAsia="宋体" w:cs="Times New Roman"/>
                <w:b w:val="0"/>
                <w:bCs w:val="0"/>
                <w:color w:val="auto"/>
                <w:kern w:val="2"/>
                <w:sz w:val="24"/>
                <w:szCs w:val="24"/>
                <w:highlight w:val="none"/>
                <w:u w:val="none" w:color="auto"/>
                <w:lang w:val="en-US" w:eastAsia="zh-CN" w:bidi="ar-SA"/>
              </w:rPr>
              <w:t>中环快速路，围绕中环快速路打造两侧景观绿化带。</w:t>
            </w:r>
            <w:r>
              <w:rPr>
                <w:rFonts w:hint="default" w:ascii="Times New Roman" w:hAnsi="Times New Roman" w:eastAsia="宋体" w:cs="Times New Roman"/>
                <w:b/>
                <w:bCs/>
                <w:color w:val="auto"/>
                <w:kern w:val="2"/>
                <w:sz w:val="24"/>
                <w:szCs w:val="24"/>
                <w:highlight w:val="none"/>
                <w:u w:val="none" w:color="auto"/>
                <w:lang w:val="en-US" w:eastAsia="zh-CN" w:bidi="ar-SA"/>
              </w:rPr>
              <w:t>二廊：</w:t>
            </w:r>
            <w:r>
              <w:rPr>
                <w:rFonts w:hint="default" w:ascii="Times New Roman" w:hAnsi="Times New Roman" w:eastAsia="宋体" w:cs="Times New Roman"/>
                <w:b w:val="0"/>
                <w:bCs w:val="0"/>
                <w:color w:val="auto"/>
                <w:kern w:val="2"/>
                <w:sz w:val="24"/>
                <w:szCs w:val="24"/>
                <w:highlight w:val="none"/>
                <w:u w:val="none" w:color="auto"/>
                <w:lang w:val="en-US" w:eastAsia="zh-CN" w:bidi="ar-SA"/>
              </w:rPr>
              <w:t>中央森林公园西部生态廊道，义白路以东、阳五高速以西区域生态廊道。</w:t>
            </w:r>
            <w:r>
              <w:rPr>
                <w:rFonts w:hint="default" w:ascii="Times New Roman" w:hAnsi="Times New Roman" w:eastAsia="宋体" w:cs="Times New Roman"/>
                <w:b/>
                <w:bCs/>
                <w:color w:val="auto"/>
                <w:kern w:val="2"/>
                <w:sz w:val="24"/>
                <w:szCs w:val="24"/>
                <w:highlight w:val="none"/>
                <w:u w:val="none" w:color="auto"/>
                <w:lang w:val="en-US" w:eastAsia="zh-CN" w:bidi="ar-SA"/>
              </w:rPr>
              <w:t>三带：</w:t>
            </w:r>
            <w:r>
              <w:rPr>
                <w:rFonts w:hint="default" w:ascii="Times New Roman" w:hAnsi="Times New Roman" w:eastAsia="宋体" w:cs="Times New Roman"/>
                <w:b w:val="0"/>
                <w:bCs w:val="0"/>
                <w:color w:val="auto"/>
                <w:kern w:val="2"/>
                <w:sz w:val="24"/>
                <w:szCs w:val="24"/>
                <w:highlight w:val="none"/>
                <w:u w:val="none" w:color="auto"/>
                <w:lang w:val="en-US" w:eastAsia="zh-CN" w:bidi="ar-SA"/>
              </w:rPr>
              <w:t>即广阳路景观绿化带、平阳街景观绿化带、洪城北路景观绿化带。</w:t>
            </w:r>
            <w:r>
              <w:rPr>
                <w:rFonts w:hint="default" w:ascii="Times New Roman" w:hAnsi="Times New Roman" w:eastAsia="宋体" w:cs="Times New Roman"/>
                <w:b/>
                <w:bCs/>
                <w:color w:val="auto"/>
                <w:kern w:val="2"/>
                <w:sz w:val="24"/>
                <w:szCs w:val="24"/>
                <w:highlight w:val="none"/>
                <w:u w:val="none" w:color="auto"/>
                <w:lang w:val="en-US" w:eastAsia="zh-CN" w:bidi="ar-SA"/>
              </w:rPr>
              <w:t>七园：</w:t>
            </w:r>
            <w:r>
              <w:rPr>
                <w:rFonts w:hint="default" w:ascii="Times New Roman" w:hAnsi="Times New Roman" w:eastAsia="宋体" w:cs="Times New Roman"/>
                <w:b w:val="0"/>
                <w:bCs w:val="0"/>
                <w:color w:val="auto"/>
                <w:kern w:val="2"/>
                <w:sz w:val="24"/>
                <w:szCs w:val="24"/>
                <w:highlight w:val="none"/>
                <w:u w:val="none" w:color="auto"/>
                <w:lang w:val="en-US" w:eastAsia="zh-CN" w:bidi="ar-SA"/>
              </w:rPr>
              <w:t>在城市中心区范围内建设的七处城市公园，即狮脑山百团大战遗址红色生态旅游区建设工程、阳泉植物园二期（王母脑）、中央森林公园、南庄煤矿公园、生态新城西郊运动公园、河下公园、新城公园。</w:t>
            </w:r>
            <w:r>
              <w:rPr>
                <w:rFonts w:hint="default" w:ascii="Times New Roman" w:hAnsi="Times New Roman" w:eastAsia="宋体" w:cs="Times New Roman"/>
                <w:b/>
                <w:bCs/>
                <w:color w:val="auto"/>
                <w:kern w:val="2"/>
                <w:sz w:val="24"/>
                <w:szCs w:val="24"/>
                <w:highlight w:val="none"/>
                <w:u w:val="none" w:color="auto"/>
                <w:lang w:val="en-US" w:eastAsia="zh-CN" w:bidi="ar-SA"/>
              </w:rPr>
              <w:t>九点：</w:t>
            </w:r>
            <w:r>
              <w:rPr>
                <w:rFonts w:hint="default" w:ascii="Times New Roman" w:hAnsi="Times New Roman" w:eastAsia="宋体" w:cs="Times New Roman"/>
                <w:b w:val="0"/>
                <w:bCs w:val="0"/>
                <w:color w:val="auto"/>
                <w:kern w:val="2"/>
                <w:sz w:val="24"/>
                <w:szCs w:val="24"/>
                <w:highlight w:val="none"/>
                <w:u w:val="none" w:color="auto"/>
                <w:lang w:val="en-US" w:eastAsia="zh-CN" w:bidi="ar-SA"/>
              </w:rPr>
              <w:t>在城市中心区范围内建设的九处游园、广场绿地，即黄石板公园、一矿广场、蒙河游园、煤山公园、太行小公园、牡丹园绿地、彩石园、城区文体中心南侧绿地、泉东路互通绿化景观。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1"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湿地生态系统建设。</w:t>
            </w:r>
            <w:r>
              <w:rPr>
                <w:rFonts w:hint="default" w:ascii="Times New Roman" w:hAnsi="Times New Roman" w:eastAsia="宋体" w:cs="Times New Roman"/>
                <w:b w:val="0"/>
                <w:bCs w:val="0"/>
                <w:color w:val="auto"/>
                <w:kern w:val="2"/>
                <w:sz w:val="24"/>
                <w:szCs w:val="24"/>
                <w:highlight w:val="none"/>
                <w:u w:val="none" w:color="auto"/>
                <w:lang w:val="en-US" w:eastAsia="zh-CN" w:bidi="ar-SA"/>
              </w:rPr>
              <w:t>推进桃河省级湿地公园、梁家寨省级湿地公园提质升级，建设白羊墅、瀑里等人工湿地修复工程。</w:t>
            </w:r>
          </w:p>
        </w:tc>
      </w:tr>
    </w:tbl>
    <w:p>
      <w:pPr>
        <w:keepNext w:val="0"/>
        <w:keepLines w:val="0"/>
        <w:pageBreakBefore w:val="0"/>
        <w:widowControl w:val="0"/>
        <w:kinsoku/>
        <w:wordWrap/>
        <w:autoSpaceDE/>
        <w:autoSpaceDN/>
        <w:bidi w:val="0"/>
        <w:adjustRightInd/>
        <w:snapToGrid/>
        <w:spacing w:before="157" w:beforeLines="50"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65" w:name="_Toc2961"/>
      <w:bookmarkStart w:id="66" w:name="_Toc29305"/>
      <w:bookmarkStart w:id="67" w:name="_Toc18998"/>
      <w:bookmarkStart w:id="68" w:name="_Toc17265"/>
      <w:r>
        <w:rPr>
          <w:rFonts w:hint="default" w:ascii="Times New Roman" w:hAnsi="Times New Roman" w:eastAsia="黑体" w:cs="Times New Roman"/>
          <w:color w:val="auto"/>
          <w:sz w:val="32"/>
          <w:szCs w:val="32"/>
          <w:highlight w:val="none"/>
          <w:u w:val="none" w:color="auto"/>
          <w:lang w:val="en-US" w:eastAsia="zh-CN"/>
        </w:rPr>
        <w:t>第三节 加强矿山修复治理</w:t>
      </w:r>
      <w:bookmarkEnd w:id="65"/>
      <w:bookmarkEnd w:id="66"/>
    </w:p>
    <w:p>
      <w:pPr>
        <w:keepNext w:val="0"/>
        <w:keepLines w:val="0"/>
        <w:pageBreakBefore w:val="0"/>
        <w:widowControl w:val="0"/>
        <w:kinsoku/>
        <w:wordWrap/>
        <w:autoSpaceDE/>
        <w:autoSpaceDN/>
        <w:bidi w:val="0"/>
        <w:adjustRightInd/>
        <w:snapToGrid/>
        <w:spacing w:line="360" w:lineRule="auto"/>
        <w:ind w:left="0" w:leftChars="0" w:firstLine="640" w:firstLineChars="200"/>
        <w:textAlignment w:val="auto"/>
        <w:outlineLvl w:val="9"/>
        <w:rPr>
          <w:rFonts w:hint="default" w:ascii="Times New Roman" w:hAnsi="Times New Roman" w:eastAsia="仿宋_GB2312" w:cs="Times New Roman"/>
          <w:b/>
          <w:bCs/>
          <w:color w:val="auto"/>
          <w:kern w:val="0"/>
          <w:sz w:val="32"/>
          <w:szCs w:val="32"/>
          <w:highlight w:val="none"/>
          <w:u w:val="none" w:color="auto"/>
        </w:rPr>
      </w:pPr>
      <w:r>
        <w:rPr>
          <w:rFonts w:hint="default" w:ascii="Times New Roman" w:hAnsi="Times New Roman" w:eastAsia="仿宋_GB2312" w:cs="Times New Roman"/>
          <w:b w:val="0"/>
          <w:bCs w:val="0"/>
          <w:color w:val="auto"/>
          <w:kern w:val="0"/>
          <w:sz w:val="32"/>
          <w:szCs w:val="32"/>
          <w:highlight w:val="none"/>
          <w:u w:val="none" w:color="auto"/>
          <w:lang w:val="en-US" w:eastAsia="zh-CN"/>
        </w:rPr>
        <w:t>加快推进矿山生态文明建设，将绿色发展理念贯穿于矿产资源开发利用与保护全过程，实现开采方式科学化、资源利用高效化、矿山环境生态化。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69" w:name="_Toc21913"/>
      <w:r>
        <w:rPr>
          <w:rFonts w:hint="default" w:ascii="Times New Roman" w:hAnsi="Times New Roman" w:eastAsia="楷体_GB2312" w:cs="Times New Roman"/>
          <w:b/>
          <w:bCs w:val="0"/>
          <w:color w:val="auto"/>
          <w:kern w:val="0"/>
          <w:sz w:val="32"/>
          <w:szCs w:val="32"/>
          <w:highlight w:val="none"/>
          <w:u w:val="none" w:color="auto"/>
          <w:lang w:val="en-US" w:eastAsia="zh-CN" w:bidi="ar-SA"/>
        </w:rPr>
        <w:t>一、加快矿山地质环境治理修复</w:t>
      </w:r>
      <w:bookmarkEnd w:id="69"/>
    </w:p>
    <w:p>
      <w:pPr>
        <w:keepNext w:val="0"/>
        <w:keepLines w:val="0"/>
        <w:pageBreakBefore w:val="0"/>
        <w:widowControl w:val="0"/>
        <w:kinsoku/>
        <w:wordWrap/>
        <w:autoSpaceDE/>
        <w:autoSpaceDN/>
        <w:bidi w:val="0"/>
        <w:adjustRightInd/>
        <w:snapToGrid/>
        <w:spacing w:line="360" w:lineRule="auto"/>
        <w:ind w:left="0" w:lef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color="auto"/>
        </w:rPr>
      </w:pPr>
      <w:r>
        <w:rPr>
          <w:rFonts w:hint="default" w:ascii="Times New Roman" w:hAnsi="Times New Roman" w:eastAsia="仿宋_GB2312" w:cs="Times New Roman"/>
          <w:color w:val="auto"/>
          <w:kern w:val="0"/>
          <w:sz w:val="32"/>
          <w:szCs w:val="32"/>
          <w:highlight w:val="none"/>
          <w:u w:val="none" w:color="auto"/>
        </w:rPr>
        <w:t>推动矿山生态修复工作，开展高质量、高水平、高标准的绿色矿山建设，2021年后新建矿山全部达到绿色矿山要求。开展矿山地质环境基础性调查</w:t>
      </w:r>
      <w:r>
        <w:rPr>
          <w:rFonts w:hint="default" w:ascii="Times New Roman" w:hAnsi="Times New Roman" w:eastAsia="仿宋_GB2312" w:cs="Times New Roman"/>
          <w:color w:val="auto"/>
          <w:kern w:val="0"/>
          <w:sz w:val="32"/>
          <w:szCs w:val="32"/>
          <w:highlight w:val="none"/>
          <w:u w:val="none" w:color="auto"/>
          <w:lang w:eastAsia="zh-CN"/>
        </w:rPr>
        <w:t>。</w:t>
      </w:r>
      <w:r>
        <w:rPr>
          <w:rFonts w:hint="default" w:ascii="Times New Roman" w:hAnsi="Times New Roman" w:eastAsia="仿宋_GB2312" w:cs="Times New Roman"/>
          <w:color w:val="auto"/>
          <w:kern w:val="0"/>
          <w:sz w:val="32"/>
          <w:szCs w:val="32"/>
          <w:highlight w:val="none"/>
          <w:u w:val="none" w:color="auto"/>
        </w:rPr>
        <w:t>加大采煤塌陷地、工矿废弃地等生态修复治理</w:t>
      </w:r>
      <w:r>
        <w:rPr>
          <w:rFonts w:hint="default" w:ascii="Times New Roman" w:hAnsi="Times New Roman" w:eastAsia="仿宋_GB2312" w:cs="Times New Roman"/>
          <w:color w:val="auto"/>
          <w:kern w:val="0"/>
          <w:sz w:val="32"/>
          <w:szCs w:val="32"/>
          <w:highlight w:val="none"/>
          <w:u w:val="none" w:color="auto"/>
          <w:lang w:eastAsia="zh-CN"/>
        </w:rPr>
        <w:t>，</w:t>
      </w:r>
      <w:r>
        <w:rPr>
          <w:rFonts w:hint="default" w:ascii="Times New Roman" w:hAnsi="Times New Roman" w:eastAsia="仿宋_GB2312" w:cs="Times New Roman"/>
          <w:color w:val="auto"/>
          <w:kern w:val="0"/>
          <w:sz w:val="32"/>
          <w:szCs w:val="32"/>
          <w:highlight w:val="none"/>
          <w:u w:val="none" w:color="auto"/>
        </w:rPr>
        <w:t>实施关闭矿山生态修复治理项目试点。按照“谁破坏、谁治理”“边开采、边治理”的原则，</w:t>
      </w:r>
      <w:r>
        <w:rPr>
          <w:rFonts w:hint="default" w:ascii="Times New Roman" w:hAnsi="Times New Roman" w:eastAsia="仿宋_GB2312" w:cs="Times New Roman"/>
          <w:color w:val="auto"/>
          <w:sz w:val="32"/>
          <w:szCs w:val="32"/>
          <w:highlight w:val="none"/>
          <w:u w:val="none" w:color="auto"/>
        </w:rPr>
        <w:t>落实采矿企业</w:t>
      </w:r>
      <w:r>
        <w:rPr>
          <w:rFonts w:hint="default" w:ascii="Times New Roman" w:hAnsi="Times New Roman" w:eastAsia="仿宋_GB2312" w:cs="Times New Roman"/>
          <w:color w:val="auto"/>
          <w:sz w:val="32"/>
          <w:szCs w:val="32"/>
          <w:highlight w:val="none"/>
          <w:u w:val="none" w:color="auto"/>
          <w:lang w:val="en-US" w:eastAsia="zh-CN"/>
        </w:rPr>
        <w:t>矿山</w:t>
      </w:r>
      <w:r>
        <w:rPr>
          <w:rFonts w:hint="default" w:ascii="Times New Roman" w:hAnsi="Times New Roman" w:eastAsia="仿宋_GB2312" w:cs="Times New Roman"/>
          <w:color w:val="auto"/>
          <w:sz w:val="32"/>
          <w:szCs w:val="32"/>
          <w:highlight w:val="none"/>
          <w:u w:val="none" w:color="auto"/>
        </w:rPr>
        <w:t>环境治理责任</w:t>
      </w:r>
      <w:r>
        <w:rPr>
          <w:rFonts w:hint="default" w:ascii="Times New Roman" w:hAnsi="Times New Roman" w:eastAsia="仿宋_GB2312" w:cs="Times New Roman"/>
          <w:color w:val="auto"/>
          <w:sz w:val="32"/>
          <w:szCs w:val="32"/>
          <w:highlight w:val="none"/>
          <w:u w:val="none" w:color="auto"/>
          <w:lang w:eastAsia="zh-CN"/>
        </w:rPr>
        <w:t>，实施分期治理制度，积极推进生产矿山达标建设</w:t>
      </w:r>
      <w:r>
        <w:rPr>
          <w:rFonts w:hint="default" w:ascii="Times New Roman" w:hAnsi="Times New Roman" w:eastAsia="仿宋_GB2312" w:cs="Times New Roman"/>
          <w:color w:val="auto"/>
          <w:kern w:val="0"/>
          <w:sz w:val="32"/>
          <w:szCs w:val="32"/>
          <w:highlight w:val="none"/>
          <w:u w:val="none" w:color="auto"/>
        </w:rPr>
        <w:t>。加大闭坑矿山、废弃矿山（矿井）、国有老矿山等历史遗留地质环境问题</w:t>
      </w:r>
      <w:r>
        <w:rPr>
          <w:rFonts w:hint="default" w:ascii="Times New Roman" w:hAnsi="Times New Roman" w:eastAsia="仿宋_GB2312" w:cs="Times New Roman"/>
          <w:color w:val="auto"/>
          <w:kern w:val="0"/>
          <w:sz w:val="32"/>
          <w:szCs w:val="32"/>
          <w:highlight w:val="none"/>
          <w:u w:val="none" w:color="auto"/>
          <w:lang w:val="en-US" w:eastAsia="zh-CN"/>
        </w:rPr>
        <w:t>的</w:t>
      </w:r>
      <w:r>
        <w:rPr>
          <w:rFonts w:hint="default" w:ascii="Times New Roman" w:hAnsi="Times New Roman" w:eastAsia="仿宋_GB2312" w:cs="Times New Roman"/>
          <w:color w:val="auto"/>
          <w:kern w:val="0"/>
          <w:sz w:val="32"/>
          <w:szCs w:val="32"/>
          <w:highlight w:val="none"/>
          <w:u w:val="none" w:color="auto"/>
        </w:rPr>
        <w:t>治理力度。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70" w:name="_Toc24668"/>
      <w:r>
        <w:rPr>
          <w:rFonts w:hint="default" w:ascii="Times New Roman" w:hAnsi="Times New Roman" w:eastAsia="楷体_GB2312" w:cs="Times New Roman"/>
          <w:b/>
          <w:bCs w:val="0"/>
          <w:color w:val="auto"/>
          <w:kern w:val="0"/>
          <w:sz w:val="32"/>
          <w:szCs w:val="32"/>
          <w:highlight w:val="none"/>
          <w:u w:val="none" w:color="auto"/>
          <w:lang w:val="en-US" w:eastAsia="zh-CN" w:bidi="ar-SA"/>
        </w:rPr>
        <w:t>二、积极开展矿山废弃地复垦</w:t>
      </w:r>
      <w:bookmarkEnd w:id="70"/>
    </w:p>
    <w:p>
      <w:pPr>
        <w:keepNext w:val="0"/>
        <w:keepLines w:val="0"/>
        <w:pageBreakBefore w:val="0"/>
        <w:widowControl w:val="0"/>
        <w:kinsoku/>
        <w:wordWrap/>
        <w:autoSpaceDE/>
        <w:autoSpaceDN/>
        <w:bidi w:val="0"/>
        <w:adjustRightInd/>
        <w:snapToGrid/>
        <w:spacing w:line="360" w:lineRule="auto"/>
        <w:ind w:left="0" w:lef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color="auto"/>
          <w:lang w:val="en-US" w:eastAsia="zh-CN"/>
        </w:rPr>
      </w:pPr>
      <w:r>
        <w:rPr>
          <w:rFonts w:hint="default" w:ascii="Times New Roman" w:hAnsi="Times New Roman" w:eastAsia="仿宋_GB2312" w:cs="Times New Roman"/>
          <w:color w:val="auto"/>
          <w:sz w:val="32"/>
          <w:highlight w:val="none"/>
          <w:u w:val="none" w:color="auto"/>
        </w:rPr>
        <w:t>开展矿</w:t>
      </w:r>
      <w:r>
        <w:rPr>
          <w:rFonts w:hint="default" w:ascii="Times New Roman" w:hAnsi="Times New Roman" w:eastAsia="仿宋_GB2312" w:cs="Times New Roman"/>
          <w:color w:val="auto"/>
          <w:sz w:val="32"/>
          <w:highlight w:val="none"/>
          <w:u w:val="none" w:color="auto"/>
          <w:lang w:val="en-US" w:eastAsia="zh-CN"/>
        </w:rPr>
        <w:t>山</w:t>
      </w:r>
      <w:r>
        <w:rPr>
          <w:rFonts w:hint="default" w:ascii="Times New Roman" w:hAnsi="Times New Roman" w:eastAsia="仿宋_GB2312" w:cs="Times New Roman"/>
          <w:color w:val="auto"/>
          <w:sz w:val="32"/>
          <w:highlight w:val="none"/>
          <w:u w:val="none" w:color="auto"/>
        </w:rPr>
        <w:t>大规模国土绿化行动和生态保护修复工程，大幅提高矿</w:t>
      </w:r>
      <w:r>
        <w:rPr>
          <w:rFonts w:hint="default" w:ascii="Times New Roman" w:hAnsi="Times New Roman" w:eastAsia="仿宋_GB2312" w:cs="Times New Roman"/>
          <w:color w:val="auto"/>
          <w:sz w:val="32"/>
          <w:highlight w:val="none"/>
          <w:u w:val="none" w:color="auto"/>
          <w:lang w:val="en-US" w:eastAsia="zh-CN"/>
        </w:rPr>
        <w:t>山</w:t>
      </w:r>
      <w:r>
        <w:rPr>
          <w:rFonts w:hint="default" w:ascii="Times New Roman" w:hAnsi="Times New Roman" w:eastAsia="仿宋_GB2312" w:cs="Times New Roman"/>
          <w:color w:val="auto"/>
          <w:sz w:val="32"/>
          <w:highlight w:val="none"/>
          <w:u w:val="none" w:color="auto"/>
        </w:rPr>
        <w:t>土地复垦率。</w:t>
      </w:r>
      <w:r>
        <w:rPr>
          <w:rFonts w:hint="default" w:ascii="Times New Roman" w:hAnsi="Times New Roman" w:eastAsia="仿宋_GB2312" w:cs="Times New Roman"/>
          <w:color w:val="auto"/>
          <w:sz w:val="32"/>
          <w:szCs w:val="32"/>
          <w:highlight w:val="none"/>
          <w:u w:val="none" w:color="auto"/>
        </w:rPr>
        <w:t>逐步建立以政府资金为引导的“谁投资、谁受益”的土地复垦多元化投融资渠道，鼓励各方力量开展矿区土地复垦</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kern w:val="0"/>
          <w:sz w:val="32"/>
          <w:szCs w:val="32"/>
          <w:highlight w:val="none"/>
          <w:u w:val="none" w:color="auto"/>
        </w:rPr>
        <w:t>支持企业</w:t>
      </w:r>
      <w:r>
        <w:rPr>
          <w:rFonts w:hint="default" w:ascii="Times New Roman" w:hAnsi="Times New Roman" w:eastAsia="仿宋_GB2312" w:cs="Times New Roman"/>
          <w:color w:val="auto"/>
          <w:kern w:val="0"/>
          <w:sz w:val="32"/>
          <w:szCs w:val="32"/>
          <w:highlight w:val="none"/>
          <w:u w:val="none" w:color="auto"/>
          <w:lang w:val="en-US" w:eastAsia="zh-CN"/>
        </w:rPr>
        <w:t>及时</w:t>
      </w:r>
      <w:r>
        <w:rPr>
          <w:rFonts w:hint="default" w:ascii="Times New Roman" w:hAnsi="Times New Roman" w:eastAsia="仿宋_GB2312" w:cs="Times New Roman"/>
          <w:color w:val="auto"/>
          <w:kern w:val="0"/>
          <w:sz w:val="32"/>
          <w:szCs w:val="32"/>
          <w:highlight w:val="none"/>
          <w:u w:val="none" w:color="auto"/>
        </w:rPr>
        <w:t>复垦盘活存量</w:t>
      </w:r>
      <w:r>
        <w:rPr>
          <w:rFonts w:hint="default" w:ascii="Times New Roman" w:hAnsi="Times New Roman" w:eastAsia="仿宋_GB2312" w:cs="Times New Roman"/>
          <w:color w:val="auto"/>
          <w:kern w:val="0"/>
          <w:sz w:val="32"/>
          <w:szCs w:val="32"/>
          <w:highlight w:val="none"/>
          <w:u w:val="none" w:color="auto"/>
          <w:lang w:val="en-US" w:eastAsia="zh-CN"/>
        </w:rPr>
        <w:t>矿山</w:t>
      </w:r>
      <w:r>
        <w:rPr>
          <w:rFonts w:hint="default" w:ascii="Times New Roman" w:hAnsi="Times New Roman" w:eastAsia="仿宋_GB2312" w:cs="Times New Roman"/>
          <w:color w:val="auto"/>
          <w:kern w:val="0"/>
          <w:sz w:val="32"/>
          <w:szCs w:val="32"/>
          <w:highlight w:val="none"/>
          <w:u w:val="none" w:color="auto"/>
        </w:rPr>
        <w:t>用地</w:t>
      </w:r>
      <w:r>
        <w:rPr>
          <w:rFonts w:hint="default" w:ascii="Times New Roman" w:hAnsi="Times New Roman" w:eastAsia="仿宋_GB2312" w:cs="Times New Roman"/>
          <w:color w:val="auto"/>
          <w:kern w:val="0"/>
          <w:sz w:val="32"/>
          <w:szCs w:val="32"/>
          <w:highlight w:val="none"/>
          <w:u w:val="none" w:color="auto"/>
          <w:lang w:eastAsia="zh-CN"/>
        </w:rPr>
        <w:t>，</w:t>
      </w:r>
      <w:r>
        <w:rPr>
          <w:rFonts w:hint="default" w:ascii="Times New Roman" w:hAnsi="Times New Roman" w:eastAsia="仿宋_GB2312" w:cs="Times New Roman"/>
          <w:color w:val="auto"/>
          <w:kern w:val="0"/>
          <w:sz w:val="32"/>
          <w:szCs w:val="32"/>
          <w:highlight w:val="none"/>
          <w:u w:val="none" w:color="auto"/>
          <w:lang w:val="en-US" w:eastAsia="zh-CN"/>
        </w:rPr>
        <w:t>并</w:t>
      </w:r>
      <w:r>
        <w:rPr>
          <w:rFonts w:hint="default" w:ascii="Times New Roman" w:hAnsi="Times New Roman" w:eastAsia="仿宋_GB2312" w:cs="Times New Roman"/>
          <w:color w:val="auto"/>
          <w:kern w:val="0"/>
          <w:sz w:val="32"/>
          <w:szCs w:val="32"/>
          <w:highlight w:val="none"/>
          <w:u w:val="none" w:color="auto"/>
        </w:rPr>
        <w:t>与新增建设用地相挂钩。</w:t>
      </w:r>
      <w:r>
        <w:rPr>
          <w:rFonts w:hint="default" w:ascii="Times New Roman" w:hAnsi="Times New Roman" w:eastAsia="仿宋_GB2312" w:cs="Times New Roman"/>
          <w:color w:val="auto"/>
          <w:kern w:val="0"/>
          <w:sz w:val="32"/>
          <w:szCs w:val="32"/>
          <w:highlight w:val="none"/>
          <w:u w:val="none" w:color="auto"/>
          <w:lang w:val="en-US" w:eastAsia="zh-CN"/>
        </w:rPr>
        <w:t>强化复垦土地管护和后续利用，加强建设用地指标、新增耕地指标用途和流转管理。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71" w:name="_Toc10525"/>
      <w:r>
        <w:rPr>
          <w:rFonts w:hint="default" w:ascii="Times New Roman" w:hAnsi="Times New Roman" w:eastAsia="楷体_GB2312" w:cs="Times New Roman"/>
          <w:b/>
          <w:bCs w:val="0"/>
          <w:color w:val="auto"/>
          <w:kern w:val="0"/>
          <w:sz w:val="32"/>
          <w:szCs w:val="32"/>
          <w:highlight w:val="none"/>
          <w:u w:val="none" w:color="auto"/>
          <w:lang w:val="en-US" w:eastAsia="zh-CN" w:bidi="ar-SA"/>
        </w:rPr>
        <w:t>三、强化采煤沉陷区综合治理</w:t>
      </w:r>
      <w:bookmarkEnd w:id="71"/>
    </w:p>
    <w:p>
      <w:pPr>
        <w:keepNext w:val="0"/>
        <w:keepLines w:val="0"/>
        <w:pageBreakBefore w:val="0"/>
        <w:widowControl w:val="0"/>
        <w:kinsoku/>
        <w:wordWrap/>
        <w:autoSpaceDE/>
        <w:autoSpaceDN/>
        <w:bidi w:val="0"/>
        <w:adjustRightInd/>
        <w:snapToGrid/>
        <w:spacing w:line="360" w:lineRule="auto"/>
        <w:ind w:left="0" w:leftChars="0" w:firstLine="640" w:firstLineChars="200"/>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0"/>
          <w:sz w:val="32"/>
          <w:szCs w:val="32"/>
          <w:highlight w:val="none"/>
          <w:u w:val="none" w:color="auto"/>
          <w:lang w:val="en-US" w:eastAsia="zh-CN"/>
        </w:rPr>
        <w:t>继续</w:t>
      </w:r>
      <w:r>
        <w:rPr>
          <w:rFonts w:hint="default" w:ascii="Times New Roman" w:hAnsi="Times New Roman" w:eastAsia="仿宋_GB2312" w:cs="Times New Roman"/>
          <w:b w:val="0"/>
          <w:bCs w:val="0"/>
          <w:color w:val="auto"/>
          <w:kern w:val="0"/>
          <w:sz w:val="32"/>
          <w:szCs w:val="32"/>
          <w:highlight w:val="none"/>
          <w:u w:val="none" w:color="auto"/>
          <w:lang w:eastAsia="zh-CN"/>
        </w:rPr>
        <w:t>实施采煤沉陷区搬迁安置、土地复垦、地灾治理、生态恢复等综合治理，重点推</w:t>
      </w:r>
      <w:r>
        <w:rPr>
          <w:rFonts w:hint="default" w:ascii="Times New Roman" w:hAnsi="Times New Roman" w:eastAsia="仿宋_GB2312" w:cs="Times New Roman"/>
          <w:b w:val="0"/>
          <w:bCs w:val="0"/>
          <w:color w:val="auto"/>
          <w:kern w:val="0"/>
          <w:sz w:val="32"/>
          <w:szCs w:val="32"/>
          <w:highlight w:val="none"/>
          <w:u w:val="none" w:color="auto"/>
          <w:lang w:val="en-US" w:eastAsia="zh-CN"/>
        </w:rPr>
        <w:t>进</w:t>
      </w:r>
      <w:r>
        <w:rPr>
          <w:rFonts w:hint="default" w:ascii="Times New Roman" w:hAnsi="Times New Roman" w:eastAsia="仿宋_GB2312" w:cs="Times New Roman"/>
          <w:b w:val="0"/>
          <w:bCs w:val="0"/>
          <w:color w:val="auto"/>
          <w:kern w:val="0"/>
          <w:sz w:val="32"/>
          <w:szCs w:val="32"/>
          <w:highlight w:val="none"/>
          <w:u w:val="none" w:color="auto"/>
          <w:lang w:eastAsia="zh-CN"/>
        </w:rPr>
        <w:t>固庄煤矿和荫营煤矿等</w:t>
      </w:r>
      <w:r>
        <w:rPr>
          <w:rFonts w:hint="default" w:ascii="Times New Roman" w:hAnsi="Times New Roman" w:eastAsia="仿宋_GB2312" w:cs="Times New Roman"/>
          <w:b w:val="0"/>
          <w:bCs w:val="0"/>
          <w:color w:val="auto"/>
          <w:kern w:val="0"/>
          <w:sz w:val="32"/>
          <w:szCs w:val="32"/>
          <w:highlight w:val="none"/>
          <w:u w:val="none" w:color="auto"/>
          <w:lang w:val="en-US" w:eastAsia="zh-CN"/>
        </w:rPr>
        <w:t>沉陷严重</w:t>
      </w:r>
      <w:r>
        <w:rPr>
          <w:rFonts w:hint="default" w:ascii="Times New Roman" w:hAnsi="Times New Roman" w:eastAsia="仿宋_GB2312" w:cs="Times New Roman"/>
          <w:b w:val="0"/>
          <w:bCs w:val="0"/>
          <w:color w:val="auto"/>
          <w:kern w:val="0"/>
          <w:sz w:val="32"/>
          <w:szCs w:val="32"/>
          <w:highlight w:val="none"/>
          <w:u w:val="none" w:color="auto"/>
          <w:lang w:eastAsia="zh-CN"/>
        </w:rPr>
        <w:t>矿区的集中治理</w:t>
      </w:r>
      <w:r>
        <w:rPr>
          <w:rFonts w:hint="default" w:ascii="Times New Roman" w:hAnsi="Times New Roman" w:eastAsia="仿宋_GB2312" w:cs="Times New Roman"/>
          <w:color w:val="auto"/>
          <w:kern w:val="0"/>
          <w:sz w:val="32"/>
          <w:szCs w:val="32"/>
          <w:highlight w:val="none"/>
          <w:u w:val="none" w:color="auto"/>
          <w:lang w:eastAsia="zh-CN"/>
        </w:rPr>
        <w:t>，力争“</w:t>
      </w:r>
      <w:r>
        <w:rPr>
          <w:rFonts w:hint="default" w:ascii="Times New Roman" w:hAnsi="Times New Roman" w:eastAsia="仿宋_GB2312" w:cs="Times New Roman"/>
          <w:color w:val="auto"/>
          <w:kern w:val="0"/>
          <w:sz w:val="32"/>
          <w:szCs w:val="32"/>
          <w:highlight w:val="none"/>
          <w:u w:val="none" w:color="auto"/>
          <w:lang w:val="en-US" w:eastAsia="zh-CN"/>
        </w:rPr>
        <w:t>十四五</w:t>
      </w:r>
      <w:r>
        <w:rPr>
          <w:rFonts w:hint="default" w:ascii="Times New Roman" w:hAnsi="Times New Roman" w:eastAsia="仿宋_GB2312" w:cs="Times New Roman"/>
          <w:color w:val="auto"/>
          <w:kern w:val="0"/>
          <w:sz w:val="32"/>
          <w:szCs w:val="32"/>
          <w:highlight w:val="none"/>
          <w:u w:val="none" w:color="auto"/>
          <w:lang w:eastAsia="zh-CN"/>
        </w:rPr>
        <w:t>”</w:t>
      </w:r>
      <w:r>
        <w:rPr>
          <w:rFonts w:hint="eastAsia" w:ascii="Times New Roman" w:hAnsi="Times New Roman" w:eastAsia="仿宋_GB2312" w:cs="Times New Roman"/>
          <w:color w:val="auto"/>
          <w:kern w:val="0"/>
          <w:sz w:val="32"/>
          <w:szCs w:val="32"/>
          <w:highlight w:val="none"/>
          <w:u w:val="none" w:color="auto"/>
          <w:lang w:eastAsia="zh-CN"/>
        </w:rPr>
        <w:t>末</w:t>
      </w:r>
      <w:bookmarkStart w:id="106" w:name="_GoBack"/>
      <w:bookmarkEnd w:id="106"/>
      <w:r>
        <w:rPr>
          <w:rFonts w:hint="default" w:ascii="Times New Roman" w:hAnsi="Times New Roman" w:eastAsia="仿宋_GB2312" w:cs="Times New Roman"/>
          <w:color w:val="auto"/>
          <w:kern w:val="0"/>
          <w:sz w:val="32"/>
          <w:szCs w:val="32"/>
          <w:highlight w:val="none"/>
          <w:u w:val="none" w:color="auto"/>
          <w:lang w:eastAsia="zh-CN"/>
        </w:rPr>
        <w:t>煤矿沉降土地治理率达到80%以上。</w:t>
      </w:r>
      <w:r>
        <w:rPr>
          <w:rFonts w:hint="default" w:ascii="Times New Roman" w:hAnsi="Times New Roman" w:eastAsia="仿宋_GB2312" w:cs="Times New Roman"/>
          <w:color w:val="auto"/>
          <w:kern w:val="0"/>
          <w:sz w:val="32"/>
          <w:szCs w:val="32"/>
          <w:highlight w:val="none"/>
          <w:u w:val="none" w:color="auto"/>
        </w:rPr>
        <w:t>依托山西蓝焰煤层气集团，开展残存煤层气资源开发利用技术应用示范，探索低浓度瓦斯抽采开发及综合利用新模式。区别对待已有沉陷与新生沉陷等不同类型的沉陷区，分级建立沉陷区数据库</w:t>
      </w:r>
      <w:r>
        <w:rPr>
          <w:rFonts w:hint="default" w:ascii="Times New Roman" w:hAnsi="Times New Roman" w:eastAsia="仿宋_GB2312" w:cs="Times New Roman"/>
          <w:color w:val="auto"/>
          <w:kern w:val="0"/>
          <w:sz w:val="32"/>
          <w:szCs w:val="32"/>
          <w:highlight w:val="none"/>
          <w:u w:val="none" w:color="auto"/>
          <w:lang w:eastAsia="zh-CN"/>
        </w:rPr>
        <w:t>，</w:t>
      </w:r>
      <w:r>
        <w:rPr>
          <w:rFonts w:hint="default" w:ascii="Times New Roman" w:hAnsi="Times New Roman" w:eastAsia="仿宋_GB2312" w:cs="Times New Roman"/>
          <w:color w:val="auto"/>
          <w:kern w:val="0"/>
          <w:sz w:val="32"/>
          <w:szCs w:val="32"/>
          <w:highlight w:val="none"/>
          <w:u w:val="none" w:color="auto"/>
          <w:lang w:val="en-US" w:eastAsia="zh-CN"/>
        </w:rPr>
        <w:t>实现精准监测、动态管理</w:t>
      </w:r>
      <w:r>
        <w:rPr>
          <w:rFonts w:hint="default" w:ascii="Times New Roman" w:hAnsi="Times New Roman" w:eastAsia="仿宋_GB2312" w:cs="Times New Roman"/>
          <w:color w:val="auto"/>
          <w:kern w:val="0"/>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72" w:name="_Toc14174"/>
      <w:r>
        <w:rPr>
          <w:rFonts w:hint="default" w:ascii="Times New Roman" w:hAnsi="Times New Roman" w:eastAsia="黑体" w:cs="Times New Roman"/>
          <w:color w:val="auto"/>
          <w:sz w:val="32"/>
          <w:szCs w:val="32"/>
          <w:highlight w:val="none"/>
          <w:u w:val="none" w:color="auto"/>
          <w:lang w:val="en-US" w:eastAsia="zh-CN"/>
        </w:rPr>
        <w:t>第四节 健全环境监管体系</w:t>
      </w:r>
      <w:bookmarkEnd w:id="72"/>
    </w:p>
    <w:p>
      <w:pPr>
        <w:keepNext w:val="0"/>
        <w:keepLines w:val="0"/>
        <w:pageBreakBefore w:val="0"/>
        <w:widowControl w:val="0"/>
        <w:tabs>
          <w:tab w:val="left" w:pos="1867"/>
        </w:tabs>
        <w:kinsoku/>
        <w:wordWrap/>
        <w:overflowPunct/>
        <w:topLinePunct w:val="0"/>
        <w:autoSpaceDE/>
        <w:autoSpaceDN/>
        <w:bidi w:val="0"/>
        <w:adjustRightInd/>
        <w:snapToGrid/>
        <w:spacing w:line="360" w:lineRule="auto"/>
        <w:ind w:left="0" w:leftChars="0" w:firstLine="640" w:firstLineChars="200"/>
        <w:textAlignment w:val="auto"/>
        <w:outlineLvl w:val="9"/>
        <w:rPr>
          <w:rFonts w:hint="default" w:ascii="Times New Roman" w:hAnsi="Times New Roman" w:eastAsia="仿宋_GB2312" w:cs="Times New Roman"/>
          <w:b/>
          <w:bCs w:val="0"/>
          <w:color w:val="auto"/>
          <w:sz w:val="32"/>
          <w:szCs w:val="32"/>
          <w:highlight w:val="none"/>
          <w:u w:val="none" w:color="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bidi="ar-SA"/>
        </w:rPr>
        <w:t>大力提高城市环境保护监管能力，着力构建符合新发展理念的环境监测、执法、信息化能力，全面提升生态环境治理能力现代化水平。</w:t>
      </w:r>
    </w:p>
    <w:p>
      <w:pPr>
        <w:keepNext w:val="0"/>
        <w:keepLines w:val="0"/>
        <w:pageBreakBefore w:val="0"/>
        <w:widowControl w:val="0"/>
        <w:tabs>
          <w:tab w:val="left" w:pos="1867"/>
        </w:tabs>
        <w:kinsoku/>
        <w:wordWrap/>
        <w:overflowPunct/>
        <w:topLinePunct w:val="0"/>
        <w:autoSpaceDE/>
        <w:autoSpaceDN/>
        <w:bidi w:val="0"/>
        <w:adjustRightInd/>
        <w:snapToGrid/>
        <w:spacing w:line="360" w:lineRule="auto"/>
        <w:ind w:left="0" w:leftChars="0" w:firstLine="642" w:firstLineChars="200"/>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r>
        <w:rPr>
          <w:rFonts w:hint="default" w:ascii="Times New Roman" w:hAnsi="Times New Roman" w:eastAsia="楷体_GB2312" w:cs="Times New Roman"/>
          <w:b/>
          <w:bCs w:val="0"/>
          <w:color w:val="auto"/>
          <w:kern w:val="0"/>
          <w:sz w:val="32"/>
          <w:szCs w:val="32"/>
          <w:highlight w:val="none"/>
          <w:u w:val="none" w:color="auto"/>
          <w:lang w:val="en-US" w:eastAsia="zh-CN" w:bidi="ar-SA"/>
        </w:rPr>
        <w:t>一、完善生态环境监管执法机制</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Times New Roman" w:hAnsi="Times New Roman" w:eastAsia="仿宋_GB2312" w:cs="Times New Roman"/>
          <w:i w:val="0"/>
          <w:caps w:val="0"/>
          <w:color w:val="auto"/>
          <w:spacing w:val="0"/>
          <w:kern w:val="2"/>
          <w:sz w:val="32"/>
          <w:szCs w:val="32"/>
          <w:highlight w:val="none"/>
          <w:u w:val="none" w:color="auto"/>
          <w:shd w:val="clear" w:color="auto" w:fill="auto"/>
          <w:lang w:val="en-US" w:eastAsia="zh-CN" w:bidi="ar-SA"/>
        </w:rPr>
      </w:pPr>
      <w:r>
        <w:rPr>
          <w:rFonts w:hint="default" w:ascii="Times New Roman" w:hAnsi="Times New Roman" w:eastAsia="仿宋_GB2312" w:cs="Times New Roman"/>
          <w:i w:val="0"/>
          <w:caps w:val="0"/>
          <w:color w:val="auto"/>
          <w:spacing w:val="0"/>
          <w:kern w:val="2"/>
          <w:sz w:val="32"/>
          <w:szCs w:val="32"/>
          <w:highlight w:val="none"/>
          <w:u w:val="none" w:color="auto"/>
          <w:shd w:val="clear" w:color="auto" w:fill="auto"/>
          <w:lang w:val="en-US" w:eastAsia="zh-CN" w:bidi="ar-SA"/>
        </w:rPr>
        <w:t>全面落实“三线一责一制”，加快推进生态环境保护综合行政执法改革。全面推进执法公示、全过程记录、重大执法决定法制审核制度。加强移动执法，配齐配强执法装备，实现全市覆盖、全程留痕。积极推行非现场监管，推行生态环境行政败诉案件过错责任追究制度。</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2" w:firstLineChars="200"/>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r>
        <w:rPr>
          <w:rFonts w:hint="default" w:ascii="Times New Roman" w:hAnsi="Times New Roman" w:eastAsia="楷体_GB2312" w:cs="Times New Roman"/>
          <w:b/>
          <w:bCs w:val="0"/>
          <w:color w:val="auto"/>
          <w:kern w:val="0"/>
          <w:sz w:val="32"/>
          <w:szCs w:val="32"/>
          <w:highlight w:val="none"/>
          <w:u w:val="none" w:color="auto"/>
          <w:lang w:val="en-US" w:eastAsia="zh-CN" w:bidi="ar-SA"/>
        </w:rPr>
        <w:t>二、加强环境监测能力建设</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加密河流、饮用水源水质监测子站点位布设，完善水环境自动监测系统，实现水质监测全覆盖。加强空气自动监测站点的建设和升级，逐步建成覆盖面广、实时响应的自动监测网络。建立重点污染源全过程智能监控系统，加强重点污染源自动监控系统日常运行管理和在线监测数据有效性审核。推动建立全市环境信息化互联互通机制，统筹规划全市环境信息化建设项目。</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2" w:firstLineChars="200"/>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r>
        <w:rPr>
          <w:rFonts w:hint="default" w:ascii="Times New Roman" w:hAnsi="Times New Roman" w:eastAsia="楷体_GB2312" w:cs="Times New Roman"/>
          <w:b/>
          <w:bCs w:val="0"/>
          <w:color w:val="auto"/>
          <w:kern w:val="0"/>
          <w:sz w:val="32"/>
          <w:szCs w:val="32"/>
          <w:highlight w:val="none"/>
          <w:u w:val="none" w:color="auto"/>
          <w:lang w:val="en-US" w:eastAsia="zh-CN" w:bidi="ar-SA"/>
        </w:rPr>
        <w:t>三、全面推进环境影响评价</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bidi="ar-SA"/>
        </w:rPr>
        <w:t>将区域环境禀赋和环境约束作为重大决策制定的基础依据，探索开展政策环境影响分析，全面推进规划环评，加强项目环评的事中事后监督评价。严格化工项目环评审批，提高准入门槛，落实省及市定各类准入与环境标准。推进园区建设项目环评审批管理改革。</w:t>
      </w:r>
    </w:p>
    <w:p>
      <w:pPr>
        <w:keepNext w:val="0"/>
        <w:keepLines w:val="0"/>
        <w:pageBreakBefore w:val="0"/>
        <w:widowControl w:val="0"/>
        <w:kinsoku/>
        <w:wordWrap/>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73" w:name="_Toc32253"/>
      <w:r>
        <w:rPr>
          <w:rFonts w:hint="default" w:ascii="Times New Roman" w:hAnsi="Times New Roman" w:eastAsia="黑体" w:cs="Times New Roman"/>
          <w:color w:val="auto"/>
          <w:sz w:val="32"/>
          <w:szCs w:val="32"/>
          <w:highlight w:val="none"/>
          <w:u w:val="none" w:color="auto"/>
          <w:lang w:val="en-US" w:eastAsia="zh-CN"/>
        </w:rPr>
        <w:t xml:space="preserve">第五节 </w:t>
      </w:r>
      <w:bookmarkEnd w:id="67"/>
      <w:r>
        <w:rPr>
          <w:rFonts w:hint="default" w:ascii="Times New Roman" w:hAnsi="Times New Roman" w:eastAsia="黑体" w:cs="Times New Roman"/>
          <w:color w:val="auto"/>
          <w:sz w:val="32"/>
          <w:szCs w:val="32"/>
          <w:highlight w:val="none"/>
          <w:u w:val="none" w:color="auto"/>
          <w:lang w:val="en-US" w:eastAsia="zh-CN"/>
        </w:rPr>
        <w:t>深化生态文明</w:t>
      </w:r>
      <w:bookmarkEnd w:id="68"/>
      <w:r>
        <w:rPr>
          <w:rFonts w:hint="default" w:ascii="Times New Roman" w:hAnsi="Times New Roman" w:eastAsia="黑体" w:cs="Times New Roman"/>
          <w:color w:val="auto"/>
          <w:sz w:val="32"/>
          <w:szCs w:val="32"/>
          <w:highlight w:val="none"/>
          <w:u w:val="none" w:color="auto"/>
          <w:lang w:val="en-US" w:eastAsia="zh-CN"/>
        </w:rPr>
        <w:t>体制改革</w:t>
      </w:r>
      <w:bookmarkEnd w:id="73"/>
    </w:p>
    <w:p>
      <w:pPr>
        <w:keepNext w:val="0"/>
        <w:keepLines w:val="0"/>
        <w:pageBreakBefore w:val="0"/>
        <w:widowControl w:val="0"/>
        <w:tabs>
          <w:tab w:val="left" w:pos="1867"/>
        </w:tabs>
        <w:kinsoku/>
        <w:wordWrap/>
        <w:autoSpaceDE/>
        <w:autoSpaceDN/>
        <w:bidi w:val="0"/>
        <w:adjustRightInd/>
        <w:snapToGrid/>
        <w:spacing w:beforeAutospacing="0" w:afterAutospacing="0" w:line="360" w:lineRule="auto"/>
        <w:ind w:left="0" w:leftChars="0" w:firstLine="640"/>
        <w:textAlignment w:val="auto"/>
        <w:outlineLvl w:val="9"/>
        <w:rPr>
          <w:rFonts w:hint="default" w:ascii="Times New Roman" w:hAnsi="Times New Roman" w:eastAsia="仿宋_GB2312" w:cs="Times New Roman"/>
          <w:b/>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优化生态文明体制改革决策、实施机制，</w:t>
      </w:r>
      <w:r>
        <w:rPr>
          <w:rFonts w:hint="default" w:ascii="Times New Roman" w:hAnsi="Times New Roman" w:eastAsia="仿宋_GB2312" w:cs="Times New Roman"/>
          <w:color w:val="auto"/>
          <w:sz w:val="32"/>
          <w:szCs w:val="32"/>
          <w:highlight w:val="none"/>
          <w:u w:val="none" w:color="auto"/>
          <w:lang w:val="en-US" w:eastAsia="zh-CN"/>
        </w:rPr>
        <w:t>构建产权清晰、多元参与、激励约束并重、系统完整的生态文明制度体系，</w:t>
      </w:r>
      <w:r>
        <w:rPr>
          <w:rFonts w:hint="default" w:ascii="Times New Roman" w:hAnsi="Times New Roman" w:eastAsia="仿宋_GB2312" w:cs="Times New Roman"/>
          <w:b w:val="0"/>
          <w:bCs w:val="0"/>
          <w:color w:val="auto"/>
          <w:kern w:val="2"/>
          <w:sz w:val="32"/>
          <w:szCs w:val="32"/>
          <w:highlight w:val="none"/>
          <w:u w:val="none" w:color="auto"/>
          <w:shd w:val="clear" w:color="auto" w:fill="auto"/>
          <w:lang w:val="en-US" w:eastAsia="zh-CN" w:bidi="ar-SA"/>
        </w:rPr>
        <w:t>强化</w:t>
      </w:r>
      <w:r>
        <w:rPr>
          <w:rFonts w:hint="default" w:ascii="Times New Roman" w:hAnsi="Times New Roman" w:eastAsia="仿宋_GB2312" w:cs="Times New Roman"/>
          <w:b w:val="0"/>
          <w:bCs w:val="0"/>
          <w:color w:val="auto"/>
          <w:kern w:val="2"/>
          <w:sz w:val="32"/>
          <w:szCs w:val="32"/>
          <w:highlight w:val="none"/>
          <w:u w:val="none" w:color="auto"/>
          <w:shd w:val="clear" w:color="auto" w:fill="auto"/>
          <w:lang w:eastAsia="zh-CN" w:bidi="ar-SA"/>
        </w:rPr>
        <w:t>绿色低碳发展</w:t>
      </w:r>
      <w:r>
        <w:rPr>
          <w:rFonts w:hint="default" w:ascii="Times New Roman" w:hAnsi="Times New Roman" w:eastAsia="仿宋_GB2312" w:cs="Times New Roman"/>
          <w:b w:val="0"/>
          <w:bCs w:val="0"/>
          <w:color w:val="auto"/>
          <w:kern w:val="2"/>
          <w:sz w:val="32"/>
          <w:szCs w:val="32"/>
          <w:highlight w:val="none"/>
          <w:u w:val="none" w:color="auto"/>
          <w:shd w:val="clear" w:color="auto" w:fill="auto"/>
          <w:lang w:val="en-US" w:eastAsia="zh-CN" w:bidi="ar-SA"/>
        </w:rPr>
        <w:t>的制度保障</w:t>
      </w:r>
      <w:r>
        <w:rPr>
          <w:rFonts w:hint="default" w:ascii="Times New Roman" w:hAnsi="Times New Roman" w:eastAsia="仿宋_GB2312" w:cs="Times New Roman"/>
          <w:b w:val="0"/>
          <w:bCs w:val="0"/>
          <w:color w:val="auto"/>
          <w:kern w:val="2"/>
          <w:sz w:val="32"/>
          <w:szCs w:val="32"/>
          <w:highlight w:val="none"/>
          <w:u w:val="none" w:color="auto"/>
          <w:shd w:val="clear" w:color="auto" w:fill="auto"/>
          <w:lang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74" w:name="_Toc18333"/>
      <w:r>
        <w:rPr>
          <w:rFonts w:hint="default" w:ascii="Times New Roman" w:hAnsi="Times New Roman" w:eastAsia="楷体_GB2312" w:cs="Times New Roman"/>
          <w:b/>
          <w:bCs w:val="0"/>
          <w:color w:val="auto"/>
          <w:kern w:val="0"/>
          <w:sz w:val="32"/>
          <w:szCs w:val="32"/>
          <w:highlight w:val="none"/>
          <w:u w:val="none" w:color="auto"/>
          <w:lang w:val="en-US" w:eastAsia="zh-CN" w:bidi="ar-SA"/>
        </w:rPr>
        <w:t>一、完善资源有偿使用制度</w:t>
      </w:r>
      <w:bookmarkEnd w:id="74"/>
    </w:p>
    <w:p>
      <w:pPr>
        <w:keepNext w:val="0"/>
        <w:keepLines w:val="0"/>
        <w:pageBreakBefore w:val="0"/>
        <w:widowControl w:val="0"/>
        <w:kinsoku/>
        <w:wordWrap/>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深化资源税改革，对充填开采置换出来的煤炭产品，按规定减征资源税，允许相应产量按一定比例折算为煤炭产能置换指标。开展水资源税改革试点工作，逐步扩大征税范围，促进资源节约集约利用。落实资源综合利用产品及劳务增值税政策、资源综合利用和环境保护节能节水专用设备企业所得税优惠政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75" w:name="_Toc28366"/>
      <w:r>
        <w:rPr>
          <w:rFonts w:hint="default" w:ascii="Times New Roman" w:hAnsi="Times New Roman" w:eastAsia="楷体_GB2312" w:cs="Times New Roman"/>
          <w:b/>
          <w:bCs w:val="0"/>
          <w:color w:val="auto"/>
          <w:kern w:val="0"/>
          <w:sz w:val="32"/>
          <w:szCs w:val="32"/>
          <w:highlight w:val="none"/>
          <w:u w:val="none" w:color="auto"/>
          <w:lang w:val="en-US" w:eastAsia="zh-CN" w:bidi="ar-SA"/>
        </w:rPr>
        <w:t>二、探索生态产品价值实现机制</w:t>
      </w:r>
      <w:bookmarkEnd w:id="75"/>
    </w:p>
    <w:p>
      <w:pPr>
        <w:keepNext w:val="0"/>
        <w:keepLines w:val="0"/>
        <w:pageBreakBefore w:val="0"/>
        <w:widowControl w:val="0"/>
        <w:kinsoku/>
        <w:wordWrap/>
        <w:autoSpaceDE/>
        <w:autoSpaceDN/>
        <w:bidi w:val="0"/>
        <w:adjustRightInd/>
        <w:snapToGrid/>
        <w:spacing w:line="360" w:lineRule="auto"/>
        <w:ind w:left="0" w:leftChars="0" w:firstLine="640" w:firstLineChars="200"/>
        <w:textAlignment w:val="auto"/>
        <w:outlineLvl w:val="9"/>
        <w:rPr>
          <w:rFonts w:hint="default" w:ascii="Times New Roman" w:hAnsi="Times New Roman" w:cs="Times New Roman"/>
          <w:color w:val="auto"/>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shd w:val="clear" w:color="auto" w:fill="auto"/>
        </w:rPr>
        <w:t>做好森林生态价值评估，开展生态产品价值核算评估试点，探索生态产品价值实现机制。完善生态文明建设财政奖补机制，积极探索碳排放权交易，全面开展企业环境污染责任保险工作。完善自然资源资产产权制度</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加强自然资源调查评价监测和确权登记</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完善自然资源价格形成机制，建立自然资源政府公示价格体系，推进自然资源资产抵押融资</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val="en-US" w:eastAsia="zh-CN"/>
        </w:rPr>
        <w:t>构建更加完善公平的生态产品市场交易体系</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2" w:firstLineChars="200"/>
        <w:jc w:val="both"/>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76" w:name="_Toc5775"/>
      <w:r>
        <w:rPr>
          <w:rFonts w:hint="default" w:ascii="Times New Roman" w:hAnsi="Times New Roman" w:eastAsia="楷体_GB2312" w:cs="Times New Roman"/>
          <w:b/>
          <w:bCs w:val="0"/>
          <w:color w:val="auto"/>
          <w:kern w:val="0"/>
          <w:sz w:val="32"/>
          <w:szCs w:val="32"/>
          <w:highlight w:val="none"/>
          <w:u w:val="none" w:color="auto"/>
          <w:lang w:val="en-US" w:eastAsia="zh-CN" w:bidi="ar-SA"/>
        </w:rPr>
        <w:t>三、构建现代环境治理体系</w:t>
      </w:r>
      <w:bookmarkEnd w:id="76"/>
    </w:p>
    <w:p>
      <w:pPr>
        <w:keepNext w:val="0"/>
        <w:keepLines w:val="0"/>
        <w:pageBreakBefore w:val="0"/>
        <w:widowControl w:val="0"/>
        <w:kinsoku/>
        <w:wordWrap/>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健全环境治理的领导责任体系</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实现党委、政府和有关开发区管委会议事协调机构全覆盖。全面实行排污许可制，落实生产者责任延伸制度，加强企业环境治理责任制度建设。健全“污染者付费+第三方治理”等机制，构建公开透明、规范有序的环境治理市场，加大环境治理信息公开力度。完善企业环保信用评价制度。进一步</w:t>
      </w:r>
      <w:r>
        <w:rPr>
          <w:rFonts w:hint="default" w:ascii="Times New Roman" w:hAnsi="Times New Roman" w:eastAsia="仿宋_GB2312" w:cs="Times New Roman"/>
          <w:color w:val="auto"/>
          <w:sz w:val="32"/>
          <w:szCs w:val="32"/>
          <w:highlight w:val="none"/>
          <w:u w:val="none" w:color="auto"/>
          <w:lang w:val="en-US" w:eastAsia="zh-CN"/>
        </w:rPr>
        <w:t>健全</w:t>
      </w:r>
      <w:r>
        <w:rPr>
          <w:rFonts w:hint="default" w:ascii="Times New Roman" w:hAnsi="Times New Roman" w:eastAsia="仿宋_GB2312" w:cs="Times New Roman"/>
          <w:color w:val="auto"/>
          <w:sz w:val="32"/>
          <w:szCs w:val="32"/>
          <w:highlight w:val="none"/>
          <w:u w:val="none" w:color="auto"/>
        </w:rPr>
        <w:t>生态环境损害赔偿制度，加强生态环境损害资金管理，规范案件办理程序。</w:t>
      </w:r>
    </w:p>
    <w:p>
      <w:pPr>
        <w:keepNext w:val="0"/>
        <w:keepLines w:val="0"/>
        <w:pageBreakBefore w:val="0"/>
        <w:widowControl w:val="0"/>
        <w:kinsoku/>
        <w:wordWrap/>
        <w:autoSpaceDE/>
        <w:autoSpaceDN/>
        <w:bidi w:val="0"/>
        <w:adjustRightInd/>
        <w:snapToGrid/>
        <w:spacing w:line="360" w:lineRule="auto"/>
        <w:ind w:left="0" w:leftChars="0"/>
        <w:jc w:val="center"/>
        <w:textAlignment w:val="auto"/>
        <w:outlineLvl w:val="0"/>
        <w:rPr>
          <w:rFonts w:hint="default" w:ascii="Times New Roman" w:hAnsi="Times New Roman" w:eastAsia="方正小标宋简体" w:cs="Times New Roman"/>
          <w:bCs/>
          <w:caps w:val="0"/>
          <w:color w:val="auto"/>
          <w:kern w:val="2"/>
          <w:sz w:val="30"/>
          <w:szCs w:val="30"/>
          <w:highlight w:val="none"/>
          <w:u w:val="none" w:color="auto"/>
          <w:lang w:val="en-US" w:eastAsia="zh-CN" w:bidi="ar-SA"/>
        </w:rPr>
      </w:pPr>
      <w:bookmarkStart w:id="77" w:name="_Toc24059"/>
      <w:bookmarkStart w:id="78" w:name="_Toc26943"/>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 xml:space="preserve">第六章 </w:t>
      </w:r>
      <w:bookmarkEnd w:id="77"/>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坚持绿色发展，推动生产生活方式绿色转型</w:t>
      </w:r>
      <w:bookmarkEnd w:id="78"/>
    </w:p>
    <w:p>
      <w:pPr>
        <w:keepNext w:val="0"/>
        <w:keepLines w:val="0"/>
        <w:pageBreakBefore w:val="0"/>
        <w:widowControl w:val="0"/>
        <w:kinsoku/>
        <w:wordWrap/>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bookmarkStart w:id="79" w:name="_Toc18334"/>
      <w:r>
        <w:rPr>
          <w:rFonts w:hint="default" w:ascii="Times New Roman" w:hAnsi="Times New Roman" w:eastAsia="仿宋_GB2312" w:cs="Times New Roman"/>
          <w:color w:val="auto"/>
          <w:sz w:val="32"/>
          <w:szCs w:val="32"/>
          <w:highlight w:val="none"/>
          <w:u w:val="none" w:color="auto"/>
          <w:lang w:val="en-US" w:eastAsia="zh-CN"/>
        </w:rPr>
        <w:t>深入贯彻绿色发展理念，推动工业绿色低碳循环发展，推进农业绿色发展，积极发展节能环保产业，支持绿色技术创新，加快推动生产方式绿色化。</w:t>
      </w:r>
    </w:p>
    <w:p>
      <w:pPr>
        <w:keepNext w:val="0"/>
        <w:keepLines w:val="0"/>
        <w:pageBreakBefore w:val="0"/>
        <w:widowControl w:val="0"/>
        <w:kinsoku/>
        <w:wordWrap/>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80" w:name="_Toc21131"/>
      <w:r>
        <w:rPr>
          <w:rFonts w:hint="default" w:ascii="Times New Roman" w:hAnsi="Times New Roman" w:eastAsia="黑体" w:cs="Times New Roman"/>
          <w:color w:val="auto"/>
          <w:sz w:val="32"/>
          <w:szCs w:val="32"/>
          <w:highlight w:val="none"/>
          <w:u w:val="none" w:color="auto"/>
          <w:lang w:val="en-US" w:eastAsia="zh-CN"/>
        </w:rPr>
        <w:t>第一节 推动工业绿色低碳循环发展</w:t>
      </w:r>
      <w:bookmarkEnd w:id="79"/>
      <w:bookmarkEnd w:id="80"/>
    </w:p>
    <w:p>
      <w:pPr>
        <w:keepNext w:val="0"/>
        <w:keepLines w:val="0"/>
        <w:pageBreakBefore w:val="0"/>
        <w:widowControl w:val="0"/>
        <w:kinsoku/>
        <w:wordWrap/>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bCs w:val="0"/>
          <w:color w:val="auto"/>
          <w:kern w:val="0"/>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rPr>
        <w:t>推动传统产业绿色升级改造，</w:t>
      </w:r>
      <w:r>
        <w:rPr>
          <w:rFonts w:hint="default" w:ascii="Times New Roman" w:hAnsi="Times New Roman" w:eastAsia="仿宋_GB2312" w:cs="Times New Roman"/>
          <w:color w:val="auto"/>
          <w:sz w:val="32"/>
          <w:szCs w:val="32"/>
          <w:highlight w:val="none"/>
          <w:u w:val="none" w:color="auto"/>
        </w:rPr>
        <w:t>大力发展循环经济，持续推进工业能效提升，推动资源消耗减量化、资源利用循环化、企业生产清洁化和</w:t>
      </w:r>
      <w:r>
        <w:rPr>
          <w:rFonts w:hint="default" w:ascii="Times New Roman" w:hAnsi="Times New Roman" w:eastAsia="仿宋_GB2312" w:cs="Times New Roman"/>
          <w:color w:val="auto"/>
          <w:sz w:val="32"/>
          <w:szCs w:val="32"/>
          <w:highlight w:val="none"/>
          <w:u w:val="none" w:color="auto"/>
          <w:lang w:val="en-US" w:eastAsia="zh-CN"/>
        </w:rPr>
        <w:t>全市</w:t>
      </w:r>
      <w:r>
        <w:rPr>
          <w:rFonts w:hint="default" w:ascii="Times New Roman" w:hAnsi="Times New Roman" w:eastAsia="仿宋_GB2312" w:cs="Times New Roman"/>
          <w:color w:val="auto"/>
          <w:sz w:val="32"/>
          <w:szCs w:val="32"/>
          <w:highlight w:val="none"/>
          <w:u w:val="none" w:color="auto"/>
        </w:rPr>
        <w:t>工业生态化</w:t>
      </w:r>
      <w:r>
        <w:rPr>
          <w:rFonts w:hint="default" w:ascii="Times New Roman" w:hAnsi="Times New Roman" w:eastAsia="仿宋_GB2312" w:cs="Times New Roman"/>
          <w:color w:val="auto"/>
          <w:sz w:val="32"/>
          <w:szCs w:val="32"/>
          <w:highlight w:val="none"/>
          <w:u w:val="none" w:color="auto"/>
          <w:lang w:eastAsia="zh-CN"/>
        </w:rPr>
        <w:t>。</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81" w:name="_Toc5940"/>
      <w:r>
        <w:rPr>
          <w:rFonts w:hint="default" w:ascii="Times New Roman" w:hAnsi="Times New Roman" w:eastAsia="楷体_GB2312" w:cs="Times New Roman"/>
          <w:b/>
          <w:bCs w:val="0"/>
          <w:color w:val="auto"/>
          <w:kern w:val="0"/>
          <w:sz w:val="32"/>
          <w:szCs w:val="32"/>
          <w:highlight w:val="none"/>
          <w:u w:val="none" w:color="auto"/>
          <w:lang w:val="en-US" w:eastAsia="zh-CN" w:bidi="ar-SA"/>
        </w:rPr>
        <w:t>一、加快发展低碳经济</w:t>
      </w:r>
      <w:bookmarkEnd w:id="81"/>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围绕碳排放总量达到峰值目标，研究制定低碳发展路线图。完善碳排放统计、核算制度，定期编制温室气体排放清单。鼓励和支持低碳技术创新，建立低碳技术推广目录，加大低碳产业发展资金和政策支持力度，推动新兴低碳产业发展。探索产城融合低碳发展模式，推进省级低碳零碳市县试点和园区试点建设，积极开展低碳零碳商业、社区试点。</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82" w:name="_Toc24163"/>
      <w:r>
        <w:rPr>
          <w:rFonts w:hint="default" w:ascii="Times New Roman" w:hAnsi="Times New Roman" w:eastAsia="楷体_GB2312" w:cs="Times New Roman"/>
          <w:b/>
          <w:bCs w:val="0"/>
          <w:color w:val="auto"/>
          <w:kern w:val="0"/>
          <w:sz w:val="32"/>
          <w:szCs w:val="32"/>
          <w:highlight w:val="none"/>
          <w:u w:val="none" w:color="auto"/>
          <w:lang w:val="en-US" w:eastAsia="zh-CN" w:bidi="ar-SA"/>
        </w:rPr>
        <w:t>二、推进资源综合利用园区</w:t>
      </w:r>
      <w:bookmarkEnd w:id="82"/>
      <w:r>
        <w:rPr>
          <w:rFonts w:hint="default" w:ascii="Times New Roman" w:hAnsi="Times New Roman" w:eastAsia="楷体_GB2312" w:cs="Times New Roman"/>
          <w:b/>
          <w:bCs w:val="0"/>
          <w:color w:val="auto"/>
          <w:kern w:val="0"/>
          <w:sz w:val="32"/>
          <w:szCs w:val="32"/>
          <w:highlight w:val="none"/>
          <w:u w:val="none" w:color="auto"/>
          <w:lang w:val="en-US" w:eastAsia="zh-CN" w:bidi="ar-SA"/>
        </w:rPr>
        <w:t>建设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b w:val="0"/>
          <w:bCs w:val="0"/>
          <w:color w:val="auto"/>
          <w:spacing w:val="11"/>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rPr>
        <w:t>高起点发展静脉产业，建设循环经济产业园，积极推进再生资源规模化利用，推动报废汽车拆解、废旧家电拆解等再制造产业发展。创建国家级工业资源综合利用基地，推动水泥、火电、建材等行业废物协同处置，积极推进“北京大学固废资源化综合利用阳泉研发中心”建设，促进煤矸石、粉煤灰、炉渣废渣、尾矿等工业废弃物循环利用。加强园区能源资源梯级利用和系统优化，实现工业园区内项目、企业、产业有效组合和循环链接，实现原料互供、资源共享，全面提升资源产出率。</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83" w:name="_Toc5302"/>
      <w:r>
        <w:rPr>
          <w:rFonts w:hint="default" w:ascii="Times New Roman" w:hAnsi="Times New Roman" w:eastAsia="楷体_GB2312" w:cs="Times New Roman"/>
          <w:b/>
          <w:bCs w:val="0"/>
          <w:color w:val="auto"/>
          <w:kern w:val="0"/>
          <w:sz w:val="32"/>
          <w:szCs w:val="32"/>
          <w:highlight w:val="none"/>
          <w:u w:val="none" w:color="auto"/>
          <w:lang w:val="en-US" w:eastAsia="zh-CN" w:bidi="ar-SA"/>
        </w:rPr>
        <w:t>三、推进重点行业绿色化改造</w:t>
      </w:r>
      <w:bookmarkEnd w:id="83"/>
    </w:p>
    <w:p>
      <w:pPr>
        <w:keepNext w:val="0"/>
        <w:keepLines w:val="0"/>
        <w:pageBreakBefore w:val="0"/>
        <w:widowControl w:val="0"/>
        <w:kinsoku/>
        <w:wordWrap/>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按照</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用地集约化、生产洁净化、废物资源化、能源低碳化</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原则，在冶金、化工、焦化、建材等</w:t>
      </w:r>
      <w:r>
        <w:rPr>
          <w:rFonts w:hint="default" w:ascii="Times New Roman" w:hAnsi="Times New Roman" w:eastAsia="仿宋_GB2312" w:cs="Times New Roman"/>
          <w:color w:val="auto"/>
          <w:sz w:val="32"/>
          <w:szCs w:val="32"/>
          <w:highlight w:val="none"/>
          <w:u w:val="none" w:color="auto"/>
          <w:lang w:val="en-US" w:eastAsia="zh-CN"/>
        </w:rPr>
        <w:t>行业</w:t>
      </w:r>
      <w:r>
        <w:rPr>
          <w:rFonts w:hint="default" w:ascii="Times New Roman" w:hAnsi="Times New Roman" w:eastAsia="仿宋_GB2312" w:cs="Times New Roman"/>
          <w:color w:val="auto"/>
          <w:sz w:val="32"/>
          <w:szCs w:val="32"/>
          <w:highlight w:val="none"/>
          <w:u w:val="none" w:color="auto"/>
        </w:rPr>
        <w:t>选择一批工艺技术装备先进、产品市场较好、基础工作较扎实的企业，</w:t>
      </w:r>
      <w:r>
        <w:rPr>
          <w:rFonts w:hint="default" w:ascii="Times New Roman" w:hAnsi="Times New Roman" w:eastAsia="仿宋_GB2312" w:cs="Times New Roman"/>
          <w:color w:val="auto"/>
          <w:sz w:val="32"/>
          <w:szCs w:val="32"/>
          <w:highlight w:val="none"/>
          <w:u w:val="none" w:color="auto"/>
          <w:lang w:val="en-US" w:eastAsia="zh-CN"/>
        </w:rPr>
        <w:t>推动企业</w:t>
      </w:r>
      <w:r>
        <w:rPr>
          <w:rFonts w:hint="default" w:ascii="Times New Roman" w:hAnsi="Times New Roman" w:eastAsia="仿宋_GB2312" w:cs="Times New Roman"/>
          <w:color w:val="auto"/>
          <w:sz w:val="32"/>
          <w:szCs w:val="32"/>
          <w:highlight w:val="none"/>
          <w:u w:val="none" w:color="auto"/>
        </w:rPr>
        <w:t>开展绿色改造，开展绿色工厂创建活动</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重点引导工业企业应用产品轻量化、模块化、集成化、智能化等绿色设计共性技术，采用高性能、轻量化、绿色环保的新材料，开发推广绿色产品。</w:t>
      </w:r>
      <w:r>
        <w:rPr>
          <w:rFonts w:hint="default" w:ascii="Times New Roman" w:hAnsi="Times New Roman" w:eastAsia="仿宋_GB2312" w:cs="Times New Roman"/>
          <w:color w:val="auto"/>
          <w:sz w:val="32"/>
          <w:szCs w:val="32"/>
          <w:highlight w:val="none"/>
          <w:u w:val="none" w:color="auto"/>
          <w:lang w:eastAsia="zh-CN"/>
        </w:rPr>
        <w:t>率先推动</w:t>
      </w:r>
      <w:r>
        <w:rPr>
          <w:rFonts w:hint="default" w:ascii="Times New Roman" w:hAnsi="Times New Roman" w:eastAsia="仿宋_GB2312" w:cs="Times New Roman"/>
          <w:color w:val="auto"/>
          <w:sz w:val="32"/>
          <w:szCs w:val="32"/>
          <w:highlight w:val="none"/>
          <w:u w:val="none" w:color="auto"/>
        </w:rPr>
        <w:t>以产品制造和能源供给为主要功能的工业园区开展绿色园区建设。加强供应链上下游企业间绿色协调与协作，推动企业建立产品设计、材料选用、生产、营销、回收利用、废弃物无害化处置等全生命周期绿色过程。</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84" w:name="_Toc4543"/>
      <w:bookmarkStart w:id="85" w:name="_Toc1289"/>
      <w:bookmarkStart w:id="86" w:name="_Toc28426"/>
      <w:bookmarkStart w:id="87" w:name="_Toc529198396"/>
      <w:r>
        <w:rPr>
          <w:rFonts w:hint="default" w:ascii="Times New Roman" w:hAnsi="Times New Roman" w:eastAsia="楷体_GB2312" w:cs="Times New Roman"/>
          <w:b/>
          <w:bCs w:val="0"/>
          <w:color w:val="auto"/>
          <w:kern w:val="0"/>
          <w:sz w:val="32"/>
          <w:szCs w:val="32"/>
          <w:highlight w:val="none"/>
          <w:u w:val="none" w:color="auto"/>
          <w:lang w:val="en-US" w:eastAsia="zh-CN" w:bidi="ar-SA"/>
        </w:rPr>
        <w:t>四、支持节能环保产业发展</w:t>
      </w:r>
      <w:bookmarkEnd w:id="84"/>
    </w:p>
    <w:p>
      <w:pPr>
        <w:keepNext w:val="0"/>
        <w:keepLines w:val="0"/>
        <w:pageBreakBefore w:val="0"/>
        <w:widowControl w:val="0"/>
        <w:kinsoku/>
        <w:wordWrap/>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rPr>
        <w:t>加快培育节能环保产业</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重点加强节能锅炉、高效节能电机、节能阀门、LED照明系统、废水废气治理等节能环保产品的研发和制造，大力发展节能环保关键技术装备、污染物治理技术与装备、资源循环利用产品。</w:t>
      </w:r>
      <w:r>
        <w:rPr>
          <w:rFonts w:hint="default" w:ascii="Times New Roman" w:hAnsi="Times New Roman" w:eastAsia="仿宋_GB2312" w:cs="Times New Roman"/>
          <w:color w:val="auto"/>
          <w:sz w:val="32"/>
          <w:szCs w:val="32"/>
          <w:highlight w:val="none"/>
          <w:u w:val="none" w:color="auto"/>
          <w:lang w:val="en-US" w:eastAsia="zh-CN"/>
        </w:rPr>
        <w:t>大力发展环保设施社会化运营、环境咨询、环境监理、工程技术设计、认证评估等环保服务业。围绕城市污水处理、生活垃圾处理、烟气除尘脱硫脱硝、危险废物处理处置、工业污染治理等重点领域，鼓励发展提供系统解决方案的环保综合服务业。</w:t>
      </w:r>
    </w:p>
    <w:p>
      <w:pPr>
        <w:keepNext w:val="0"/>
        <w:keepLines w:val="0"/>
        <w:pageBreakBefore w:val="0"/>
        <w:widowControl w:val="0"/>
        <w:kinsoku/>
        <w:wordWrap/>
        <w:overflowPunct w:val="0"/>
        <w:topLinePunct/>
        <w:autoSpaceDE/>
        <w:autoSpaceDN/>
        <w:bidi w:val="0"/>
        <w:adjustRightInd/>
        <w:snapToGrid/>
        <w:spacing w:before="0" w:after="0" w:line="360" w:lineRule="auto"/>
        <w:ind w:left="0" w:leftChars="0"/>
        <w:jc w:val="center"/>
        <w:textAlignment w:val="auto"/>
        <w:outlineLvl w:val="1"/>
        <w:rPr>
          <w:rFonts w:hint="default" w:ascii="Times New Roman" w:hAnsi="Times New Roman" w:eastAsia="楷体" w:cs="Times New Roman"/>
          <w:b w:val="0"/>
          <w:bCs w:val="0"/>
          <w:color w:val="auto"/>
          <w:kern w:val="2"/>
          <w:sz w:val="32"/>
          <w:szCs w:val="32"/>
          <w:highlight w:val="none"/>
          <w:u w:val="none" w:color="auto"/>
          <w:lang w:val="en-US" w:eastAsia="zh-CN" w:bidi="ar-SA"/>
        </w:rPr>
      </w:pPr>
      <w:bookmarkStart w:id="88" w:name="_Toc7200"/>
      <w:r>
        <w:rPr>
          <w:rFonts w:hint="default" w:ascii="Times New Roman" w:hAnsi="Times New Roman" w:eastAsia="黑体" w:cs="Times New Roman"/>
          <w:b w:val="0"/>
          <w:bCs w:val="0"/>
          <w:color w:val="auto"/>
          <w:kern w:val="2"/>
          <w:sz w:val="32"/>
          <w:szCs w:val="32"/>
          <w:highlight w:val="none"/>
          <w:u w:val="none" w:color="auto"/>
          <w:lang w:val="en-US" w:eastAsia="zh-CN" w:bidi="ar-SA"/>
        </w:rPr>
        <w:t>第二节 推进农业</w:t>
      </w:r>
      <w:bookmarkEnd w:id="85"/>
      <w:r>
        <w:rPr>
          <w:rFonts w:hint="default" w:ascii="Times New Roman" w:hAnsi="Times New Roman" w:eastAsia="黑体" w:cs="Times New Roman"/>
          <w:b w:val="0"/>
          <w:bCs w:val="0"/>
          <w:color w:val="auto"/>
          <w:kern w:val="2"/>
          <w:sz w:val="32"/>
          <w:szCs w:val="32"/>
          <w:highlight w:val="none"/>
          <w:u w:val="none" w:color="auto"/>
          <w:lang w:val="en-US" w:eastAsia="zh-CN" w:bidi="ar-SA"/>
        </w:rPr>
        <w:t>绿色发展</w:t>
      </w:r>
      <w:bookmarkEnd w:id="88"/>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强化绿色导向，加强农业生态环境建设，推广绿色清洁生产，实现农业种养加工一体化循环产业链，防治农业环境污染，保障农产品质量安全。</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89" w:name="_Toc5466"/>
      <w:r>
        <w:rPr>
          <w:rFonts w:hint="default" w:ascii="Times New Roman" w:hAnsi="Times New Roman" w:eastAsia="楷体_GB2312" w:cs="Times New Roman"/>
          <w:b/>
          <w:bCs w:val="0"/>
          <w:color w:val="auto"/>
          <w:kern w:val="0"/>
          <w:sz w:val="32"/>
          <w:szCs w:val="32"/>
          <w:highlight w:val="none"/>
          <w:u w:val="none" w:color="auto"/>
          <w:lang w:val="en-US" w:eastAsia="zh-CN" w:bidi="ar-SA"/>
        </w:rPr>
        <w:t>一、推进农业生产过程清洁化</w:t>
      </w:r>
      <w:bookmarkEnd w:id="86"/>
      <w:bookmarkEnd w:id="87"/>
      <w:bookmarkEnd w:id="89"/>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推进农业废弃物无害化处理，建立农村有机废弃物收集、转化和利用网络体系。开展农作物秸秆资源化利用技术示范，提高全市农作物秸秆综合利用率。推进畜禽粪污综合利用，完善病死畜禽无害化处理设施，推广清洁生产工艺和精准饲料配方技术，推进畜禽粪便有机肥料加工、无害化处置储存，促进畜禽粪便资源化利用。建设高标准农膜试点，开展生物可降解地膜对比试验示范，实施地膜回收利用示范工程。推广低残留农药和生物农药，实施病虫害统防统治和绿色防控。发展无公害农产品、绿色食品和有机食品，加强农业投入品规范化管理，健全投入品追溯系统。</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bookmarkStart w:id="90" w:name="_Toc11747"/>
      <w:bookmarkStart w:id="91" w:name="_Toc12028"/>
      <w:bookmarkStart w:id="92" w:name="_Toc529198397"/>
      <w:r>
        <w:rPr>
          <w:rFonts w:hint="default" w:ascii="Times New Roman" w:hAnsi="Times New Roman" w:eastAsia="楷体_GB2312" w:cs="Times New Roman"/>
          <w:b/>
          <w:bCs w:val="0"/>
          <w:color w:val="auto"/>
          <w:kern w:val="0"/>
          <w:sz w:val="32"/>
          <w:szCs w:val="32"/>
          <w:highlight w:val="none"/>
          <w:u w:val="none" w:color="auto"/>
          <w:lang w:val="en-US" w:eastAsia="zh-CN" w:bidi="ar-SA"/>
        </w:rPr>
        <w:t>二、促进生态循环农业发展</w:t>
      </w:r>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推动生态环境保护和农村经济发展有机结合，逐步形成农林牧副渔全面发展的立体生态农业。探索粮经饲三元结构，推广畜—饲—蔬、畜—沼—果、林下经济等生态循环农业模式。开展种养结合性循环农业试点，支持苜蓿、青贮玉米等饲草种植。不断优化调整种养业结构，促进种养循环、农牧结合、农林结合，打造跨企业、跨农户的工农复合型循环经济联合体，构建生态农业循环经济产业链。</w:t>
      </w:r>
    </w:p>
    <w:p>
      <w:pPr>
        <w:keepNext w:val="0"/>
        <w:keepLines w:val="0"/>
        <w:pageBreakBefore w:val="0"/>
        <w:widowControl w:val="0"/>
        <w:kinsoku/>
        <w:wordWrap/>
        <w:overflowPunct w:val="0"/>
        <w:topLinePunct/>
        <w:autoSpaceDE/>
        <w:autoSpaceDN/>
        <w:bidi w:val="0"/>
        <w:adjustRightInd/>
        <w:snapToGrid/>
        <w:spacing w:before="0" w:after="0" w:line="360" w:lineRule="auto"/>
        <w:ind w:left="0" w:leftChars="0"/>
        <w:jc w:val="center"/>
        <w:textAlignment w:val="auto"/>
        <w:outlineLvl w:val="1"/>
        <w:rPr>
          <w:rFonts w:hint="default" w:ascii="Times New Roman" w:hAnsi="Times New Roman" w:eastAsia="楷体" w:cs="Times New Roman"/>
          <w:b w:val="0"/>
          <w:bCs w:val="0"/>
          <w:color w:val="auto"/>
          <w:kern w:val="2"/>
          <w:sz w:val="32"/>
          <w:szCs w:val="32"/>
          <w:highlight w:val="none"/>
          <w:u w:val="none" w:color="auto"/>
          <w:lang w:val="en-US" w:eastAsia="zh-CN" w:bidi="ar-SA"/>
        </w:rPr>
      </w:pPr>
      <w:bookmarkStart w:id="93" w:name="_Toc23265"/>
      <w:r>
        <w:rPr>
          <w:rFonts w:hint="default" w:ascii="Times New Roman" w:hAnsi="Times New Roman" w:eastAsia="黑体" w:cs="Times New Roman"/>
          <w:b w:val="0"/>
          <w:bCs w:val="0"/>
          <w:color w:val="auto"/>
          <w:kern w:val="2"/>
          <w:sz w:val="32"/>
          <w:szCs w:val="32"/>
          <w:highlight w:val="none"/>
          <w:u w:val="none" w:color="auto"/>
          <w:lang w:val="en-US" w:eastAsia="zh-CN" w:bidi="ar-SA"/>
        </w:rPr>
        <w:t>第三节 倡导绿色消费和绿色生活方式</w:t>
      </w:r>
      <w:bookmarkEnd w:id="93"/>
    </w:p>
    <w:p>
      <w:pPr>
        <w:spacing w:line="360" w:lineRule="auto"/>
        <w:ind w:firstLine="640" w:firstLineChars="200"/>
        <w:jc w:val="both"/>
        <w:outlineLvl w:val="9"/>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bidi="ar-SA"/>
        </w:rPr>
        <w:t>大力倡导低碳居家、低碳出行、低碳休闲、低碳消费的生态文明生活理念，推行简约适度、绿色低碳、文明健康的生活方式和消费模式，形成全社会共同参与的良好风尚。</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r>
        <w:rPr>
          <w:rFonts w:hint="default" w:ascii="Times New Roman" w:hAnsi="Times New Roman" w:eastAsia="楷体_GB2312" w:cs="Times New Roman"/>
          <w:b/>
          <w:bCs w:val="0"/>
          <w:color w:val="auto"/>
          <w:kern w:val="0"/>
          <w:sz w:val="32"/>
          <w:szCs w:val="32"/>
          <w:highlight w:val="none"/>
          <w:u w:val="none" w:color="auto"/>
          <w:lang w:val="en-US" w:eastAsia="zh-CN" w:bidi="ar-SA"/>
        </w:rPr>
        <w:t>一、全方位推行绿色低碳生活方式</w:t>
      </w:r>
    </w:p>
    <w:p>
      <w:pPr>
        <w:spacing w:line="360" w:lineRule="auto"/>
        <w:ind w:firstLine="640" w:firstLineChars="200"/>
        <w:jc w:val="both"/>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重点抓好家庭、社区、企业、学校、农村、政府机构等绿色低碳专项行动，建设低碳示范社区</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实现生活方式的低碳转型。提倡绿色消费，引导消费者购买新能源汽车、高能效家电、节水型器具等节能环保低碳产品。</w:t>
      </w:r>
      <w:r>
        <w:rPr>
          <w:rFonts w:hint="default" w:ascii="Times New Roman" w:hAnsi="Times New Roman" w:eastAsia="仿宋_GB2312" w:cs="Times New Roman"/>
          <w:color w:val="auto"/>
          <w:sz w:val="32"/>
          <w:szCs w:val="32"/>
          <w:highlight w:val="none"/>
          <w:u w:val="none" w:color="auto"/>
          <w:lang w:val="en-US" w:eastAsia="zh-CN"/>
        </w:rPr>
        <w:t>推广绿色建筑，全力推进绿色建筑集中示范区建设。</w:t>
      </w:r>
      <w:r>
        <w:rPr>
          <w:rFonts w:hint="default" w:ascii="Times New Roman" w:hAnsi="Times New Roman" w:eastAsia="仿宋_GB2312" w:cs="Times New Roman"/>
          <w:color w:val="auto"/>
          <w:sz w:val="32"/>
          <w:szCs w:val="32"/>
          <w:highlight w:val="none"/>
          <w:u w:val="none" w:color="auto"/>
          <w:lang w:eastAsia="zh-CN"/>
        </w:rPr>
        <w:t>推行绿色包装，</w:t>
      </w:r>
      <w:r>
        <w:rPr>
          <w:rFonts w:hint="default" w:ascii="Times New Roman" w:hAnsi="Times New Roman" w:eastAsia="仿宋_GB2312" w:cs="Times New Roman"/>
          <w:color w:val="auto"/>
          <w:sz w:val="32"/>
          <w:szCs w:val="32"/>
          <w:highlight w:val="none"/>
          <w:u w:val="none" w:color="auto"/>
          <w:lang w:val="en-US" w:eastAsia="zh-CN"/>
        </w:rPr>
        <w:t>全面禁止生产、销售和使用不可降解一次性塑料制品，杜绝白色污染。</w:t>
      </w:r>
      <w:r>
        <w:rPr>
          <w:rFonts w:hint="default" w:ascii="Times New Roman" w:hAnsi="Times New Roman" w:eastAsia="仿宋_GB2312" w:cs="Times New Roman"/>
          <w:color w:val="auto"/>
          <w:sz w:val="32"/>
          <w:szCs w:val="32"/>
          <w:highlight w:val="none"/>
          <w:u w:val="none" w:color="auto"/>
        </w:rPr>
        <w:t>推进垃圾分类制度常态化、创新化</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使节约资源和保护环境成为每个社会成员的自觉行动。</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1"/>
        <w:textAlignment w:val="auto"/>
        <w:outlineLvl w:val="2"/>
        <w:rPr>
          <w:rFonts w:hint="default" w:ascii="Times New Roman" w:hAnsi="Times New Roman" w:eastAsia="楷体_GB2312" w:cs="Times New Roman"/>
          <w:b/>
          <w:bCs w:val="0"/>
          <w:color w:val="auto"/>
          <w:kern w:val="0"/>
          <w:sz w:val="32"/>
          <w:szCs w:val="32"/>
          <w:highlight w:val="none"/>
          <w:u w:val="none" w:color="auto"/>
          <w:lang w:val="en-US" w:eastAsia="zh-CN" w:bidi="ar-SA"/>
        </w:rPr>
      </w:pPr>
      <w:r>
        <w:rPr>
          <w:rFonts w:hint="default" w:ascii="Times New Roman" w:hAnsi="Times New Roman" w:eastAsia="楷体_GB2312" w:cs="Times New Roman"/>
          <w:b/>
          <w:bCs w:val="0"/>
          <w:color w:val="auto"/>
          <w:kern w:val="0"/>
          <w:sz w:val="32"/>
          <w:szCs w:val="32"/>
          <w:highlight w:val="none"/>
          <w:u w:val="none" w:color="auto"/>
          <w:lang w:val="en-US" w:eastAsia="zh-CN" w:bidi="ar-SA"/>
        </w:rPr>
        <w:t>二、加强全民生态文明宣传教育</w:t>
      </w:r>
    </w:p>
    <w:p>
      <w:pPr>
        <w:spacing w:line="360" w:lineRule="auto"/>
        <w:ind w:firstLine="640" w:firstLineChars="200"/>
        <w:jc w:val="both"/>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eastAsia="zh-CN"/>
        </w:rPr>
        <w:t>实施全面科普行动，组织开展世界环境日、世界水日、中国水周等主题活动，增强全社会节约、环保的自觉意识。开展节能宣传月、低碳日</w:t>
      </w:r>
      <w:r>
        <w:rPr>
          <w:rFonts w:hint="default" w:ascii="Times New Roman" w:hAnsi="Times New Roman" w:eastAsia="仿宋_GB2312" w:cs="Times New Roman"/>
          <w:color w:val="auto"/>
          <w:sz w:val="32"/>
          <w:szCs w:val="32"/>
          <w:highlight w:val="none"/>
          <w:u w:val="none" w:color="auto"/>
          <w:lang w:val="en-US" w:eastAsia="zh-CN"/>
        </w:rPr>
        <w:t>等</w:t>
      </w:r>
      <w:r>
        <w:rPr>
          <w:rFonts w:hint="default" w:ascii="Times New Roman" w:hAnsi="Times New Roman" w:eastAsia="仿宋_GB2312" w:cs="Times New Roman"/>
          <w:color w:val="auto"/>
          <w:sz w:val="32"/>
          <w:szCs w:val="32"/>
          <w:highlight w:val="none"/>
          <w:u w:val="none" w:color="auto"/>
          <w:lang w:eastAsia="zh-CN"/>
        </w:rPr>
        <w:t>节能宣传活动，广泛营造绿色低碳发展的浓厚氛围。加强生态文化建设，推进生态文化进社区、农村、企业、学校活动实现常态化。</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0"/>
        <w:rPr>
          <w:rFonts w:hint="default" w:ascii="Times New Roman" w:hAnsi="Times New Roman" w:eastAsia="方正小标宋简体" w:cs="Times New Roman"/>
          <w:bCs/>
          <w:caps w:val="0"/>
          <w:color w:val="auto"/>
          <w:kern w:val="2"/>
          <w:sz w:val="30"/>
          <w:szCs w:val="30"/>
          <w:highlight w:val="none"/>
          <w:u w:val="none" w:color="auto"/>
          <w:lang w:val="en-US" w:eastAsia="zh-CN" w:bidi="ar-SA"/>
        </w:rPr>
      </w:pPr>
      <w:bookmarkStart w:id="94" w:name="_Toc2123"/>
      <w:bookmarkStart w:id="95" w:name="_Toc19314"/>
      <w:r>
        <w:rPr>
          <w:rFonts w:hint="default" w:ascii="Times New Roman" w:hAnsi="Times New Roman" w:eastAsia="方正小标宋简体" w:cs="Times New Roman"/>
          <w:bCs/>
          <w:caps w:val="0"/>
          <w:color w:val="auto"/>
          <w:kern w:val="2"/>
          <w:sz w:val="30"/>
          <w:szCs w:val="30"/>
          <w:highlight w:val="none"/>
          <w:u w:val="none" w:color="auto"/>
          <w:lang w:val="en-US" w:eastAsia="zh-CN" w:bidi="ar-SA"/>
        </w:rPr>
        <w:t>第七章 强化保障措施，确保规划全面实施</w:t>
      </w:r>
      <w:bookmarkEnd w:id="94"/>
      <w:bookmarkEnd w:id="95"/>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本规划是指导全市“十四五”人居环境建设工作的基础性和纲领性文件。要加强组织领导</w:t>
      </w:r>
      <w:r>
        <w:rPr>
          <w:rFonts w:hint="default" w:ascii="Times New Roman" w:hAnsi="Times New Roman" w:eastAsia="仿宋_GB2312" w:cs="Times New Roman"/>
          <w:color w:val="auto"/>
          <w:sz w:val="32"/>
          <w:szCs w:val="32"/>
          <w:highlight w:val="none"/>
          <w:u w:val="none" w:color="auto"/>
          <w:lang w:val="en-US" w:eastAsia="zh-CN"/>
        </w:rPr>
        <w:t>和统筹协调，强化政策支持、示范引领和监管督查，切实推动本规划落地实施</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96" w:name="_Toc30662"/>
      <w:bookmarkStart w:id="97" w:name="_Toc20090"/>
      <w:r>
        <w:rPr>
          <w:rFonts w:hint="default" w:ascii="Times New Roman" w:hAnsi="Times New Roman" w:eastAsia="黑体" w:cs="Times New Roman"/>
          <w:color w:val="auto"/>
          <w:sz w:val="32"/>
          <w:szCs w:val="32"/>
          <w:highlight w:val="none"/>
          <w:u w:val="none" w:color="auto"/>
          <w:lang w:val="en-US" w:eastAsia="zh-CN"/>
        </w:rPr>
        <w:t>第一节 加强组织领导</w:t>
      </w:r>
      <w:bookmarkEnd w:id="96"/>
      <w:bookmarkEnd w:id="97"/>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加强组织领导和统筹协调，明确责任分工，建立部门协调配合、社会力量积极支持、群众广泛参与的推进机制，确保各项任务落实到位。以规划为指导，制定年度实施计划，合理安排重大基础设施和公共服务设施项目的建设时序，高效配置资源，突出建设重点，进一步优化空间布局。完善工作机制，通过强化工作计划、例会制度、信息通报、督查考核等手段，及时解决城乡人居环境建设中的问题和难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98" w:name="_Toc16448"/>
      <w:bookmarkStart w:id="99" w:name="_Toc11865"/>
      <w:r>
        <w:rPr>
          <w:rFonts w:hint="default" w:ascii="Times New Roman" w:hAnsi="Times New Roman" w:eastAsia="黑体" w:cs="Times New Roman"/>
          <w:color w:val="auto"/>
          <w:sz w:val="32"/>
          <w:szCs w:val="32"/>
          <w:highlight w:val="none"/>
          <w:u w:val="none" w:color="auto"/>
          <w:lang w:val="en-US" w:eastAsia="zh-CN"/>
        </w:rPr>
        <w:t>第二节 强化政策支持</w:t>
      </w:r>
      <w:bookmarkEnd w:id="98"/>
      <w:bookmarkEnd w:id="99"/>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注重短期政策与长期政策的衔接配合，积极构建有利于改善城乡人居环境的制度体系，不断完善土地、资金、人才等要素支撑的政策措施。继续用好用足国家、省、市现有的各类资金支持政策，积极争取政策性银行的资金支持。大力发展绿色金融，打造差异化金融服务产品体系，引导各类金融机构依法合规参与全市人居环境建设项目。创新建设运营模式，鼓励社会资本积极参与城乡基础设施项目建设。</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jc w:val="center"/>
        <w:textAlignment w:val="auto"/>
        <w:outlineLvl w:val="1"/>
        <w:rPr>
          <w:rFonts w:hint="default" w:ascii="Times New Roman" w:hAnsi="Times New Roman" w:eastAsia="仿宋_GB2312" w:cs="Times New Roman"/>
          <w:color w:val="auto"/>
          <w:sz w:val="32"/>
          <w:szCs w:val="32"/>
          <w:highlight w:val="none"/>
          <w:u w:val="none" w:color="auto"/>
          <w:lang w:val="en-US" w:eastAsia="zh-CN"/>
        </w:rPr>
      </w:pPr>
      <w:bookmarkStart w:id="100" w:name="_Toc18283"/>
      <w:bookmarkStart w:id="101" w:name="_Toc24165"/>
      <w:bookmarkStart w:id="102" w:name="_Toc3364"/>
      <w:r>
        <w:rPr>
          <w:rFonts w:hint="default" w:ascii="Times New Roman" w:hAnsi="Times New Roman" w:eastAsia="黑体" w:cs="Times New Roman"/>
          <w:color w:val="auto"/>
          <w:sz w:val="32"/>
          <w:szCs w:val="32"/>
          <w:highlight w:val="none"/>
          <w:u w:val="none" w:color="auto"/>
          <w:lang w:val="en-US" w:eastAsia="zh-CN"/>
        </w:rPr>
        <w:t>第三节 强化示范</w:t>
      </w:r>
      <w:bookmarkEnd w:id="100"/>
      <w:r>
        <w:rPr>
          <w:rFonts w:hint="default" w:ascii="Times New Roman" w:hAnsi="Times New Roman" w:eastAsia="黑体" w:cs="Times New Roman"/>
          <w:color w:val="auto"/>
          <w:sz w:val="32"/>
          <w:szCs w:val="32"/>
          <w:highlight w:val="none"/>
          <w:u w:val="none" w:color="auto"/>
          <w:lang w:val="en-US" w:eastAsia="zh-CN"/>
        </w:rPr>
        <w:t>引领</w:t>
      </w:r>
      <w:bookmarkEnd w:id="101"/>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围绕重点工作任务，按照“试点先行、以点带面、总结经验、稳步推进”的原则，率先在建设基础好、条件具备的县（区）进行项目、政策试点探索，在实现重点突破、取得显著成效的基础上，引领全市城乡人居环境全面改善。注重发挥党员干部、试点推广、以奖促评等主体和活动的示范引领作用，坚持因地制宜、分类指导、循序渐进，推动城乡人居环境建设取得实效，不断增强人民群众的获得感幸福感安全感。</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w:hAnsi="Times New Roman" w:eastAsia="黑体" w:cs="Times New Roman"/>
          <w:color w:val="auto"/>
          <w:sz w:val="32"/>
          <w:szCs w:val="32"/>
          <w:highlight w:val="none"/>
          <w:u w:val="none" w:color="auto"/>
          <w:lang w:val="en-US" w:eastAsia="zh-CN"/>
        </w:rPr>
      </w:pPr>
      <w:bookmarkStart w:id="103" w:name="_Toc24890"/>
      <w:bookmarkStart w:id="104" w:name="_Toc28313"/>
      <w:bookmarkStart w:id="105" w:name="_Toc27253"/>
      <w:r>
        <w:rPr>
          <w:rFonts w:hint="default" w:ascii="Times New Roman" w:hAnsi="Times New Roman" w:eastAsia="黑体" w:cs="Times New Roman"/>
          <w:color w:val="auto"/>
          <w:sz w:val="32"/>
          <w:szCs w:val="32"/>
          <w:highlight w:val="none"/>
          <w:u w:val="none" w:color="auto"/>
          <w:lang w:val="en-US" w:eastAsia="zh-CN"/>
        </w:rPr>
        <w:t xml:space="preserve">第四节 </w:t>
      </w:r>
      <w:bookmarkEnd w:id="102"/>
      <w:bookmarkEnd w:id="103"/>
      <w:bookmarkEnd w:id="104"/>
      <w:r>
        <w:rPr>
          <w:rFonts w:hint="default" w:ascii="Times New Roman" w:hAnsi="Times New Roman" w:eastAsia="黑体" w:cs="Times New Roman"/>
          <w:color w:val="auto"/>
          <w:sz w:val="32"/>
          <w:szCs w:val="32"/>
          <w:highlight w:val="none"/>
          <w:u w:val="none" w:color="auto"/>
          <w:lang w:val="en-US" w:eastAsia="zh-CN"/>
        </w:rPr>
        <w:t>加强监管督查</w:t>
      </w:r>
      <w:bookmarkEnd w:id="105"/>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加强对城乡人居环境建设项目的监管督查全覆盖，及时开展重大建设项目稽察工作，确保项目规范推进、资金有效使用，将城乡建设工程打造成为阳光工程、廉洁工程。进一步整合执法资源，加大执法力度，推进城乡人居环境建设依法行政、规范行政。建立健全城乡建设的各项监督管理机制，积极发挥社会舆论监督作用，形成全民参与、齐抓共管的良好社会氛围。</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2010600030101010101"/>
    <w:charset w:val="81"/>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360"/>
      <w:rPr>
        <w:sz w:val="21"/>
        <w:szCs w:val="21"/>
      </w:rPr>
    </w:pPr>
    <w:r>
      <w:rPr>
        <w:rFonts w:hint="eastAsia"/>
        <w:sz w:val="21"/>
        <w:szCs w:val="21"/>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360"/>
      <w:rPr>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360"/>
      <w:rPr>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upright="false">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huMAluwEAAFQDAAAOAAAAZHJz&#10;L2Uyb0RvYy54bWytU82O0zAQviPtO1i+06QVQiWqu0JaLVoJwUoLD+A6dmPJfxq7TcoDwBtw4sKd&#10;5+pzMHaS7mr3hrhMZjz2N998M9lcD9aQo4SovWN0uagpkU74Vrs9o1+/3L5eUxITdy033klGTzLS&#10;6+3Vq00fGrnynTetBIIgLjZ9YLRLKTRVFUUnLY8LH6TDpPJgecIQ9lULvEd0a6pVXb+teg9tAC9k&#10;jHh6MybptuArJUX6rFSUiRhGkVsqFordZVttN7zZAw+dFhMN/g8sLNcOi16gbnji5AD6BZTVAnz0&#10;Ki2Et5VXSgtZesBulvWzbh46HmTpBcWJ4SJT/H+w4tPxHohuGX1Tv8NZOW5xSuefP86//px/fyer&#10;rFAfYoMXH8I9TFFEN7c7KLD5i42Qoah6uqgqh0QEHi7Xq/W6RvEF5uYAcarH5wFi+iC9JdlhFHBs&#10;RU1+/BjTeHW+kqsZl63zt9qYMZtPqkxzJJa9NOyGie3OtyfsEtcUwTsP3yjpceSMOtxJSsydQ0Xz&#10;dswOzM5udrgT+JDRRMkhgN53iKS4iXk8HKu+PySkU7jm4mPFiROOrnQ7rVnejadxufX4M2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ChuMAluwEAAFQDAAAOAAAAAAAAAAEAIAAAADUBAABk&#10;cnMvZTJvRG9jLnhtbFBLBQYAAAAABgAGAFkBAABi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77D49"/>
    <w:rsid w:val="16CD0685"/>
    <w:rsid w:val="1D4D0079"/>
    <w:rsid w:val="207638E2"/>
    <w:rsid w:val="243C3331"/>
    <w:rsid w:val="2E0833BF"/>
    <w:rsid w:val="37E1284E"/>
    <w:rsid w:val="3E000EA2"/>
    <w:rsid w:val="458B4B84"/>
    <w:rsid w:val="57A24A20"/>
    <w:rsid w:val="59E85D55"/>
    <w:rsid w:val="60751586"/>
    <w:rsid w:val="77EF57A6"/>
    <w:rsid w:val="EB89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libri Light" w:hAnsi="Calibri Light" w:eastAsia="宋体" w:cs="Times New Roman"/>
      <w:b/>
      <w:bCs/>
      <w:sz w:val="32"/>
      <w:szCs w:val="32"/>
    </w:rPr>
  </w:style>
  <w:style w:type="paragraph" w:styleId="5">
    <w:name w:val="heading 3"/>
    <w:basedOn w:val="1"/>
    <w:next w:val="1"/>
    <w:qFormat/>
    <w:uiPriority w:val="99"/>
    <w:pPr>
      <w:keepNext/>
      <w:keepLines/>
      <w:spacing w:before="0" w:beforeAutospacing="0"/>
      <w:outlineLvl w:val="2"/>
    </w:pPr>
    <w:rPr>
      <w:rFonts w:ascii="Times New Roman" w:eastAsia="仿宋"/>
      <w:b/>
      <w:bCs/>
      <w:szCs w:val="32"/>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qFormat/>
    <w:uiPriority w:val="0"/>
  </w:style>
  <w:style w:type="table" w:default="1" w:styleId="21">
    <w:name w:val="Normal Table"/>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6"/>
      <w:szCs w:val="32"/>
      <w:lang w:val="en-US" w:eastAsia="zh-CN" w:bidi="ar-SA"/>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afterAutospacing="0"/>
    </w:pPr>
  </w:style>
  <w:style w:type="paragraph" w:styleId="10">
    <w:name w:val="Body Text Indent"/>
    <w:basedOn w:val="1"/>
    <w:qFormat/>
    <w:uiPriority w:val="99"/>
    <w:pPr>
      <w:spacing w:before="0" w:beforeAutospacing="0"/>
      <w:ind w:firstLine="640"/>
    </w:pPr>
    <w:rPr>
      <w:rFonts w:ascii="仿宋" w:hAnsi="仿宋" w:eastAsia="仿宋"/>
    </w:rPr>
  </w:style>
  <w:style w:type="paragraph" w:styleId="11">
    <w:name w:val="toc 3"/>
    <w:basedOn w:val="1"/>
    <w:next w:val="1"/>
    <w:qFormat/>
    <w:uiPriority w:val="0"/>
    <w:pPr>
      <w:ind w:left="840" w:leftChars="400"/>
    </w:pPr>
  </w:style>
  <w:style w:type="paragraph" w:styleId="12">
    <w:name w:val="footer"/>
    <w:basedOn w:val="1"/>
    <w:qFormat/>
    <w:uiPriority w:val="99"/>
    <w:pPr>
      <w:tabs>
        <w:tab w:val="center" w:pos="4153"/>
        <w:tab w:val="right" w:pos="8306"/>
      </w:tabs>
      <w:snapToGrid w:val="0"/>
      <w:jc w:val="left"/>
    </w:pPr>
    <w:rPr>
      <w:rFonts w:ascii="Times New Roman" w:eastAsia="宋体"/>
      <w:sz w:val="18"/>
      <w:szCs w:val="20"/>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eastAsia="宋体"/>
      <w:sz w:val="18"/>
      <w:szCs w:val="20"/>
    </w:rPr>
  </w:style>
  <w:style w:type="paragraph" w:styleId="14">
    <w:name w:val="toc 1"/>
    <w:basedOn w:val="1"/>
    <w:next w:val="1"/>
    <w:qFormat/>
    <w:uiPriority w:val="39"/>
    <w:pPr>
      <w:spacing w:before="120" w:after="120"/>
      <w:jc w:val="left"/>
    </w:pPr>
    <w:rPr>
      <w:rFonts w:ascii="Calibri" w:hAnsi="Calibri" w:eastAsia="黑体" w:cs="Calibri"/>
      <w:bCs/>
      <w:caps/>
      <w:sz w:val="36"/>
      <w:szCs w:val="20"/>
    </w:rPr>
  </w:style>
  <w:style w:type="paragraph" w:styleId="15">
    <w:name w:val="toc 4"/>
    <w:basedOn w:val="1"/>
    <w:next w:val="1"/>
    <w:qFormat/>
    <w:uiPriority w:val="0"/>
    <w:pPr>
      <w:ind w:left="1260" w:leftChars="600"/>
    </w:pPr>
  </w:style>
  <w:style w:type="paragraph" w:styleId="16">
    <w:name w:val="footnote text"/>
    <w:basedOn w:val="1"/>
    <w:qFormat/>
    <w:uiPriority w:val="99"/>
    <w:pPr>
      <w:snapToGrid w:val="0"/>
      <w:jc w:val="left"/>
    </w:pPr>
    <w:rPr>
      <w:sz w:val="18"/>
      <w:szCs w:val="18"/>
    </w:rPr>
  </w:style>
  <w:style w:type="paragraph" w:styleId="17">
    <w:name w:val="toc 2"/>
    <w:basedOn w:val="1"/>
    <w:next w:val="1"/>
    <w:qFormat/>
    <w:uiPriority w:val="39"/>
    <w:pPr>
      <w:ind w:left="320"/>
      <w:jc w:val="left"/>
    </w:pPr>
    <w:rPr>
      <w:rFonts w:ascii="Calibri" w:hAnsi="Calibri" w:eastAsia="楷体" w:cs="Calibri"/>
      <w:smallCaps/>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index 1"/>
    <w:basedOn w:val="1"/>
    <w:next w:val="1"/>
    <w:qFormat/>
    <w:uiPriority w:val="99"/>
    <w:pPr>
      <w:jc w:val="center"/>
    </w:pPr>
    <w:rPr>
      <w:rFonts w:ascii="楷体_GB2312" w:eastAsia="楷体_GB2312"/>
      <w:sz w:val="36"/>
      <w:szCs w:val="36"/>
    </w:rPr>
  </w:style>
  <w:style w:type="paragraph" w:styleId="20">
    <w:name w:val="Body Text First Indent"/>
    <w:basedOn w:val="9"/>
    <w:next w:val="7"/>
    <w:qFormat/>
    <w:uiPriority w:val="99"/>
    <w:pPr>
      <w:spacing w:after="120"/>
      <w:ind w:firstLine="420" w:firstLineChars="100"/>
    </w:pPr>
    <w:rPr>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99"/>
    <w:rPr>
      <w:rFonts w:cs="Times New Roman"/>
    </w:rPr>
  </w:style>
  <w:style w:type="character" w:styleId="26">
    <w:name w:val="FollowedHyperlink"/>
    <w:basedOn w:val="23"/>
    <w:qFormat/>
    <w:uiPriority w:val="0"/>
    <w:rPr>
      <w:color w:val="333333"/>
      <w:u w:val="none"/>
    </w:rPr>
  </w:style>
  <w:style w:type="character" w:styleId="27">
    <w:name w:val="Emphasis"/>
    <w:basedOn w:val="23"/>
    <w:qFormat/>
    <w:uiPriority w:val="0"/>
    <w:rPr>
      <w:i/>
    </w:rPr>
  </w:style>
  <w:style w:type="character" w:styleId="28">
    <w:name w:val="HTML Typewriter"/>
    <w:basedOn w:val="23"/>
    <w:qFormat/>
    <w:uiPriority w:val="0"/>
    <w:rPr>
      <w:sz w:val="25"/>
      <w:szCs w:val="25"/>
    </w:rPr>
  </w:style>
  <w:style w:type="character" w:styleId="29">
    <w:name w:val="Hyperlink"/>
    <w:basedOn w:val="23"/>
    <w:qFormat/>
    <w:uiPriority w:val="99"/>
    <w:rPr>
      <w:rFonts w:cs="Times New Roman"/>
      <w:color w:val="0000FF"/>
      <w:u w:val="single"/>
    </w:rPr>
  </w:style>
  <w:style w:type="character" w:styleId="30">
    <w:name w:val="footnote reference"/>
    <w:basedOn w:val="23"/>
    <w:qFormat/>
    <w:uiPriority w:val="99"/>
    <w:rPr>
      <w:vertAlign w:val="superscript"/>
    </w:rPr>
  </w:style>
  <w:style w:type="paragraph" w:customStyle="1" w:styleId="31">
    <w:name w:val="签发人"/>
    <w:basedOn w:val="1"/>
    <w:qFormat/>
    <w:uiPriority w:val="0"/>
    <w:rPr>
      <w:rFonts w:ascii="Times New Roman" w:hAnsi="Times New Roman" w:eastAsia="楷体" w:cs="Times New Roman"/>
      <w:sz w:val="32"/>
      <w:szCs w:val="32"/>
    </w:rPr>
  </w:style>
  <w:style w:type="paragraph" w:customStyle="1" w:styleId="32">
    <w:name w:val="Default"/>
    <w:qFormat/>
    <w:uiPriority w:val="99"/>
    <w:pPr>
      <w:widowControl w:val="0"/>
      <w:autoSpaceDE w:val="0"/>
      <w:autoSpaceDN w:val="0"/>
    </w:pPr>
    <w:rPr>
      <w:rFonts w:hint="eastAsia" w:ascii="宋体" w:hAnsi="宋体" w:eastAsia="宋体" w:cs="Times New Roman"/>
      <w:color w:val="000000"/>
      <w:sz w:val="24"/>
      <w:szCs w:val="22"/>
      <w:lang w:val="en-US" w:eastAsia="zh-CN" w:bidi="ar-SA"/>
    </w:rPr>
  </w:style>
  <w:style w:type="paragraph" w:customStyle="1" w:styleId="33">
    <w:name w:val="正文格式"/>
    <w:basedOn w:val="1"/>
    <w:qFormat/>
    <w:uiPriority w:val="99"/>
    <w:pPr>
      <w:spacing w:line="400" w:lineRule="exact"/>
      <w:ind w:firstLine="200" w:firstLineChars="200"/>
      <w:jc w:val="left"/>
    </w:pPr>
    <w:rPr>
      <w:sz w:val="24"/>
    </w:rPr>
  </w:style>
  <w:style w:type="paragraph" w:customStyle="1" w:styleId="34">
    <w:name w:val="TOC 21"/>
    <w:basedOn w:val="1"/>
    <w:next w:val="1"/>
    <w:qFormat/>
    <w:uiPriority w:val="0"/>
    <w:pPr>
      <w:ind w:left="420"/>
      <w:jc w:val="center"/>
    </w:pPr>
    <w:rPr>
      <w:rFonts w:ascii="楷体_GB2312" w:hAnsi="Times New Roman" w:eastAsia="楷体_GB2312" w:cs="楷体_GB2312"/>
      <w:sz w:val="32"/>
      <w:szCs w:val="32"/>
    </w:rPr>
  </w:style>
  <w:style w:type="character" w:customStyle="1" w:styleId="35">
    <w:name w:val="xhy-btns1"/>
    <w:basedOn w:val="23"/>
    <w:qFormat/>
    <w:uiPriority w:val="0"/>
  </w:style>
  <w:style w:type="character" w:customStyle="1" w:styleId="36">
    <w:name w:val="tyh-blue"/>
    <w:basedOn w:val="23"/>
    <w:qFormat/>
    <w:uiPriority w:val="0"/>
    <w:rPr>
      <w:b/>
      <w:color w:val="FFFFFF"/>
      <w:sz w:val="21"/>
      <w:szCs w:val="21"/>
      <w:shd w:val="clear" w:color="auto" w:fill="275293"/>
    </w:rPr>
  </w:style>
  <w:style w:type="character" w:customStyle="1" w:styleId="37">
    <w:name w:val="xhy-btns2"/>
    <w:basedOn w:val="23"/>
    <w:qFormat/>
    <w:uiPriority w:val="0"/>
  </w:style>
  <w:style w:type="character" w:customStyle="1" w:styleId="38">
    <w:name w:val="tyh-time"/>
    <w:basedOn w:val="23"/>
    <w:qFormat/>
    <w:uiPriority w:val="0"/>
    <w:rPr>
      <w:color w:val="AAAAAA"/>
      <w:sz w:val="18"/>
      <w:szCs w:val="18"/>
    </w:rPr>
  </w:style>
  <w:style w:type="character" w:customStyle="1" w:styleId="39">
    <w:name w:val="fenye1"/>
    <w:basedOn w:val="23"/>
    <w:qFormat/>
    <w:uiPriority w:val="0"/>
  </w:style>
  <w:style w:type="character" w:customStyle="1" w:styleId="40">
    <w:name w:val="fenye11"/>
    <w:basedOn w:val="23"/>
    <w:qFormat/>
    <w:uiPriority w:val="0"/>
  </w:style>
  <w:style w:type="character" w:customStyle="1" w:styleId="41">
    <w:name w:val="red"/>
    <w:basedOn w:val="23"/>
    <w:qFormat/>
    <w:uiPriority w:val="0"/>
    <w:rPr>
      <w:color w:val="E33938"/>
      <w:u w:val="single"/>
    </w:rPr>
  </w:style>
  <w:style w:type="character" w:customStyle="1" w:styleId="42">
    <w:name w:val="red1"/>
    <w:basedOn w:val="23"/>
    <w:qFormat/>
    <w:uiPriority w:val="0"/>
    <w:rPr>
      <w:color w:val="E1211F"/>
    </w:rPr>
  </w:style>
  <w:style w:type="character" w:customStyle="1" w:styleId="43">
    <w:name w:val="red2"/>
    <w:basedOn w:val="23"/>
    <w:qFormat/>
    <w:uiPriority w:val="0"/>
    <w:rPr>
      <w:color w:val="E1211F"/>
      <w:u w:val="single"/>
    </w:rPr>
  </w:style>
  <w:style w:type="character" w:customStyle="1" w:styleId="44">
    <w:name w:val="red3"/>
    <w:basedOn w:val="23"/>
    <w:qFormat/>
    <w:uiPriority w:val="0"/>
    <w:rPr>
      <w:color w:val="E1211F"/>
    </w:rPr>
  </w:style>
  <w:style w:type="character" w:customStyle="1" w:styleId="45">
    <w:name w:val="red4"/>
    <w:basedOn w:val="23"/>
    <w:qFormat/>
    <w:uiPriority w:val="0"/>
    <w:rPr>
      <w:color w:val="E1211F"/>
    </w:rPr>
  </w:style>
  <w:style w:type="character" w:customStyle="1" w:styleId="46">
    <w:name w:val="red5"/>
    <w:basedOn w:val="23"/>
    <w:qFormat/>
    <w:uiPriority w:val="0"/>
    <w:rPr>
      <w:color w:val="E1211F"/>
    </w:rPr>
  </w:style>
  <w:style w:type="character" w:customStyle="1" w:styleId="47">
    <w:name w:val="last-of-type"/>
    <w:basedOn w:val="23"/>
    <w:qFormat/>
    <w:uiPriority w:val="0"/>
    <w:rPr>
      <w:shd w:val="clear" w:color="auto" w:fill="275293"/>
    </w:rPr>
  </w:style>
  <w:style w:type="character" w:customStyle="1" w:styleId="48">
    <w:name w:val="ybk-date"/>
    <w:basedOn w:val="23"/>
    <w:qFormat/>
    <w:uiPriority w:val="0"/>
    <w:rPr>
      <w:color w:val="999999"/>
    </w:rPr>
  </w:style>
  <w:style w:type="character" w:customStyle="1" w:styleId="49">
    <w:name w:val="tyhl"/>
    <w:basedOn w:val="23"/>
    <w:qFormat/>
    <w:uiPriority w:val="0"/>
    <w:rPr>
      <w:shd w:val="clear" w:color="auto" w:fill="FFFFFF"/>
    </w:rPr>
  </w:style>
  <w:style w:type="character" w:customStyle="1" w:styleId="50">
    <w:name w:val="tyhl1"/>
    <w:basedOn w:val="23"/>
    <w:qFormat/>
    <w:uiPriority w:val="0"/>
    <w:rPr>
      <w:color w:val="999999"/>
      <w:shd w:val="clear" w:color="auto" w:fill="FDFDFD"/>
    </w:rPr>
  </w:style>
  <w:style w:type="character" w:customStyle="1" w:styleId="51">
    <w:name w:val="cur7"/>
    <w:basedOn w:val="23"/>
    <w:qFormat/>
    <w:uiPriority w:val="0"/>
    <w:rPr>
      <w:shd w:val="clear" w:color="auto" w:fill="8DAFD8"/>
    </w:rPr>
  </w:style>
  <w:style w:type="character" w:customStyle="1" w:styleId="52">
    <w:name w:val="cur8"/>
    <w:basedOn w:val="23"/>
    <w:qFormat/>
    <w:uiPriority w:val="0"/>
    <w:rPr>
      <w:shd w:val="clear" w:color="auto" w:fill="FF6A07"/>
    </w:rPr>
  </w:style>
  <w:style w:type="character" w:customStyle="1" w:styleId="53">
    <w:name w:val="cur9"/>
    <w:basedOn w:val="23"/>
    <w:qFormat/>
    <w:uiPriority w:val="0"/>
    <w:rPr>
      <w:shd w:val="clear" w:color="auto" w:fill="8DAFD7"/>
    </w:rPr>
  </w:style>
  <w:style w:type="character" w:customStyle="1" w:styleId="54">
    <w:name w:val="bg-icon"/>
    <w:basedOn w:val="23"/>
    <w:qFormat/>
    <w:uiPriority w:val="0"/>
  </w:style>
  <w:style w:type="character" w:customStyle="1" w:styleId="55">
    <w:name w:val="bg-icon1"/>
    <w:basedOn w:val="23"/>
    <w:qFormat/>
    <w:uiPriority w:val="0"/>
  </w:style>
  <w:style w:type="character" w:customStyle="1" w:styleId="56">
    <w:name w:val="bg-icon2"/>
    <w:basedOn w:val="23"/>
    <w:qFormat/>
    <w:uiPriority w:val="0"/>
  </w:style>
  <w:style w:type="character" w:customStyle="1" w:styleId="57">
    <w:name w:val="bg-icon3"/>
    <w:basedOn w:val="23"/>
    <w:qFormat/>
    <w:uiPriority w:val="0"/>
  </w:style>
  <w:style w:type="character" w:customStyle="1" w:styleId="58">
    <w:name w:val="zc-date"/>
    <w:basedOn w:val="23"/>
    <w:qFormat/>
    <w:uiPriority w:val="0"/>
    <w:rPr>
      <w:color w:val="333333"/>
    </w:rPr>
  </w:style>
  <w:style w:type="character" w:customStyle="1" w:styleId="59">
    <w:name w:val="lispan"/>
    <w:basedOn w:val="23"/>
    <w:qFormat/>
    <w:uiPriority w:val="0"/>
    <w:rPr>
      <w:rFonts w:ascii="微软雅黑" w:hAnsi="微软雅黑" w:eastAsia="微软雅黑" w:cs="微软雅黑"/>
      <w:color w:val="275293"/>
      <w:sz w:val="27"/>
      <w:szCs w:val="27"/>
    </w:rPr>
  </w:style>
  <w:style w:type="character" w:customStyle="1" w:styleId="60">
    <w:name w:val="lispan1"/>
    <w:basedOn w:val="23"/>
    <w:qFormat/>
    <w:uiPriority w:val="0"/>
    <w:rPr>
      <w:rFonts w:hint="eastAsia" w:ascii="微软雅黑" w:hAnsi="微软雅黑" w:eastAsia="微软雅黑" w:cs="微软雅黑"/>
      <w:color w:val="275293"/>
      <w:sz w:val="27"/>
      <w:szCs w:val="27"/>
    </w:rPr>
  </w:style>
  <w:style w:type="character" w:customStyle="1" w:styleId="61">
    <w:name w:val="hover81"/>
    <w:basedOn w:val="23"/>
    <w:qFormat/>
    <w:uiPriority w:val="0"/>
    <w:rPr>
      <w:color w:val="1258AD"/>
      <w:u w:val="none"/>
      <w:bdr w:val="single" w:color="1258AD" w:sz="6" w:space="0"/>
    </w:rPr>
  </w:style>
  <w:style w:type="character" w:customStyle="1" w:styleId="62">
    <w:name w:val="hover82"/>
    <w:basedOn w:val="23"/>
    <w:qFormat/>
    <w:uiPriority w:val="0"/>
  </w:style>
  <w:style w:type="character" w:customStyle="1" w:styleId="63">
    <w:name w:val="lfh-hdgl-span2"/>
    <w:basedOn w:val="23"/>
    <w:qFormat/>
    <w:uiPriority w:val="0"/>
  </w:style>
  <w:style w:type="character" w:customStyle="1" w:styleId="64">
    <w:name w:val="lfh-hdgl-span1"/>
    <w:basedOn w:val="23"/>
    <w:qFormat/>
    <w:uiPriority w:val="0"/>
    <w:rPr>
      <w:b/>
    </w:rPr>
  </w:style>
  <w:style w:type="character" w:customStyle="1" w:styleId="65">
    <w:name w:val="first-of-type"/>
    <w:basedOn w:val="23"/>
    <w:qFormat/>
    <w:uiPriority w:val="0"/>
    <w:rPr>
      <w:shd w:val="clear" w:color="auto" w:fill="275293"/>
    </w:rPr>
  </w:style>
  <w:style w:type="character" w:customStyle="1" w:styleId="66">
    <w:name w:val="w100"/>
    <w:basedOn w:val="23"/>
    <w:qFormat/>
    <w:uiPriority w:val="0"/>
  </w:style>
  <w:style w:type="character" w:customStyle="1" w:styleId="67">
    <w:name w:val="w262"/>
    <w:basedOn w:val="23"/>
    <w:qFormat/>
    <w:uiPriority w:val="0"/>
  </w:style>
  <w:style w:type="character" w:customStyle="1" w:styleId="68">
    <w:name w:val="tyhr"/>
    <w:basedOn w:val="23"/>
    <w:qFormat/>
    <w:uiPriority w:val="0"/>
  </w:style>
  <w:style w:type="character" w:customStyle="1" w:styleId="69">
    <w:name w:val="w254"/>
    <w:basedOn w:val="23"/>
    <w:qFormat/>
    <w:uiPriority w:val="0"/>
  </w:style>
  <w:style w:type="character" w:customStyle="1" w:styleId="70">
    <w:name w:val="w641"/>
    <w:basedOn w:val="23"/>
    <w:qFormat/>
    <w:uiPriority w:val="0"/>
  </w:style>
  <w:style w:type="character" w:customStyle="1" w:styleId="71">
    <w:name w:val="t2"/>
    <w:basedOn w:val="23"/>
    <w:qFormat/>
    <w:uiPriority w:val="0"/>
    <w:rPr>
      <w:color w:val="E2AC00"/>
      <w:sz w:val="27"/>
      <w:szCs w:val="27"/>
    </w:rPr>
  </w:style>
  <w:style w:type="character" w:customStyle="1" w:styleId="72">
    <w:name w:val="xhy-mun"/>
    <w:basedOn w:val="23"/>
    <w:qFormat/>
    <w:uiPriority w:val="0"/>
    <w:rPr>
      <w:color w:val="275293"/>
    </w:rPr>
  </w:style>
  <w:style w:type="character" w:customStyle="1" w:styleId="73">
    <w:name w:val="fenye2"/>
    <w:basedOn w:val="23"/>
    <w:qFormat/>
    <w:uiPriority w:val="0"/>
  </w:style>
  <w:style w:type="character" w:customStyle="1" w:styleId="74">
    <w:name w:val="fenye21"/>
    <w:basedOn w:val="23"/>
    <w:qFormat/>
    <w:uiPriority w:val="0"/>
  </w:style>
  <w:style w:type="character" w:customStyle="1" w:styleId="75">
    <w:name w:val="bg-icon4"/>
    <w:basedOn w:val="23"/>
    <w:qFormat/>
    <w:uiPriority w:val="0"/>
  </w:style>
  <w:style w:type="character" w:customStyle="1" w:styleId="76">
    <w:name w:val="hover80"/>
    <w:basedOn w:val="23"/>
    <w:qFormat/>
    <w:uiPriority w:val="0"/>
    <w:rPr>
      <w:color w:val="1258AD"/>
      <w:u w:val="none"/>
      <w:bdr w:val="single" w:color="1258AD" w:sz="6" w:space="0"/>
    </w:rPr>
  </w:style>
  <w:style w:type="character" w:customStyle="1" w:styleId="77">
    <w:name w:val="last-of-type1"/>
    <w:basedOn w:val="23"/>
    <w:qFormat/>
    <w:uiPriority w:val="0"/>
    <w:rPr>
      <w:shd w:val="clear" w:color="auto" w:fill="275293"/>
    </w:rPr>
  </w:style>
  <w:style w:type="character" w:customStyle="1" w:styleId="78">
    <w:name w:val="NormalCharacter"/>
    <w:qFormat/>
    <w:uiPriority w:val="0"/>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20998</Words>
  <Characters>21338</Characters>
  <Paragraphs>427</Paragraphs>
  <TotalTime>2425</TotalTime>
  <ScaleCrop>false</ScaleCrop>
  <LinksUpToDate>false</LinksUpToDate>
  <CharactersWithSpaces>21452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2020-11-04T00:36:00Z</dcterms:created>
  <dc:creator>HUAWEI</dc:creator>
  <cp:lastModifiedBy>baixin</cp:lastModifiedBy>
  <cp:lastPrinted>2022-04-12T17:17:00Z</cp:lastPrinted>
  <dcterms:modified xsi:type="dcterms:W3CDTF">2025-10-16T10:05:42Z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4F55AE21C14D419292A3C0ED5BE142E5</vt:lpwstr>
  </property>
</Properties>
</file>