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ascii="华文中宋" w:hAnsi="华文中宋" w:eastAsia="华文中宋"/>
          <w:color w:val="000000" w:themeColor="text1"/>
          <w:sz w:val="28"/>
          <w:szCs w:val="28"/>
          <w14:textFill>
            <w14:solidFill>
              <w14:schemeClr w14:val="tx1"/>
            </w14:solidFill>
          </w14:textFill>
        </w:rPr>
      </w:pPr>
      <w:bookmarkStart w:id="0" w:name="_Hlk56245040"/>
    </w:p>
    <w:p>
      <w:pPr>
        <w:spacing w:before="312" w:beforeLines="100" w:after="312" w:afterLines="100"/>
        <w:jc w:val="center"/>
        <w:rPr>
          <w:rFonts w:ascii="华文中宋" w:hAnsi="华文中宋" w:eastAsia="华文中宋"/>
          <w:color w:val="000000" w:themeColor="text1"/>
          <w:sz w:val="28"/>
          <w:szCs w:val="28"/>
          <w14:textFill>
            <w14:solidFill>
              <w14:schemeClr w14:val="tx1"/>
            </w14:solidFill>
          </w14:textFill>
        </w:rPr>
      </w:pPr>
    </w:p>
    <w:p>
      <w:pPr>
        <w:spacing w:before="312" w:beforeLines="100" w:after="312" w:afterLines="100"/>
        <w:jc w:val="center"/>
        <w:rPr>
          <w:rFonts w:hint="eastAsia" w:ascii="华文中宋" w:hAnsi="华文中宋" w:eastAsia="华文中宋"/>
          <w:b/>
          <w:bCs/>
          <w:color w:val="000000" w:themeColor="text1"/>
          <w:sz w:val="48"/>
          <w:szCs w:val="48"/>
          <w:lang w:eastAsia="zh-CN"/>
          <w14:textFill>
            <w14:solidFill>
              <w14:schemeClr w14:val="tx1"/>
            </w14:solidFill>
          </w14:textFill>
        </w:rPr>
      </w:pPr>
      <w:r>
        <w:rPr>
          <w:rFonts w:hint="eastAsia" w:ascii="华文中宋" w:hAnsi="华文中宋" w:eastAsia="华文中宋"/>
          <w:b/>
          <w:bCs/>
          <w:color w:val="000000" w:themeColor="text1"/>
          <w:sz w:val="48"/>
          <w:szCs w:val="48"/>
          <w14:textFill>
            <w14:solidFill>
              <w14:schemeClr w14:val="tx1"/>
            </w14:solidFill>
          </w14:textFill>
        </w:rPr>
        <w:t>阳泉市“十四五”</w:t>
      </w:r>
      <w:r>
        <w:rPr>
          <w:rFonts w:hint="eastAsia" w:ascii="华文中宋" w:hAnsi="华文中宋" w:eastAsia="华文中宋"/>
          <w:b/>
          <w:bCs/>
          <w:color w:val="000000" w:themeColor="text1"/>
          <w:sz w:val="48"/>
          <w:szCs w:val="48"/>
          <w:u w:val="none"/>
          <w:lang w:val="en-US" w:eastAsia="zh-CN"/>
          <w14:textFill>
            <w14:solidFill>
              <w14:schemeClr w14:val="tx1"/>
            </w14:solidFill>
          </w14:textFill>
        </w:rPr>
        <w:t>优化</w:t>
      </w:r>
    </w:p>
    <w:p>
      <w:pPr>
        <w:spacing w:before="312" w:beforeLines="100" w:after="312" w:afterLines="100"/>
        <w:jc w:val="center"/>
        <w:rPr>
          <w:rFonts w:hint="eastAsia" w:ascii="华文中宋" w:hAnsi="华文中宋" w:eastAsia="华文中宋"/>
          <w:b/>
          <w:bCs/>
          <w:color w:val="000000" w:themeColor="text1"/>
          <w:sz w:val="48"/>
          <w:szCs w:val="48"/>
          <w14:textFill>
            <w14:solidFill>
              <w14:schemeClr w14:val="tx1"/>
            </w14:solidFill>
          </w14:textFill>
        </w:rPr>
      </w:pPr>
      <w:r>
        <w:rPr>
          <w:rFonts w:hint="eastAsia" w:ascii="华文中宋" w:hAnsi="华文中宋" w:eastAsia="华文中宋"/>
          <w:b/>
          <w:bCs/>
          <w:color w:val="000000" w:themeColor="text1"/>
          <w:sz w:val="48"/>
          <w:szCs w:val="48"/>
          <w14:textFill>
            <w14:solidFill>
              <w14:schemeClr w14:val="tx1"/>
            </w14:solidFill>
          </w14:textFill>
        </w:rPr>
        <w:t>营商环境建设规划</w:t>
      </w:r>
      <w:bookmarkEnd w:id="0"/>
    </w:p>
    <w:p>
      <w:pPr>
        <w:pStyle w:val="2"/>
        <w:rPr>
          <w:rFonts w:hint="eastAsia" w:ascii="楷体_GB2312" w:hAnsi="楷体_GB2312" w:eastAsia="楷体_GB2312" w:cs="楷体_GB2312"/>
          <w:b w:val="0"/>
          <w:bCs w:val="0"/>
          <w:color w:val="000000" w:themeColor="text1"/>
          <w:sz w:val="36"/>
          <w:szCs w:val="36"/>
          <w:lang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eastAsia="zh-CN"/>
          <w14:textFill>
            <w14:solidFill>
              <w14:schemeClr w14:val="tx1"/>
            </w14:solidFill>
          </w14:textFill>
        </w:rPr>
      </w:pPr>
    </w:p>
    <w:p>
      <w:pPr>
        <w:pStyle w:val="2"/>
        <w:rPr>
          <w:rFonts w:hint="eastAsia"/>
          <w:lang w:eastAsia="zh-CN"/>
        </w:rPr>
      </w:pPr>
    </w:p>
    <w:p>
      <w:pPr>
        <w:rPr>
          <w:rFonts w:hint="eastAsia" w:ascii="楷体_GB2312" w:hAnsi="楷体_GB2312" w:eastAsia="楷体_GB2312" w:cs="楷体_GB2312"/>
          <w:b w:val="0"/>
          <w:bCs w:val="0"/>
          <w:color w:val="000000" w:themeColor="text1"/>
          <w:sz w:val="36"/>
          <w:szCs w:val="36"/>
          <w:lang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t>2022年6月</w:t>
      </w: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pPr>
        <w:pStyle w:val="2"/>
        <w:rPr>
          <w:rFonts w:hint="eastAsia"/>
          <w:lang w:val="en-US" w:eastAsia="zh-CN"/>
        </w:rPr>
      </w:pPr>
    </w:p>
    <w:p>
      <w:pPr>
        <w:pStyle w:val="2"/>
        <w:rPr>
          <w:rFonts w:hint="eastAsia" w:ascii="楷体_GB2312" w:hAnsi="楷体_GB2312" w:eastAsia="楷体_GB2312" w:cs="楷体_GB2312"/>
          <w:b w:val="0"/>
          <w:bCs w:val="0"/>
          <w:color w:val="000000" w:themeColor="text1"/>
          <w:sz w:val="36"/>
          <w:szCs w:val="36"/>
          <w:lang w:val="en-US" w:eastAsia="zh-CN"/>
          <w14:textFill>
            <w14:solidFill>
              <w14:schemeClr w14:val="tx1"/>
            </w14:solidFill>
          </w14:textFill>
        </w:rPr>
      </w:pPr>
    </w:p>
    <w:p/>
    <w:sdt>
      <w:sdtPr>
        <w:rPr>
          <w:rFonts w:asciiTheme="minorHAnsi" w:hAnsiTheme="minorHAnsi" w:eastAsiaTheme="minorEastAsia" w:cstheme="minorBidi"/>
          <w:color w:val="000000" w:themeColor="text1"/>
          <w:kern w:val="2"/>
          <w:sz w:val="21"/>
          <w:szCs w:val="22"/>
          <w:lang w:val="zh-CN"/>
          <w14:textFill>
            <w14:solidFill>
              <w14:schemeClr w14:val="tx1"/>
            </w14:solidFill>
          </w14:textFill>
        </w:rPr>
        <w:id w:val="1763634805"/>
        <w:docPartObj>
          <w:docPartGallery w:val="Table of Contents"/>
          <w:docPartUnique/>
        </w:docPartObj>
      </w:sdtPr>
      <w:sdtEndPr>
        <w:rPr>
          <w:rFonts w:asciiTheme="minorHAnsi" w:hAnsiTheme="minorHAnsi" w:eastAsiaTheme="minorEastAsia" w:cstheme="minorBidi"/>
          <w:b/>
          <w:bCs/>
          <w:color w:val="000000" w:themeColor="text1"/>
          <w:kern w:val="2"/>
          <w:sz w:val="28"/>
          <w:szCs w:val="32"/>
          <w:lang w:val="zh-CN"/>
          <w14:textFill>
            <w14:solidFill>
              <w14:schemeClr w14:val="tx1"/>
            </w14:solidFill>
          </w14:textFill>
        </w:rPr>
      </w:sdtEndPr>
      <w:sdtContent>
        <w:p>
          <w:pPr>
            <w:pStyle w:val="2"/>
            <w:rPr>
              <w:rFonts w:ascii="黑体" w:hAnsi="黑体" w:eastAsia="黑体"/>
              <w:color w:val="000000" w:themeColor="text1"/>
              <w14:textFill>
                <w14:solidFill>
                  <w14:schemeClr w14:val="tx1"/>
                </w14:solidFill>
              </w14:textFill>
            </w:rPr>
          </w:pPr>
          <w:r>
            <w:rPr>
              <w:rFonts w:ascii="黑体" w:hAnsi="黑体" w:eastAsia="黑体"/>
              <w:color w:val="000000" w:themeColor="text1"/>
              <w:lang w:val="zh-CN"/>
              <w14:textFill>
                <w14:solidFill>
                  <w14:schemeClr w14:val="tx1"/>
                </w14:solidFill>
              </w14:textFill>
            </w:rPr>
            <w:t>目</w:t>
          </w:r>
          <w:r>
            <w:rPr>
              <w:rFonts w:hint="eastAsia" w:ascii="黑体" w:hAnsi="黑体" w:eastAsia="黑体"/>
              <w:color w:val="000000" w:themeColor="text1"/>
              <w:lang w:val="en-US" w:eastAsia="zh-CN"/>
              <w14:textFill>
                <w14:solidFill>
                  <w14:schemeClr w14:val="tx1"/>
                </w14:solidFill>
              </w14:textFill>
            </w:rPr>
            <w:t xml:space="preserve">   </w:t>
          </w:r>
          <w:r>
            <w:rPr>
              <w:rFonts w:ascii="黑体" w:hAnsi="黑体" w:eastAsia="黑体"/>
              <w:color w:val="000000" w:themeColor="text1"/>
              <w:lang w:val="zh-CN"/>
              <w14:textFill>
                <w14:solidFill>
                  <w14:schemeClr w14:val="tx1"/>
                </w14:solidFill>
              </w14:textFill>
            </w:rPr>
            <w:t>录</w:t>
          </w:r>
        </w:p>
        <w:p>
          <w:pPr>
            <w:pStyle w:val="14"/>
            <w:tabs>
              <w:tab w:val="right" w:leader="dot" w:pos="8296"/>
            </w:tabs>
            <w:rPr>
              <w:sz w:val="28"/>
              <w:szCs w:val="28"/>
            </w:rPr>
          </w:pPr>
          <w:bookmarkStart w:id="1" w:name="_Hlk60217916"/>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TOC \o "1-3" \h \z \u </w:instrText>
          </w:r>
          <w:r>
            <w:rPr>
              <w:color w:val="000000" w:themeColor="text1"/>
              <w:sz w:val="28"/>
              <w:szCs w:val="28"/>
              <w14:textFill>
                <w14:solidFill>
                  <w14:schemeClr w14:val="tx1"/>
                </w14:solidFill>
              </w14:textFill>
            </w:rPr>
            <w:fldChar w:fldCharType="separate"/>
          </w:r>
          <w:r>
            <w:fldChar w:fldCharType="begin"/>
          </w:r>
          <w:r>
            <w:instrText xml:space="preserve"> HYPERLINK \l "_Toc72943016" </w:instrText>
          </w:r>
          <w:r>
            <w:fldChar w:fldCharType="separate"/>
          </w:r>
          <w:r>
            <w:rPr>
              <w:rStyle w:val="24"/>
              <w:rFonts w:ascii="黑体" w:hAnsi="黑体" w:eastAsia="黑体"/>
              <w:sz w:val="28"/>
              <w:szCs w:val="28"/>
            </w:rPr>
            <w:t>一</w:t>
          </w:r>
          <w:r>
            <w:rPr>
              <w:rStyle w:val="24"/>
              <w:rFonts w:hint="eastAsia" w:ascii="黑体" w:hAnsi="黑体" w:eastAsia="黑体"/>
              <w:sz w:val="28"/>
              <w:szCs w:val="28"/>
              <w:lang w:eastAsia="zh-CN"/>
            </w:rPr>
            <w:t>、</w:t>
          </w:r>
          <w:r>
            <w:rPr>
              <w:rStyle w:val="24"/>
              <w:rFonts w:ascii="黑体" w:hAnsi="黑体" w:eastAsia="黑体"/>
              <w:sz w:val="28"/>
              <w:szCs w:val="28"/>
            </w:rPr>
            <w:t>规划背景</w:t>
          </w:r>
          <w:r>
            <w:rPr>
              <w:sz w:val="28"/>
              <w:szCs w:val="28"/>
            </w:rPr>
            <w:tab/>
          </w:r>
          <w:r>
            <w:rPr>
              <w:sz w:val="28"/>
              <w:szCs w:val="28"/>
            </w:rPr>
            <w:fldChar w:fldCharType="begin"/>
          </w:r>
          <w:r>
            <w:rPr>
              <w:sz w:val="28"/>
              <w:szCs w:val="28"/>
            </w:rPr>
            <w:instrText xml:space="preserve"> PAGEREF _Toc72943016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8"/>
            <w:tabs>
              <w:tab w:val="right" w:leader="dot" w:pos="8296"/>
            </w:tabs>
            <w:rPr>
              <w:sz w:val="28"/>
              <w:szCs w:val="28"/>
            </w:rPr>
          </w:pPr>
          <w:r>
            <w:fldChar w:fldCharType="begin"/>
          </w:r>
          <w:r>
            <w:instrText xml:space="preserve"> HYPERLINK \l "_Toc72943017" </w:instrText>
          </w:r>
          <w:r>
            <w:fldChar w:fldCharType="separate"/>
          </w:r>
          <w:r>
            <w:rPr>
              <w:rStyle w:val="24"/>
              <w:rFonts w:hint="eastAsia" w:ascii="楷体" w:hAnsi="楷体" w:eastAsia="楷体"/>
              <w:sz w:val="28"/>
              <w:szCs w:val="28"/>
              <w:lang w:eastAsia="zh-CN"/>
            </w:rPr>
            <w:t>（</w:t>
          </w:r>
          <w:r>
            <w:rPr>
              <w:rStyle w:val="24"/>
              <w:rFonts w:ascii="楷体" w:hAnsi="楷体" w:eastAsia="楷体"/>
              <w:sz w:val="28"/>
              <w:szCs w:val="28"/>
            </w:rPr>
            <w:t>一</w:t>
          </w:r>
          <w:r>
            <w:rPr>
              <w:rStyle w:val="24"/>
              <w:rFonts w:hint="eastAsia" w:ascii="楷体" w:hAnsi="楷体" w:eastAsia="楷体"/>
              <w:sz w:val="28"/>
              <w:szCs w:val="28"/>
              <w:lang w:eastAsia="zh-CN"/>
            </w:rPr>
            <w:t>）</w:t>
          </w:r>
          <w:r>
            <w:rPr>
              <w:rStyle w:val="24"/>
              <w:rFonts w:ascii="楷体" w:hAnsi="楷体" w:eastAsia="楷体"/>
              <w:sz w:val="28"/>
              <w:szCs w:val="28"/>
            </w:rPr>
            <w:t>发展基础</w:t>
          </w:r>
          <w:r>
            <w:rPr>
              <w:sz w:val="28"/>
              <w:szCs w:val="28"/>
            </w:rPr>
            <w:tab/>
          </w:r>
          <w:r>
            <w:rPr>
              <w:sz w:val="28"/>
              <w:szCs w:val="28"/>
            </w:rPr>
            <w:fldChar w:fldCharType="begin"/>
          </w:r>
          <w:r>
            <w:rPr>
              <w:sz w:val="28"/>
              <w:szCs w:val="28"/>
            </w:rPr>
            <w:instrText xml:space="preserve"> PAGEREF _Toc72943017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8"/>
            <w:tabs>
              <w:tab w:val="right" w:leader="dot" w:pos="8296"/>
            </w:tabs>
            <w:rPr>
              <w:sz w:val="28"/>
              <w:szCs w:val="28"/>
            </w:rPr>
          </w:pPr>
          <w:r>
            <w:fldChar w:fldCharType="begin"/>
          </w:r>
          <w:r>
            <w:instrText xml:space="preserve"> HYPERLINK \l "_Toc72943018"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二</w:t>
          </w:r>
          <w:r>
            <w:rPr>
              <w:rStyle w:val="24"/>
              <w:rFonts w:hint="eastAsia" w:ascii="楷体" w:hAnsi="楷体" w:eastAsia="楷体"/>
              <w:sz w:val="28"/>
              <w:szCs w:val="28"/>
              <w:lang w:eastAsia="zh-CN"/>
            </w:rPr>
            <w:t>）</w:t>
          </w:r>
          <w:r>
            <w:rPr>
              <w:rStyle w:val="24"/>
              <w:rFonts w:ascii="楷体" w:hAnsi="楷体" w:eastAsia="楷体"/>
              <w:sz w:val="28"/>
              <w:szCs w:val="28"/>
            </w:rPr>
            <w:t>面临形势</w:t>
          </w:r>
          <w:r>
            <w:rPr>
              <w:sz w:val="28"/>
              <w:szCs w:val="28"/>
            </w:rPr>
            <w:tab/>
          </w:r>
          <w:r>
            <w:rPr>
              <w:sz w:val="28"/>
              <w:szCs w:val="28"/>
            </w:rPr>
            <w:fldChar w:fldCharType="begin"/>
          </w:r>
          <w:r>
            <w:rPr>
              <w:sz w:val="28"/>
              <w:szCs w:val="28"/>
            </w:rPr>
            <w:instrText xml:space="preserve"> PAGEREF _Toc72943018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8"/>
            <w:tabs>
              <w:tab w:val="right" w:leader="dot" w:pos="8296"/>
            </w:tabs>
            <w:rPr>
              <w:sz w:val="28"/>
              <w:szCs w:val="28"/>
            </w:rPr>
          </w:pPr>
          <w:r>
            <w:fldChar w:fldCharType="begin"/>
          </w:r>
          <w:r>
            <w:instrText xml:space="preserve"> HYPERLINK \l "_Toc72943019"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三</w:t>
          </w:r>
          <w:r>
            <w:rPr>
              <w:rStyle w:val="24"/>
              <w:rFonts w:hint="eastAsia" w:ascii="楷体" w:hAnsi="楷体" w:eastAsia="楷体"/>
              <w:sz w:val="28"/>
              <w:szCs w:val="28"/>
              <w:lang w:eastAsia="zh-CN"/>
            </w:rPr>
            <w:t>）</w:t>
          </w:r>
          <w:r>
            <w:rPr>
              <w:rStyle w:val="24"/>
              <w:rFonts w:ascii="楷体" w:hAnsi="楷体" w:eastAsia="楷体"/>
              <w:sz w:val="28"/>
              <w:szCs w:val="28"/>
            </w:rPr>
            <w:t>机遇和挑战</w:t>
          </w:r>
          <w:r>
            <w:rPr>
              <w:sz w:val="28"/>
              <w:szCs w:val="28"/>
            </w:rPr>
            <w:tab/>
          </w:r>
          <w:r>
            <w:rPr>
              <w:sz w:val="28"/>
              <w:szCs w:val="28"/>
            </w:rPr>
            <w:fldChar w:fldCharType="begin"/>
          </w:r>
          <w:r>
            <w:rPr>
              <w:sz w:val="28"/>
              <w:szCs w:val="28"/>
            </w:rPr>
            <w:instrText xml:space="preserve"> PAGEREF _Toc72943019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"_Toc72943020" </w:instrText>
          </w:r>
          <w:r>
            <w:fldChar w:fldCharType="separate"/>
          </w:r>
          <w:r>
            <w:rPr>
              <w:rStyle w:val="24"/>
              <w:rFonts w:hint="eastAsia" w:ascii="黑体" w:hAnsi="黑体" w:eastAsia="黑体"/>
              <w:sz w:val="28"/>
              <w:szCs w:val="28"/>
              <w:lang w:val="en-US" w:eastAsia="zh-CN"/>
            </w:rPr>
            <w:t>二、</w:t>
          </w:r>
          <w:r>
            <w:rPr>
              <w:rStyle w:val="24"/>
              <w:rFonts w:ascii="黑体" w:hAnsi="黑体" w:eastAsia="黑体"/>
              <w:sz w:val="28"/>
              <w:szCs w:val="28"/>
            </w:rPr>
            <w:t>总体要求</w:t>
          </w:r>
          <w:r>
            <w:rPr>
              <w:sz w:val="28"/>
              <w:szCs w:val="28"/>
            </w:rPr>
            <w:tab/>
          </w:r>
          <w:r>
            <w:rPr>
              <w:sz w:val="28"/>
              <w:szCs w:val="28"/>
            </w:rPr>
            <w:fldChar w:fldCharType="begin"/>
          </w:r>
          <w:r>
            <w:rPr>
              <w:sz w:val="28"/>
              <w:szCs w:val="28"/>
            </w:rPr>
            <w:instrText xml:space="preserve"> PAGEREF _Toc72943020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8"/>
            <w:tabs>
              <w:tab w:val="right" w:leader="dot" w:pos="8296"/>
            </w:tabs>
            <w:rPr>
              <w:sz w:val="28"/>
              <w:szCs w:val="28"/>
            </w:rPr>
          </w:pPr>
          <w:r>
            <w:fldChar w:fldCharType="begin"/>
          </w:r>
          <w:r>
            <w:instrText xml:space="preserve"> HYPERLINK \l "_Toc72943021"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一</w:t>
          </w:r>
          <w:r>
            <w:rPr>
              <w:rStyle w:val="24"/>
              <w:rFonts w:hint="eastAsia" w:ascii="楷体" w:hAnsi="楷体" w:eastAsia="楷体"/>
              <w:sz w:val="28"/>
              <w:szCs w:val="28"/>
              <w:lang w:eastAsia="zh-CN"/>
            </w:rPr>
            <w:t>）</w:t>
          </w:r>
          <w:r>
            <w:rPr>
              <w:rStyle w:val="24"/>
              <w:rFonts w:ascii="楷体" w:hAnsi="楷体" w:eastAsia="楷体"/>
              <w:sz w:val="28"/>
              <w:szCs w:val="28"/>
            </w:rPr>
            <w:t>指导思想</w:t>
          </w:r>
          <w:r>
            <w:rPr>
              <w:sz w:val="28"/>
              <w:szCs w:val="28"/>
            </w:rPr>
            <w:tab/>
          </w:r>
          <w:r>
            <w:rPr>
              <w:sz w:val="28"/>
              <w:szCs w:val="28"/>
            </w:rPr>
            <w:fldChar w:fldCharType="begin"/>
          </w:r>
          <w:r>
            <w:rPr>
              <w:sz w:val="28"/>
              <w:szCs w:val="28"/>
            </w:rPr>
            <w:instrText xml:space="preserve"> PAGEREF _Toc72943021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8"/>
            <w:tabs>
              <w:tab w:val="right" w:leader="dot" w:pos="8296"/>
            </w:tabs>
            <w:rPr>
              <w:sz w:val="28"/>
              <w:szCs w:val="28"/>
            </w:rPr>
          </w:pPr>
          <w:r>
            <w:fldChar w:fldCharType="begin"/>
          </w:r>
          <w:r>
            <w:instrText xml:space="preserve"> HYPERLINK \l "_Toc72943022"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二</w:t>
          </w:r>
          <w:r>
            <w:rPr>
              <w:rStyle w:val="24"/>
              <w:rFonts w:hint="eastAsia" w:ascii="楷体" w:hAnsi="楷体" w:eastAsia="楷体"/>
              <w:sz w:val="28"/>
              <w:szCs w:val="28"/>
              <w:lang w:eastAsia="zh-CN"/>
            </w:rPr>
            <w:t>）</w:t>
          </w:r>
          <w:r>
            <w:rPr>
              <w:rStyle w:val="24"/>
              <w:rFonts w:ascii="楷体" w:hAnsi="楷体" w:eastAsia="楷体"/>
              <w:sz w:val="28"/>
              <w:szCs w:val="28"/>
            </w:rPr>
            <w:t>基本原则</w:t>
          </w:r>
          <w:r>
            <w:rPr>
              <w:sz w:val="28"/>
              <w:szCs w:val="28"/>
            </w:rPr>
            <w:tab/>
          </w:r>
          <w:r>
            <w:rPr>
              <w:rFonts w:hint="eastAsia"/>
              <w:sz w:val="28"/>
              <w:szCs w:val="28"/>
              <w:lang w:val="en-US" w:eastAsia="zh-CN"/>
            </w:rPr>
            <w:t>7</w:t>
          </w:r>
          <w:r>
            <w:rPr>
              <w:sz w:val="28"/>
              <w:szCs w:val="28"/>
            </w:rPr>
            <w:fldChar w:fldCharType="end"/>
          </w:r>
        </w:p>
        <w:p>
          <w:pPr>
            <w:pStyle w:val="18"/>
            <w:tabs>
              <w:tab w:val="right" w:leader="dot" w:pos="8296"/>
            </w:tabs>
            <w:rPr>
              <w:sz w:val="28"/>
              <w:szCs w:val="28"/>
            </w:rPr>
          </w:pPr>
          <w:r>
            <w:fldChar w:fldCharType="begin"/>
          </w:r>
          <w:r>
            <w:instrText xml:space="preserve"> HYPERLINK \l "_Toc72943023"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三</w:t>
          </w:r>
          <w:r>
            <w:rPr>
              <w:rStyle w:val="24"/>
              <w:rFonts w:hint="eastAsia" w:ascii="楷体" w:hAnsi="楷体" w:eastAsia="楷体"/>
              <w:sz w:val="28"/>
              <w:szCs w:val="28"/>
              <w:lang w:eastAsia="zh-CN"/>
            </w:rPr>
            <w:t>）</w:t>
          </w:r>
          <w:r>
            <w:rPr>
              <w:rStyle w:val="24"/>
              <w:rFonts w:ascii="楷体" w:hAnsi="楷体" w:eastAsia="楷体"/>
              <w:sz w:val="28"/>
              <w:szCs w:val="28"/>
            </w:rPr>
            <w:t>建设目标</w:t>
          </w:r>
          <w:r>
            <w:rPr>
              <w:sz w:val="28"/>
              <w:szCs w:val="28"/>
            </w:rPr>
            <w:tab/>
          </w:r>
          <w:r>
            <w:rPr>
              <w:rFonts w:hint="eastAsia"/>
              <w:sz w:val="28"/>
              <w:szCs w:val="28"/>
              <w:lang w:val="en-US" w:eastAsia="zh-CN"/>
            </w:rPr>
            <w:t>8</w:t>
          </w:r>
          <w:r>
            <w:rPr>
              <w:sz w:val="28"/>
              <w:szCs w:val="28"/>
            </w:rPr>
            <w:fldChar w:fldCharType="end"/>
          </w:r>
        </w:p>
        <w:p>
          <w:pPr>
            <w:pStyle w:val="14"/>
            <w:tabs>
              <w:tab w:val="right" w:leader="dot" w:pos="8296"/>
            </w:tabs>
            <w:rPr>
              <w:sz w:val="28"/>
              <w:szCs w:val="28"/>
            </w:rPr>
          </w:pPr>
          <w:r>
            <w:fldChar w:fldCharType="begin"/>
          </w:r>
          <w:r>
            <w:instrText xml:space="preserve"> HYPERLINK \l "_Toc72943024" </w:instrText>
          </w:r>
          <w:r>
            <w:fldChar w:fldCharType="separate"/>
          </w:r>
          <w:r>
            <w:rPr>
              <w:rStyle w:val="24"/>
              <w:rFonts w:hint="eastAsia" w:ascii="黑体" w:hAnsi="黑体" w:eastAsia="黑体"/>
              <w:sz w:val="28"/>
              <w:szCs w:val="28"/>
              <w:lang w:val="en-US" w:eastAsia="zh-CN"/>
            </w:rPr>
            <w:t>三、</w:t>
          </w:r>
          <w:r>
            <w:rPr>
              <w:rStyle w:val="24"/>
              <w:rFonts w:ascii="黑体" w:hAnsi="黑体" w:eastAsia="黑体"/>
              <w:sz w:val="28"/>
              <w:szCs w:val="28"/>
            </w:rPr>
            <w:t>重点建设任务</w:t>
          </w:r>
          <w:r>
            <w:rPr>
              <w:sz w:val="28"/>
              <w:szCs w:val="28"/>
            </w:rPr>
            <w:tab/>
          </w:r>
          <w:r>
            <w:rPr>
              <w:sz w:val="28"/>
              <w:szCs w:val="28"/>
            </w:rPr>
            <w:fldChar w:fldCharType="begin"/>
          </w:r>
          <w:r>
            <w:rPr>
              <w:sz w:val="28"/>
              <w:szCs w:val="28"/>
            </w:rPr>
            <w:instrText xml:space="preserve"> PAGEREF _Toc72943024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8"/>
            <w:tabs>
              <w:tab w:val="right" w:leader="dot" w:pos="8296"/>
            </w:tabs>
            <w:rPr>
              <w:sz w:val="28"/>
              <w:szCs w:val="28"/>
            </w:rPr>
          </w:pPr>
          <w:r>
            <w:fldChar w:fldCharType="begin"/>
          </w:r>
          <w:r>
            <w:instrText xml:space="preserve"> HYPERLINK \l "_Toc72943025"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一</w:t>
          </w:r>
          <w:r>
            <w:rPr>
              <w:rStyle w:val="24"/>
              <w:rFonts w:hint="eastAsia" w:ascii="楷体" w:hAnsi="楷体" w:eastAsia="楷体"/>
              <w:sz w:val="28"/>
              <w:szCs w:val="28"/>
              <w:lang w:eastAsia="zh-CN"/>
            </w:rPr>
            <w:t>）以</w:t>
          </w:r>
          <w:r>
            <w:rPr>
              <w:rStyle w:val="24"/>
              <w:rFonts w:ascii="楷体" w:hAnsi="楷体" w:eastAsia="楷体"/>
              <w:sz w:val="28"/>
              <w:szCs w:val="28"/>
            </w:rPr>
            <w:t>“</w:t>
          </w:r>
          <w:r>
            <w:rPr>
              <w:rStyle w:val="24"/>
              <w:rFonts w:hint="eastAsia" w:ascii="楷体" w:hAnsi="楷体" w:eastAsia="楷体"/>
              <w:sz w:val="28"/>
              <w:szCs w:val="28"/>
              <w:lang w:eastAsia="zh-CN"/>
            </w:rPr>
            <w:t>简政放权便利化</w:t>
          </w:r>
          <w:r>
            <w:rPr>
              <w:rStyle w:val="24"/>
              <w:rFonts w:ascii="楷体" w:hAnsi="楷体" w:eastAsia="楷体"/>
              <w:sz w:val="28"/>
              <w:szCs w:val="28"/>
            </w:rPr>
            <w:t>”</w:t>
          </w:r>
          <w:r>
            <w:rPr>
              <w:rStyle w:val="24"/>
              <w:rFonts w:hint="eastAsia" w:ascii="楷体" w:hAnsi="楷体" w:eastAsia="楷体"/>
              <w:sz w:val="28"/>
              <w:szCs w:val="28"/>
              <w:lang w:eastAsia="zh-CN"/>
            </w:rPr>
            <w:t>为</w:t>
          </w:r>
          <w:r>
            <w:rPr>
              <w:rStyle w:val="24"/>
              <w:rFonts w:ascii="楷体" w:hAnsi="楷体" w:eastAsia="楷体"/>
              <w:sz w:val="28"/>
              <w:szCs w:val="28"/>
            </w:rPr>
            <w:t>目标，在审批</w:t>
          </w:r>
          <w:r>
            <w:rPr>
              <w:rStyle w:val="24"/>
              <w:rFonts w:hint="eastAsia" w:ascii="楷体" w:hAnsi="楷体" w:eastAsia="楷体"/>
              <w:sz w:val="28"/>
              <w:szCs w:val="28"/>
              <w:lang w:eastAsia="zh-CN"/>
            </w:rPr>
            <w:t>制度</w:t>
          </w:r>
          <w:r>
            <w:rPr>
              <w:rStyle w:val="24"/>
              <w:rFonts w:ascii="楷体" w:hAnsi="楷体" w:eastAsia="楷体"/>
              <w:sz w:val="28"/>
              <w:szCs w:val="28"/>
            </w:rPr>
            <w:t>改革上</w:t>
          </w:r>
          <w:r>
            <w:rPr>
              <w:rStyle w:val="24"/>
              <w:rFonts w:hint="eastAsia" w:ascii="楷体" w:hAnsi="楷体" w:eastAsia="楷体"/>
              <w:sz w:val="28"/>
              <w:szCs w:val="28"/>
              <w:lang w:eastAsia="zh-CN"/>
            </w:rPr>
            <w:t>实现</w:t>
          </w:r>
          <w:r>
            <w:rPr>
              <w:rStyle w:val="24"/>
              <w:rFonts w:ascii="楷体" w:hAnsi="楷体" w:eastAsia="楷体"/>
              <w:sz w:val="28"/>
              <w:szCs w:val="28"/>
            </w:rPr>
            <w:t>新突破</w:t>
          </w:r>
          <w:r>
            <w:rPr>
              <w:sz w:val="28"/>
              <w:szCs w:val="28"/>
            </w:rPr>
            <w:tab/>
          </w:r>
          <w:r>
            <w:rPr>
              <w:sz w:val="28"/>
              <w:szCs w:val="28"/>
            </w:rPr>
            <w:fldChar w:fldCharType="begin"/>
          </w:r>
          <w:r>
            <w:rPr>
              <w:sz w:val="28"/>
              <w:szCs w:val="28"/>
            </w:rPr>
            <w:instrText xml:space="preserve"> PAGEREF _Toc72943025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8"/>
            <w:tabs>
              <w:tab w:val="right" w:leader="dot" w:pos="8296"/>
            </w:tabs>
            <w:rPr>
              <w:rFonts w:hint="eastAsia" w:eastAsiaTheme="minorEastAsia"/>
              <w:sz w:val="28"/>
              <w:szCs w:val="28"/>
              <w:lang w:val="en-US" w:eastAsia="zh-CN"/>
            </w:rPr>
          </w:pPr>
          <w:r>
            <w:fldChar w:fldCharType="begin"/>
          </w:r>
          <w:r>
            <w:instrText xml:space="preserve"> HYPERLINK \l "_Toc72943026"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二</w:t>
          </w:r>
          <w:r>
            <w:rPr>
              <w:rStyle w:val="24"/>
              <w:rFonts w:hint="eastAsia" w:ascii="楷体" w:hAnsi="楷体" w:eastAsia="楷体"/>
              <w:sz w:val="28"/>
              <w:szCs w:val="28"/>
              <w:lang w:eastAsia="zh-CN"/>
            </w:rPr>
            <w:t>）以</w:t>
          </w:r>
          <w:r>
            <w:rPr>
              <w:rStyle w:val="24"/>
              <w:rFonts w:ascii="楷体" w:hAnsi="楷体" w:eastAsia="楷体"/>
              <w:sz w:val="28"/>
              <w:szCs w:val="28"/>
            </w:rPr>
            <w:t>“</w:t>
          </w:r>
          <w:r>
            <w:rPr>
              <w:rStyle w:val="24"/>
              <w:rFonts w:hint="eastAsia" w:ascii="楷体" w:hAnsi="楷体" w:eastAsia="楷体"/>
              <w:sz w:val="28"/>
              <w:szCs w:val="28"/>
              <w:lang w:eastAsia="zh-CN"/>
            </w:rPr>
            <w:t>政务服务精细化</w:t>
          </w:r>
          <w:r>
            <w:rPr>
              <w:rStyle w:val="24"/>
              <w:rFonts w:ascii="楷体" w:hAnsi="楷体" w:eastAsia="楷体"/>
              <w:sz w:val="28"/>
              <w:szCs w:val="28"/>
            </w:rPr>
            <w:t>”</w:t>
          </w:r>
          <w:r>
            <w:rPr>
              <w:rStyle w:val="24"/>
              <w:rFonts w:hint="eastAsia" w:ascii="楷体" w:hAnsi="楷体" w:eastAsia="楷体"/>
              <w:sz w:val="28"/>
              <w:szCs w:val="28"/>
              <w:lang w:eastAsia="zh-CN"/>
            </w:rPr>
            <w:t>为</w:t>
          </w:r>
          <w:r>
            <w:rPr>
              <w:rStyle w:val="24"/>
              <w:rFonts w:ascii="楷体" w:hAnsi="楷体" w:eastAsia="楷体"/>
              <w:sz w:val="28"/>
              <w:szCs w:val="28"/>
            </w:rPr>
            <w:t>目标，在</w:t>
          </w:r>
          <w:r>
            <w:rPr>
              <w:rStyle w:val="24"/>
              <w:rFonts w:hint="eastAsia" w:ascii="楷体" w:hAnsi="楷体" w:eastAsia="楷体"/>
              <w:sz w:val="28"/>
              <w:szCs w:val="28"/>
              <w:lang w:eastAsia="zh-CN"/>
            </w:rPr>
            <w:t>行政效能提升上取得</w:t>
          </w:r>
          <w:r>
            <w:rPr>
              <w:rStyle w:val="24"/>
              <w:rFonts w:ascii="楷体" w:hAnsi="楷体" w:eastAsia="楷体"/>
              <w:sz w:val="28"/>
              <w:szCs w:val="28"/>
            </w:rPr>
            <w:t>新</w:t>
          </w:r>
          <w:r>
            <w:rPr>
              <w:rStyle w:val="24"/>
              <w:rFonts w:hint="eastAsia" w:ascii="楷体" w:hAnsi="楷体" w:eastAsia="楷体"/>
              <w:sz w:val="28"/>
              <w:szCs w:val="28"/>
              <w:lang w:eastAsia="zh-CN"/>
            </w:rPr>
            <w:t>成效</w:t>
          </w:r>
          <w:r>
            <w:rPr>
              <w:sz w:val="28"/>
              <w:szCs w:val="28"/>
            </w:rPr>
            <w:tab/>
          </w:r>
          <w:r>
            <w:rPr>
              <w:sz w:val="28"/>
              <w:szCs w:val="28"/>
            </w:rPr>
            <w:fldChar w:fldCharType="begin"/>
          </w:r>
          <w:r>
            <w:rPr>
              <w:sz w:val="28"/>
              <w:szCs w:val="28"/>
            </w:rPr>
            <w:instrText xml:space="preserve"> PAGEREF _Toc72943026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5</w:t>
          </w:r>
        </w:p>
        <w:p>
          <w:pPr>
            <w:pStyle w:val="18"/>
            <w:tabs>
              <w:tab w:val="right" w:leader="dot" w:pos="8296"/>
            </w:tabs>
            <w:rPr>
              <w:rFonts w:hint="default" w:eastAsiaTheme="minorEastAsia"/>
              <w:sz w:val="28"/>
              <w:szCs w:val="28"/>
              <w:lang w:val="en-US" w:eastAsia="zh-CN"/>
            </w:rPr>
          </w:pPr>
          <w:r>
            <w:fldChar w:fldCharType="begin"/>
          </w:r>
          <w:r>
            <w:instrText xml:space="preserve"> HYPERLINK \l "_Toc72943027"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三</w:t>
          </w:r>
          <w:r>
            <w:rPr>
              <w:rStyle w:val="24"/>
              <w:rFonts w:hint="eastAsia" w:ascii="楷体" w:hAnsi="楷体" w:eastAsia="楷体"/>
              <w:sz w:val="28"/>
              <w:szCs w:val="28"/>
              <w:lang w:eastAsia="zh-CN"/>
            </w:rPr>
            <w:t>）以</w:t>
          </w:r>
          <w:r>
            <w:rPr>
              <w:rStyle w:val="24"/>
              <w:rFonts w:ascii="楷体" w:hAnsi="楷体" w:eastAsia="楷体"/>
              <w:sz w:val="28"/>
              <w:szCs w:val="28"/>
            </w:rPr>
            <w:t>“</w:t>
          </w:r>
          <w:r>
            <w:rPr>
              <w:rStyle w:val="24"/>
              <w:rFonts w:hint="eastAsia" w:ascii="楷体" w:hAnsi="楷体" w:eastAsia="楷体"/>
              <w:sz w:val="28"/>
              <w:szCs w:val="28"/>
              <w:lang w:eastAsia="zh-CN"/>
            </w:rPr>
            <w:t>监管执法标准化</w:t>
          </w:r>
          <w:r>
            <w:rPr>
              <w:rStyle w:val="24"/>
              <w:rFonts w:ascii="楷体" w:hAnsi="楷体" w:eastAsia="楷体"/>
              <w:sz w:val="28"/>
              <w:szCs w:val="28"/>
            </w:rPr>
            <w:t>”</w:t>
          </w:r>
          <w:r>
            <w:rPr>
              <w:rStyle w:val="24"/>
              <w:rFonts w:hint="eastAsia" w:ascii="楷体" w:hAnsi="楷体" w:eastAsia="楷体"/>
              <w:sz w:val="28"/>
              <w:szCs w:val="28"/>
              <w:lang w:eastAsia="zh-CN"/>
            </w:rPr>
            <w:t>为</w:t>
          </w:r>
          <w:r>
            <w:rPr>
              <w:rStyle w:val="24"/>
              <w:rFonts w:ascii="楷体" w:hAnsi="楷体" w:eastAsia="楷体"/>
              <w:sz w:val="28"/>
              <w:szCs w:val="28"/>
            </w:rPr>
            <w:t>目标，在</w:t>
          </w:r>
          <w:r>
            <w:rPr>
              <w:rStyle w:val="24"/>
              <w:rFonts w:hint="eastAsia" w:ascii="楷体" w:hAnsi="楷体" w:eastAsia="楷体"/>
              <w:sz w:val="28"/>
              <w:szCs w:val="28"/>
              <w:lang w:eastAsia="zh-CN"/>
            </w:rPr>
            <w:t>法治政府建设</w:t>
          </w:r>
          <w:r>
            <w:rPr>
              <w:rStyle w:val="24"/>
              <w:rFonts w:ascii="楷体" w:hAnsi="楷体" w:eastAsia="楷体"/>
              <w:sz w:val="28"/>
              <w:szCs w:val="28"/>
            </w:rPr>
            <w:t>上再上新台阶</w:t>
          </w:r>
          <w:r>
            <w:rPr>
              <w:sz w:val="28"/>
              <w:szCs w:val="28"/>
            </w:rPr>
            <w:tab/>
          </w:r>
          <w:r>
            <w:rPr>
              <w:sz w:val="28"/>
              <w:szCs w:val="28"/>
            </w:rPr>
            <w:fldChar w:fldCharType="end"/>
          </w:r>
          <w:r>
            <w:rPr>
              <w:rFonts w:hint="eastAsia"/>
              <w:sz w:val="28"/>
              <w:szCs w:val="28"/>
              <w:lang w:val="en-US" w:eastAsia="zh-CN"/>
            </w:rPr>
            <w:t>22</w:t>
          </w:r>
        </w:p>
        <w:p>
          <w:pPr>
            <w:pStyle w:val="18"/>
            <w:tabs>
              <w:tab w:val="right" w:leader="dot" w:pos="8296"/>
            </w:tabs>
            <w:rPr>
              <w:rFonts w:hint="default" w:eastAsiaTheme="minorEastAsia"/>
              <w:sz w:val="28"/>
              <w:szCs w:val="28"/>
              <w:lang w:val="en-US" w:eastAsia="zh-CN"/>
            </w:rPr>
          </w:pPr>
          <w:r>
            <w:fldChar w:fldCharType="begin"/>
          </w:r>
          <w:r>
            <w:instrText xml:space="preserve"> HYPERLINK \l "_Toc72943028"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四</w:t>
          </w:r>
          <w:r>
            <w:rPr>
              <w:rStyle w:val="24"/>
              <w:rFonts w:hint="eastAsia" w:ascii="楷体" w:hAnsi="楷体" w:eastAsia="楷体"/>
              <w:sz w:val="28"/>
              <w:szCs w:val="28"/>
              <w:lang w:eastAsia="zh-CN"/>
            </w:rPr>
            <w:t>）以</w:t>
          </w:r>
          <w:r>
            <w:rPr>
              <w:rStyle w:val="24"/>
              <w:rFonts w:ascii="楷体" w:hAnsi="楷体" w:eastAsia="楷体"/>
              <w:sz w:val="28"/>
              <w:szCs w:val="28"/>
            </w:rPr>
            <w:t>“</w:t>
          </w:r>
          <w:r>
            <w:rPr>
              <w:rStyle w:val="24"/>
              <w:rFonts w:hint="eastAsia" w:ascii="楷体" w:hAnsi="楷体" w:eastAsia="楷体"/>
              <w:sz w:val="28"/>
              <w:szCs w:val="28"/>
              <w:lang w:eastAsia="zh-CN"/>
            </w:rPr>
            <w:t>制度保障法治化</w:t>
          </w:r>
          <w:r>
            <w:rPr>
              <w:rStyle w:val="24"/>
              <w:rFonts w:ascii="楷体" w:hAnsi="楷体" w:eastAsia="楷体"/>
              <w:sz w:val="28"/>
              <w:szCs w:val="28"/>
            </w:rPr>
            <w:t>”</w:t>
          </w:r>
          <w:r>
            <w:rPr>
              <w:rStyle w:val="24"/>
              <w:rFonts w:hint="eastAsia" w:ascii="楷体" w:hAnsi="楷体" w:eastAsia="楷体"/>
              <w:sz w:val="28"/>
              <w:szCs w:val="28"/>
              <w:lang w:eastAsia="zh-CN"/>
            </w:rPr>
            <w:t>为</w:t>
          </w:r>
          <w:r>
            <w:rPr>
              <w:rStyle w:val="24"/>
              <w:rFonts w:ascii="楷体" w:hAnsi="楷体" w:eastAsia="楷体"/>
              <w:sz w:val="28"/>
              <w:szCs w:val="28"/>
            </w:rPr>
            <w:t>目标，在体制</w:t>
          </w:r>
          <w:r>
            <w:rPr>
              <w:rStyle w:val="24"/>
              <w:rFonts w:hint="eastAsia" w:ascii="楷体" w:hAnsi="楷体" w:eastAsia="楷体"/>
              <w:sz w:val="28"/>
              <w:szCs w:val="28"/>
              <w:lang w:eastAsia="zh-CN"/>
            </w:rPr>
            <w:t>机制</w:t>
          </w:r>
          <w:r>
            <w:rPr>
              <w:rStyle w:val="24"/>
              <w:rFonts w:ascii="楷体" w:hAnsi="楷体" w:eastAsia="楷体"/>
              <w:sz w:val="28"/>
              <w:szCs w:val="28"/>
            </w:rPr>
            <w:t>创新上迈出新步伐</w:t>
          </w:r>
          <w:r>
            <w:rPr>
              <w:sz w:val="28"/>
              <w:szCs w:val="28"/>
            </w:rPr>
            <w:tab/>
          </w:r>
          <w:r>
            <w:rPr>
              <w:sz w:val="28"/>
              <w:szCs w:val="28"/>
            </w:rPr>
            <w:fldChar w:fldCharType="end"/>
          </w:r>
          <w:r>
            <w:rPr>
              <w:rFonts w:hint="eastAsia"/>
              <w:sz w:val="28"/>
              <w:szCs w:val="28"/>
              <w:lang w:val="en-US" w:eastAsia="zh-CN"/>
            </w:rPr>
            <w:t>24</w:t>
          </w:r>
        </w:p>
        <w:p>
          <w:pPr>
            <w:pStyle w:val="14"/>
            <w:tabs>
              <w:tab w:val="right" w:leader="dot" w:pos="8296"/>
            </w:tabs>
            <w:rPr>
              <w:sz w:val="28"/>
              <w:szCs w:val="28"/>
            </w:rPr>
          </w:pPr>
          <w:r>
            <w:fldChar w:fldCharType="begin"/>
          </w:r>
          <w:r>
            <w:instrText xml:space="preserve"> HYPERLINK \l "_Toc72943031" </w:instrText>
          </w:r>
          <w:r>
            <w:fldChar w:fldCharType="separate"/>
          </w:r>
          <w:r>
            <w:rPr>
              <w:rStyle w:val="24"/>
              <w:rFonts w:ascii="黑体" w:hAnsi="黑体" w:eastAsia="黑体"/>
              <w:sz w:val="28"/>
              <w:szCs w:val="28"/>
            </w:rPr>
            <w:t>四</w:t>
          </w:r>
          <w:r>
            <w:rPr>
              <w:rStyle w:val="24"/>
              <w:rFonts w:hint="eastAsia" w:ascii="黑体" w:hAnsi="黑体" w:eastAsia="黑体"/>
              <w:sz w:val="28"/>
              <w:szCs w:val="28"/>
              <w:lang w:eastAsia="zh-CN"/>
            </w:rPr>
            <w:t>、</w:t>
          </w:r>
          <w:r>
            <w:rPr>
              <w:rStyle w:val="24"/>
              <w:rFonts w:ascii="黑体" w:hAnsi="黑体" w:eastAsia="黑体"/>
              <w:sz w:val="28"/>
              <w:szCs w:val="28"/>
            </w:rPr>
            <w:t>制度体系支撑</w:t>
          </w:r>
          <w:r>
            <w:rPr>
              <w:sz w:val="28"/>
              <w:szCs w:val="28"/>
            </w:rPr>
            <w:tab/>
          </w:r>
          <w:r>
            <w:rPr>
              <w:sz w:val="28"/>
              <w:szCs w:val="28"/>
            </w:rPr>
            <w:fldChar w:fldCharType="begin"/>
          </w:r>
          <w:r>
            <w:rPr>
              <w:sz w:val="28"/>
              <w:szCs w:val="28"/>
            </w:rPr>
            <w:instrText xml:space="preserve"> PAGEREF _Toc72943031 \h </w:instrText>
          </w:r>
          <w:r>
            <w:rPr>
              <w:sz w:val="28"/>
              <w:szCs w:val="28"/>
            </w:rPr>
            <w:fldChar w:fldCharType="separate"/>
          </w:r>
          <w:r>
            <w:rPr>
              <w:sz w:val="28"/>
              <w:szCs w:val="28"/>
            </w:rPr>
            <w:t>2</w:t>
          </w:r>
          <w:r>
            <w:rPr>
              <w:rFonts w:hint="eastAsia"/>
              <w:sz w:val="28"/>
              <w:szCs w:val="28"/>
              <w:lang w:val="en-US" w:eastAsia="zh-CN"/>
            </w:rPr>
            <w:t>7</w:t>
          </w:r>
          <w:r>
            <w:rPr>
              <w:sz w:val="28"/>
              <w:szCs w:val="28"/>
            </w:rPr>
            <w:fldChar w:fldCharType="end"/>
          </w:r>
          <w:r>
            <w:rPr>
              <w:sz w:val="28"/>
              <w:szCs w:val="28"/>
            </w:rPr>
            <w:fldChar w:fldCharType="end"/>
          </w:r>
        </w:p>
        <w:p>
          <w:pPr>
            <w:pStyle w:val="18"/>
            <w:tabs>
              <w:tab w:val="right" w:leader="dot" w:pos="8296"/>
            </w:tabs>
            <w:rPr>
              <w:sz w:val="28"/>
              <w:szCs w:val="28"/>
            </w:rPr>
          </w:pPr>
          <w:r>
            <w:fldChar w:fldCharType="begin"/>
          </w:r>
          <w:r>
            <w:instrText xml:space="preserve"> HYPERLINK \l "_Toc72943032"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一</w:t>
          </w:r>
          <w:r>
            <w:rPr>
              <w:rStyle w:val="24"/>
              <w:rFonts w:hint="eastAsia" w:ascii="楷体" w:hAnsi="楷体" w:eastAsia="楷体"/>
              <w:sz w:val="28"/>
              <w:szCs w:val="28"/>
              <w:lang w:eastAsia="zh-CN"/>
            </w:rPr>
            <w:t>）</w:t>
          </w:r>
          <w:r>
            <w:rPr>
              <w:rStyle w:val="24"/>
              <w:rFonts w:ascii="楷体" w:hAnsi="楷体" w:eastAsia="楷体"/>
              <w:sz w:val="28"/>
              <w:szCs w:val="28"/>
            </w:rPr>
            <w:t>构建以高效为目标的政务服务体系</w:t>
          </w:r>
          <w:r>
            <w:rPr>
              <w:sz w:val="28"/>
              <w:szCs w:val="28"/>
            </w:rPr>
            <w:tab/>
          </w:r>
          <w:r>
            <w:rPr>
              <w:sz w:val="28"/>
              <w:szCs w:val="28"/>
            </w:rPr>
            <w:fldChar w:fldCharType="begin"/>
          </w:r>
          <w:r>
            <w:rPr>
              <w:sz w:val="28"/>
              <w:szCs w:val="28"/>
            </w:rPr>
            <w:instrText xml:space="preserve"> PAGEREF _Toc72943032 \h </w:instrText>
          </w:r>
          <w:r>
            <w:rPr>
              <w:sz w:val="28"/>
              <w:szCs w:val="28"/>
            </w:rPr>
            <w:fldChar w:fldCharType="separate"/>
          </w:r>
          <w:r>
            <w:rPr>
              <w:sz w:val="28"/>
              <w:szCs w:val="28"/>
            </w:rPr>
            <w:t>2</w:t>
          </w:r>
          <w:r>
            <w:rPr>
              <w:rFonts w:hint="eastAsia"/>
              <w:sz w:val="28"/>
              <w:szCs w:val="28"/>
              <w:lang w:val="en-US" w:eastAsia="zh-CN"/>
            </w:rPr>
            <w:t>7</w:t>
          </w:r>
          <w:r>
            <w:rPr>
              <w:sz w:val="28"/>
              <w:szCs w:val="28"/>
            </w:rPr>
            <w:fldChar w:fldCharType="end"/>
          </w:r>
          <w:r>
            <w:rPr>
              <w:sz w:val="28"/>
              <w:szCs w:val="28"/>
            </w:rPr>
            <w:fldChar w:fldCharType="end"/>
          </w:r>
        </w:p>
        <w:p>
          <w:pPr>
            <w:pStyle w:val="18"/>
            <w:tabs>
              <w:tab w:val="right" w:leader="dot" w:pos="8296"/>
            </w:tabs>
            <w:rPr>
              <w:rFonts w:hint="eastAsia" w:eastAsiaTheme="minorEastAsia"/>
              <w:sz w:val="28"/>
              <w:szCs w:val="28"/>
              <w:lang w:val="en-US" w:eastAsia="zh-CN"/>
            </w:rPr>
          </w:pPr>
          <w:r>
            <w:fldChar w:fldCharType="begin"/>
          </w:r>
          <w:r>
            <w:instrText xml:space="preserve"> HYPERLINK \l "_Toc72943033"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二</w:t>
          </w:r>
          <w:r>
            <w:rPr>
              <w:rStyle w:val="24"/>
              <w:rFonts w:hint="eastAsia" w:ascii="楷体" w:hAnsi="楷体" w:eastAsia="楷体"/>
              <w:sz w:val="28"/>
              <w:szCs w:val="28"/>
              <w:lang w:eastAsia="zh-CN"/>
            </w:rPr>
            <w:t>）</w:t>
          </w:r>
          <w:r>
            <w:rPr>
              <w:rStyle w:val="24"/>
              <w:rFonts w:ascii="楷体" w:hAnsi="楷体" w:eastAsia="楷体"/>
              <w:sz w:val="28"/>
              <w:szCs w:val="28"/>
            </w:rPr>
            <w:t>构建以便利为核心的审批制度体系</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8</w:t>
          </w:r>
        </w:p>
        <w:p>
          <w:pPr>
            <w:pStyle w:val="18"/>
            <w:tabs>
              <w:tab w:val="right" w:leader="dot" w:pos="8296"/>
            </w:tabs>
            <w:rPr>
              <w:rFonts w:hint="eastAsia" w:eastAsiaTheme="minorEastAsia"/>
              <w:sz w:val="28"/>
              <w:szCs w:val="28"/>
              <w:lang w:val="en-US" w:eastAsia="zh-CN"/>
            </w:rPr>
          </w:pPr>
          <w:r>
            <w:fldChar w:fldCharType="begin"/>
          </w:r>
          <w:r>
            <w:instrText xml:space="preserve"> HYPERLINK \l "_Toc72943034"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三</w:t>
          </w:r>
          <w:r>
            <w:rPr>
              <w:rStyle w:val="24"/>
              <w:rFonts w:hint="eastAsia" w:ascii="楷体" w:hAnsi="楷体" w:eastAsia="楷体"/>
              <w:sz w:val="28"/>
              <w:szCs w:val="28"/>
              <w:lang w:eastAsia="zh-CN"/>
            </w:rPr>
            <w:t>）</w:t>
          </w:r>
          <w:r>
            <w:rPr>
              <w:rStyle w:val="24"/>
              <w:rFonts w:ascii="楷体" w:hAnsi="楷体" w:eastAsia="楷体"/>
              <w:sz w:val="28"/>
              <w:szCs w:val="28"/>
            </w:rPr>
            <w:t>建立以共享为特征的</w:t>
          </w:r>
          <w:r>
            <w:rPr>
              <w:rStyle w:val="24"/>
              <w:rFonts w:hint="eastAsia" w:ascii="楷体" w:hAnsi="楷体" w:eastAsia="楷体"/>
              <w:sz w:val="28"/>
              <w:szCs w:val="28"/>
              <w:lang w:val="en-US" w:eastAsia="zh-CN"/>
            </w:rPr>
            <w:t>业务</w:t>
          </w:r>
          <w:r>
            <w:rPr>
              <w:rStyle w:val="24"/>
              <w:rFonts w:ascii="楷体" w:hAnsi="楷体" w:eastAsia="楷体"/>
              <w:sz w:val="28"/>
              <w:szCs w:val="28"/>
            </w:rPr>
            <w:t>协同体系</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9</w:t>
          </w:r>
        </w:p>
        <w:p>
          <w:pPr>
            <w:pStyle w:val="18"/>
            <w:tabs>
              <w:tab w:val="right" w:leader="dot" w:pos="8296"/>
            </w:tabs>
            <w:rPr>
              <w:sz w:val="28"/>
              <w:szCs w:val="28"/>
            </w:rPr>
          </w:pPr>
          <w:r>
            <w:fldChar w:fldCharType="begin"/>
          </w:r>
          <w:r>
            <w:instrText xml:space="preserve"> HYPERLINK \l "_Toc72943035"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四</w:t>
          </w:r>
          <w:r>
            <w:rPr>
              <w:rStyle w:val="24"/>
              <w:rFonts w:hint="eastAsia" w:ascii="楷体" w:hAnsi="楷体" w:eastAsia="楷体"/>
              <w:sz w:val="28"/>
              <w:szCs w:val="28"/>
              <w:lang w:eastAsia="zh-CN"/>
            </w:rPr>
            <w:t>）</w:t>
          </w:r>
          <w:r>
            <w:rPr>
              <w:rStyle w:val="24"/>
              <w:rFonts w:ascii="楷体" w:hAnsi="楷体" w:eastAsia="楷体"/>
              <w:sz w:val="28"/>
              <w:szCs w:val="28"/>
            </w:rPr>
            <w:t>建立以法治为基础的权益保障体系</w:t>
          </w:r>
          <w:r>
            <w:rPr>
              <w:sz w:val="28"/>
              <w:szCs w:val="28"/>
            </w:rPr>
            <w:tab/>
          </w:r>
          <w:r>
            <w:rPr>
              <w:sz w:val="28"/>
              <w:szCs w:val="28"/>
            </w:rPr>
            <w:fldChar w:fldCharType="begin"/>
          </w:r>
          <w:r>
            <w:rPr>
              <w:sz w:val="28"/>
              <w:szCs w:val="28"/>
            </w:rPr>
            <w:instrText xml:space="preserve"> PAGEREF _Toc72943035 \h </w:instrText>
          </w:r>
          <w:r>
            <w:rPr>
              <w:sz w:val="28"/>
              <w:szCs w:val="28"/>
            </w:rPr>
            <w:fldChar w:fldCharType="separate"/>
          </w:r>
          <w:r>
            <w:rPr>
              <w:sz w:val="28"/>
              <w:szCs w:val="28"/>
            </w:rPr>
            <w:t>3</w:t>
          </w:r>
          <w:r>
            <w:rPr>
              <w:rFonts w:hint="eastAsia"/>
              <w:sz w:val="28"/>
              <w:szCs w:val="28"/>
              <w:lang w:val="en-US" w:eastAsia="zh-CN"/>
            </w:rPr>
            <w:t>1</w:t>
          </w:r>
          <w:r>
            <w:rPr>
              <w:sz w:val="28"/>
              <w:szCs w:val="28"/>
            </w:rPr>
            <w:fldChar w:fldCharType="end"/>
          </w:r>
          <w:r>
            <w:rPr>
              <w:sz w:val="28"/>
              <w:szCs w:val="28"/>
            </w:rPr>
            <w:fldChar w:fldCharType="end"/>
          </w:r>
        </w:p>
        <w:p>
          <w:pPr>
            <w:pStyle w:val="18"/>
            <w:tabs>
              <w:tab w:val="right" w:leader="dot" w:pos="8296"/>
            </w:tabs>
            <w:rPr>
              <w:sz w:val="28"/>
              <w:szCs w:val="28"/>
            </w:rPr>
          </w:pPr>
          <w:r>
            <w:fldChar w:fldCharType="begin"/>
          </w:r>
          <w:r>
            <w:instrText xml:space="preserve"> HYPERLINK \l "_Toc72943036"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五</w:t>
          </w:r>
          <w:r>
            <w:rPr>
              <w:rStyle w:val="24"/>
              <w:rFonts w:hint="eastAsia" w:ascii="楷体" w:hAnsi="楷体" w:eastAsia="楷体"/>
              <w:sz w:val="28"/>
              <w:szCs w:val="28"/>
              <w:lang w:eastAsia="zh-CN"/>
            </w:rPr>
            <w:t>）</w:t>
          </w:r>
          <w:r>
            <w:rPr>
              <w:rStyle w:val="24"/>
              <w:rFonts w:ascii="楷体" w:hAnsi="楷体" w:eastAsia="楷体"/>
              <w:sz w:val="28"/>
              <w:szCs w:val="28"/>
            </w:rPr>
            <w:t>建立以普惠为特征的包容创新体系</w:t>
          </w:r>
          <w:r>
            <w:rPr>
              <w:sz w:val="28"/>
              <w:szCs w:val="28"/>
            </w:rPr>
            <w:tab/>
          </w:r>
          <w:r>
            <w:rPr>
              <w:sz w:val="28"/>
              <w:szCs w:val="28"/>
            </w:rPr>
            <w:fldChar w:fldCharType="begin"/>
          </w:r>
          <w:r>
            <w:rPr>
              <w:sz w:val="28"/>
              <w:szCs w:val="28"/>
            </w:rPr>
            <w:instrText xml:space="preserve"> PAGEREF _Toc72943036 \h </w:instrText>
          </w:r>
          <w:r>
            <w:rPr>
              <w:sz w:val="28"/>
              <w:szCs w:val="28"/>
            </w:rPr>
            <w:fldChar w:fldCharType="separate"/>
          </w:r>
          <w:r>
            <w:rPr>
              <w:sz w:val="28"/>
              <w:szCs w:val="28"/>
            </w:rPr>
            <w:t>3</w:t>
          </w:r>
          <w:r>
            <w:rPr>
              <w:rFonts w:hint="eastAsia"/>
              <w:sz w:val="28"/>
              <w:szCs w:val="28"/>
              <w:lang w:val="en-US" w:eastAsia="zh-CN"/>
            </w:rPr>
            <w:t>2</w:t>
          </w:r>
          <w:r>
            <w:rPr>
              <w:sz w:val="28"/>
              <w:szCs w:val="28"/>
            </w:rPr>
            <w:fldChar w:fldCharType="end"/>
          </w:r>
          <w:r>
            <w:rPr>
              <w:sz w:val="28"/>
              <w:szCs w:val="28"/>
            </w:rPr>
            <w:fldChar w:fldCharType="end"/>
          </w:r>
        </w:p>
        <w:p>
          <w:pPr>
            <w:pStyle w:val="18"/>
            <w:tabs>
              <w:tab w:val="right" w:leader="dot" w:pos="8296"/>
            </w:tabs>
            <w:rPr>
              <w:sz w:val="28"/>
              <w:szCs w:val="28"/>
            </w:rPr>
          </w:pPr>
          <w:r>
            <w:fldChar w:fldCharType="begin"/>
          </w:r>
          <w:r>
            <w:instrText xml:space="preserve"> HYPERLINK \l "_Toc72943037"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六</w:t>
          </w:r>
          <w:r>
            <w:rPr>
              <w:rStyle w:val="24"/>
              <w:rFonts w:hint="eastAsia" w:ascii="楷体" w:hAnsi="楷体" w:eastAsia="楷体"/>
              <w:sz w:val="28"/>
              <w:szCs w:val="28"/>
              <w:lang w:eastAsia="zh-CN"/>
            </w:rPr>
            <w:t>）</w:t>
          </w:r>
          <w:r>
            <w:rPr>
              <w:rStyle w:val="24"/>
              <w:rFonts w:ascii="楷体" w:hAnsi="楷体" w:eastAsia="楷体"/>
              <w:sz w:val="28"/>
              <w:szCs w:val="28"/>
            </w:rPr>
            <w:t>建立以结果为导向的考核监督体系</w:t>
          </w:r>
          <w:r>
            <w:rPr>
              <w:sz w:val="28"/>
              <w:szCs w:val="28"/>
            </w:rPr>
            <w:tab/>
          </w:r>
          <w:r>
            <w:rPr>
              <w:sz w:val="28"/>
              <w:szCs w:val="28"/>
            </w:rPr>
            <w:fldChar w:fldCharType="begin"/>
          </w:r>
          <w:r>
            <w:rPr>
              <w:sz w:val="28"/>
              <w:szCs w:val="28"/>
            </w:rPr>
            <w:instrText xml:space="preserve"> PAGEREF _Toc72943037 \h </w:instrText>
          </w:r>
          <w:r>
            <w:rPr>
              <w:sz w:val="28"/>
              <w:szCs w:val="28"/>
            </w:rPr>
            <w:fldChar w:fldCharType="separate"/>
          </w:r>
          <w:r>
            <w:rPr>
              <w:sz w:val="28"/>
              <w:szCs w:val="28"/>
            </w:rPr>
            <w:t>3</w:t>
          </w:r>
          <w:r>
            <w:rPr>
              <w:rFonts w:hint="eastAsia"/>
              <w:sz w:val="28"/>
              <w:szCs w:val="28"/>
              <w:lang w:val="en-US" w:eastAsia="zh-CN"/>
            </w:rPr>
            <w:t>3</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"_Toc72943038" </w:instrText>
          </w:r>
          <w:r>
            <w:fldChar w:fldCharType="separate"/>
          </w:r>
          <w:r>
            <w:rPr>
              <w:rStyle w:val="24"/>
              <w:rFonts w:ascii="黑体" w:hAnsi="黑体" w:eastAsia="黑体"/>
              <w:sz w:val="28"/>
              <w:szCs w:val="28"/>
            </w:rPr>
            <w:t>五</w:t>
          </w:r>
          <w:r>
            <w:rPr>
              <w:rStyle w:val="24"/>
              <w:rFonts w:hint="eastAsia" w:ascii="黑体" w:hAnsi="黑体" w:eastAsia="黑体"/>
              <w:sz w:val="28"/>
              <w:szCs w:val="28"/>
              <w:lang w:eastAsia="zh-CN"/>
            </w:rPr>
            <w:t>、</w:t>
          </w:r>
          <w:r>
            <w:rPr>
              <w:rStyle w:val="24"/>
              <w:rFonts w:ascii="黑体" w:hAnsi="黑体" w:eastAsia="黑体"/>
              <w:sz w:val="28"/>
              <w:szCs w:val="28"/>
            </w:rPr>
            <w:t>保障措施</w:t>
          </w:r>
          <w:r>
            <w:rPr>
              <w:sz w:val="28"/>
              <w:szCs w:val="28"/>
            </w:rPr>
            <w:tab/>
          </w:r>
          <w:r>
            <w:rPr>
              <w:sz w:val="28"/>
              <w:szCs w:val="28"/>
            </w:rPr>
            <w:fldChar w:fldCharType="begin"/>
          </w:r>
          <w:r>
            <w:rPr>
              <w:sz w:val="28"/>
              <w:szCs w:val="28"/>
            </w:rPr>
            <w:instrText xml:space="preserve"> PAGEREF _Toc72943038 \h </w:instrText>
          </w:r>
          <w:r>
            <w:rPr>
              <w:sz w:val="28"/>
              <w:szCs w:val="28"/>
            </w:rPr>
            <w:fldChar w:fldCharType="separate"/>
          </w:r>
          <w:r>
            <w:rPr>
              <w:sz w:val="28"/>
              <w:szCs w:val="28"/>
            </w:rPr>
            <w:t>3</w:t>
          </w:r>
          <w:r>
            <w:rPr>
              <w:rFonts w:hint="eastAsia"/>
              <w:sz w:val="28"/>
              <w:szCs w:val="28"/>
              <w:lang w:val="en-US" w:eastAsia="zh-CN"/>
            </w:rPr>
            <w:t>5</w:t>
          </w:r>
          <w:r>
            <w:rPr>
              <w:sz w:val="28"/>
              <w:szCs w:val="28"/>
            </w:rPr>
            <w:fldChar w:fldCharType="end"/>
          </w:r>
          <w:r>
            <w:rPr>
              <w:sz w:val="28"/>
              <w:szCs w:val="28"/>
            </w:rPr>
            <w:fldChar w:fldCharType="end"/>
          </w:r>
        </w:p>
        <w:p>
          <w:pPr>
            <w:pStyle w:val="18"/>
            <w:tabs>
              <w:tab w:val="right" w:leader="dot" w:pos="8296"/>
            </w:tabs>
            <w:rPr>
              <w:sz w:val="28"/>
              <w:szCs w:val="28"/>
            </w:rPr>
          </w:pPr>
          <w:r>
            <w:fldChar w:fldCharType="begin"/>
          </w:r>
          <w:r>
            <w:instrText xml:space="preserve"> HYPERLINK \l "_Toc72943039"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一</w:t>
          </w:r>
          <w:r>
            <w:rPr>
              <w:rStyle w:val="24"/>
              <w:rFonts w:hint="eastAsia" w:ascii="楷体" w:hAnsi="楷体" w:eastAsia="楷体"/>
              <w:sz w:val="28"/>
              <w:szCs w:val="28"/>
              <w:lang w:eastAsia="zh-CN"/>
            </w:rPr>
            <w:t>）</w:t>
          </w:r>
          <w:r>
            <w:rPr>
              <w:rStyle w:val="24"/>
              <w:rFonts w:ascii="楷体" w:hAnsi="楷体" w:eastAsia="楷体"/>
              <w:sz w:val="28"/>
              <w:szCs w:val="28"/>
            </w:rPr>
            <w:t>加强组织领导</w:t>
          </w:r>
          <w:r>
            <w:rPr>
              <w:sz w:val="28"/>
              <w:szCs w:val="28"/>
            </w:rPr>
            <w:tab/>
          </w:r>
          <w:r>
            <w:rPr>
              <w:sz w:val="28"/>
              <w:szCs w:val="28"/>
            </w:rPr>
            <w:fldChar w:fldCharType="begin"/>
          </w:r>
          <w:r>
            <w:rPr>
              <w:sz w:val="28"/>
              <w:szCs w:val="28"/>
            </w:rPr>
            <w:instrText xml:space="preserve"> PAGEREF _Toc72943039 \h </w:instrText>
          </w:r>
          <w:r>
            <w:rPr>
              <w:sz w:val="28"/>
              <w:szCs w:val="28"/>
            </w:rPr>
            <w:fldChar w:fldCharType="separate"/>
          </w:r>
          <w:r>
            <w:rPr>
              <w:sz w:val="28"/>
              <w:szCs w:val="28"/>
            </w:rPr>
            <w:t>3</w:t>
          </w:r>
          <w:r>
            <w:rPr>
              <w:rFonts w:hint="eastAsia"/>
              <w:sz w:val="28"/>
              <w:szCs w:val="28"/>
              <w:lang w:val="en-US" w:eastAsia="zh-CN"/>
            </w:rPr>
            <w:t>5</w:t>
          </w:r>
          <w:r>
            <w:rPr>
              <w:sz w:val="28"/>
              <w:szCs w:val="28"/>
            </w:rPr>
            <w:fldChar w:fldCharType="end"/>
          </w:r>
          <w:r>
            <w:rPr>
              <w:sz w:val="28"/>
              <w:szCs w:val="28"/>
            </w:rPr>
            <w:fldChar w:fldCharType="end"/>
          </w:r>
        </w:p>
        <w:p>
          <w:pPr>
            <w:pStyle w:val="18"/>
            <w:tabs>
              <w:tab w:val="right" w:leader="dot" w:pos="8296"/>
            </w:tabs>
            <w:rPr>
              <w:sz w:val="28"/>
              <w:szCs w:val="28"/>
            </w:rPr>
          </w:pPr>
          <w:r>
            <w:fldChar w:fldCharType="begin"/>
          </w:r>
          <w:r>
            <w:instrText xml:space="preserve"> HYPERLINK \l "_Toc72943040"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二</w:t>
          </w:r>
          <w:r>
            <w:rPr>
              <w:rStyle w:val="24"/>
              <w:rFonts w:hint="eastAsia" w:ascii="楷体" w:hAnsi="楷体" w:eastAsia="楷体"/>
              <w:sz w:val="28"/>
              <w:szCs w:val="28"/>
              <w:lang w:eastAsia="zh-CN"/>
            </w:rPr>
            <w:t>）</w:t>
          </w:r>
          <w:r>
            <w:rPr>
              <w:rStyle w:val="24"/>
              <w:rFonts w:ascii="楷体" w:hAnsi="楷体" w:eastAsia="楷体"/>
              <w:sz w:val="28"/>
              <w:szCs w:val="28"/>
            </w:rPr>
            <w:t>精心安排实施</w:t>
          </w:r>
          <w:r>
            <w:rPr>
              <w:sz w:val="28"/>
              <w:szCs w:val="28"/>
            </w:rPr>
            <w:tab/>
          </w:r>
          <w:r>
            <w:rPr>
              <w:sz w:val="28"/>
              <w:szCs w:val="28"/>
            </w:rPr>
            <w:fldChar w:fldCharType="begin"/>
          </w:r>
          <w:r>
            <w:rPr>
              <w:sz w:val="28"/>
              <w:szCs w:val="28"/>
            </w:rPr>
            <w:instrText xml:space="preserve"> PAGEREF _Toc72943040 \h </w:instrText>
          </w:r>
          <w:r>
            <w:rPr>
              <w:sz w:val="28"/>
              <w:szCs w:val="28"/>
            </w:rPr>
            <w:fldChar w:fldCharType="separate"/>
          </w:r>
          <w:r>
            <w:rPr>
              <w:sz w:val="28"/>
              <w:szCs w:val="28"/>
            </w:rPr>
            <w:t>3</w:t>
          </w:r>
          <w:r>
            <w:rPr>
              <w:rFonts w:hint="eastAsia"/>
              <w:sz w:val="28"/>
              <w:szCs w:val="28"/>
              <w:lang w:val="en-US" w:eastAsia="zh-CN"/>
            </w:rPr>
            <w:t>5</w:t>
          </w:r>
          <w:r>
            <w:rPr>
              <w:sz w:val="28"/>
              <w:szCs w:val="28"/>
            </w:rPr>
            <w:fldChar w:fldCharType="end"/>
          </w:r>
          <w:r>
            <w:rPr>
              <w:sz w:val="28"/>
              <w:szCs w:val="28"/>
            </w:rPr>
            <w:fldChar w:fldCharType="end"/>
          </w:r>
        </w:p>
        <w:p>
          <w:pPr>
            <w:pStyle w:val="18"/>
            <w:tabs>
              <w:tab w:val="right" w:leader="dot" w:pos="8296"/>
            </w:tabs>
            <w:rPr>
              <w:rFonts w:hint="eastAsia" w:eastAsiaTheme="minorEastAsia"/>
              <w:sz w:val="28"/>
              <w:szCs w:val="28"/>
              <w:lang w:val="en-US" w:eastAsia="zh-CN"/>
            </w:rPr>
          </w:pPr>
          <w:r>
            <w:fldChar w:fldCharType="begin"/>
          </w:r>
          <w:r>
            <w:instrText xml:space="preserve"> HYPERLINK \l "_Toc72943041"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三</w:t>
          </w:r>
          <w:r>
            <w:rPr>
              <w:rStyle w:val="24"/>
              <w:rFonts w:hint="eastAsia" w:ascii="楷体" w:hAnsi="楷体" w:eastAsia="楷体"/>
              <w:sz w:val="28"/>
              <w:szCs w:val="28"/>
              <w:lang w:eastAsia="zh-CN"/>
            </w:rPr>
            <w:t>）</w:t>
          </w:r>
          <w:r>
            <w:rPr>
              <w:rStyle w:val="24"/>
              <w:rFonts w:ascii="楷体" w:hAnsi="楷体" w:eastAsia="楷体"/>
              <w:sz w:val="28"/>
              <w:szCs w:val="28"/>
            </w:rPr>
            <w:t>优化法治环境</w:t>
          </w:r>
          <w:r>
            <w:rPr>
              <w:sz w:val="28"/>
              <w:szCs w:val="28"/>
            </w:rPr>
            <w:tab/>
          </w:r>
          <w:r>
            <w:rPr>
              <w:rFonts w:hint="eastAsia"/>
              <w:sz w:val="28"/>
              <w:szCs w:val="28"/>
              <w:lang w:val="en-US" w:eastAsia="zh-CN"/>
            </w:rPr>
            <w:t>3</w:t>
          </w:r>
          <w:r>
            <w:rPr>
              <w:sz w:val="28"/>
              <w:szCs w:val="28"/>
            </w:rPr>
            <w:fldChar w:fldCharType="end"/>
          </w:r>
          <w:r>
            <w:rPr>
              <w:rFonts w:hint="eastAsia"/>
              <w:sz w:val="28"/>
              <w:szCs w:val="28"/>
              <w:lang w:val="en-US" w:eastAsia="zh-CN"/>
            </w:rPr>
            <w:t>6</w:t>
          </w:r>
        </w:p>
        <w:p>
          <w:pPr>
            <w:pStyle w:val="18"/>
            <w:tabs>
              <w:tab w:val="right" w:leader="dot" w:pos="8296"/>
            </w:tabs>
            <w:rPr>
              <w:rFonts w:hint="eastAsia" w:eastAsiaTheme="minorEastAsia"/>
              <w:sz w:val="28"/>
              <w:szCs w:val="28"/>
              <w:lang w:val="en-US" w:eastAsia="zh-CN"/>
            </w:rPr>
          </w:pPr>
          <w:r>
            <w:fldChar w:fldCharType="begin"/>
          </w:r>
          <w:r>
            <w:instrText xml:space="preserve"> HYPERLINK \l "_Toc72943042"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四</w:t>
          </w:r>
          <w:r>
            <w:rPr>
              <w:rStyle w:val="24"/>
              <w:rFonts w:hint="eastAsia" w:ascii="楷体" w:hAnsi="楷体" w:eastAsia="楷体"/>
              <w:sz w:val="28"/>
              <w:szCs w:val="28"/>
              <w:lang w:eastAsia="zh-CN"/>
            </w:rPr>
            <w:t>）</w:t>
          </w:r>
          <w:r>
            <w:rPr>
              <w:rStyle w:val="24"/>
              <w:rFonts w:ascii="楷体" w:hAnsi="楷体" w:eastAsia="楷体"/>
              <w:sz w:val="28"/>
              <w:szCs w:val="28"/>
            </w:rPr>
            <w:t>强化督导考评</w:t>
          </w:r>
          <w:r>
            <w:rPr>
              <w:sz w:val="28"/>
              <w:szCs w:val="28"/>
            </w:rPr>
            <w:tab/>
          </w:r>
          <w:r>
            <w:rPr>
              <w:rFonts w:hint="eastAsia"/>
              <w:sz w:val="28"/>
              <w:szCs w:val="28"/>
              <w:lang w:val="en-US" w:eastAsia="zh-CN"/>
            </w:rPr>
            <w:t>3</w:t>
          </w:r>
          <w:r>
            <w:rPr>
              <w:sz w:val="28"/>
              <w:szCs w:val="28"/>
            </w:rPr>
            <w:fldChar w:fldCharType="end"/>
          </w:r>
          <w:r>
            <w:rPr>
              <w:rFonts w:hint="eastAsia"/>
              <w:sz w:val="28"/>
              <w:szCs w:val="28"/>
              <w:lang w:val="en-US" w:eastAsia="zh-CN"/>
            </w:rPr>
            <w:t>6</w:t>
          </w:r>
        </w:p>
        <w:p>
          <w:pPr>
            <w:pStyle w:val="18"/>
            <w:tabs>
              <w:tab w:val="right" w:leader="dot" w:pos="8296"/>
            </w:tabs>
            <w:rPr>
              <w:rFonts w:hint="eastAsia" w:eastAsiaTheme="minorEastAsia"/>
              <w:sz w:val="28"/>
              <w:szCs w:val="28"/>
              <w:lang w:val="en-US" w:eastAsia="zh-CN"/>
            </w:rPr>
          </w:pPr>
          <w:r>
            <w:fldChar w:fldCharType="begin"/>
          </w:r>
          <w:r>
            <w:instrText xml:space="preserve"> HYPERLINK \l "_Toc72943043" </w:instrText>
          </w:r>
          <w:r>
            <w:fldChar w:fldCharType="separate"/>
          </w:r>
          <w:r>
            <w:rPr>
              <w:rStyle w:val="24"/>
              <w:rFonts w:hint="eastAsia" w:ascii="楷体" w:hAnsi="楷体" w:eastAsia="楷体"/>
              <w:sz w:val="28"/>
              <w:szCs w:val="28"/>
              <w:lang w:eastAsia="zh-CN"/>
            </w:rPr>
            <w:t>（</w:t>
          </w:r>
          <w:r>
            <w:rPr>
              <w:rStyle w:val="24"/>
              <w:rFonts w:hint="eastAsia" w:ascii="楷体" w:hAnsi="楷体" w:eastAsia="楷体"/>
              <w:sz w:val="28"/>
              <w:szCs w:val="28"/>
              <w:lang w:val="en-US" w:eastAsia="zh-CN"/>
            </w:rPr>
            <w:t>五</w:t>
          </w:r>
          <w:r>
            <w:rPr>
              <w:rStyle w:val="24"/>
              <w:rFonts w:hint="eastAsia" w:ascii="楷体" w:hAnsi="楷体" w:eastAsia="楷体"/>
              <w:sz w:val="28"/>
              <w:szCs w:val="28"/>
              <w:lang w:eastAsia="zh-CN"/>
            </w:rPr>
            <w:t>）</w:t>
          </w:r>
          <w:r>
            <w:rPr>
              <w:rStyle w:val="24"/>
              <w:rFonts w:ascii="楷体" w:hAnsi="楷体" w:eastAsia="楷体"/>
              <w:sz w:val="28"/>
              <w:szCs w:val="28"/>
            </w:rPr>
            <w:t>注重宣传引导</w:t>
          </w:r>
          <w:r>
            <w:rPr>
              <w:sz w:val="28"/>
              <w:szCs w:val="28"/>
            </w:rPr>
            <w:tab/>
          </w:r>
          <w:r>
            <w:rPr>
              <w:rFonts w:hint="eastAsia"/>
              <w:sz w:val="28"/>
              <w:szCs w:val="28"/>
              <w:lang w:val="en-US" w:eastAsia="zh-CN"/>
            </w:rPr>
            <w:t>3</w:t>
          </w:r>
          <w:r>
            <w:rPr>
              <w:sz w:val="28"/>
              <w:szCs w:val="28"/>
            </w:rPr>
            <w:fldChar w:fldCharType="end"/>
          </w:r>
          <w:r>
            <w:rPr>
              <w:rFonts w:hint="eastAsia"/>
              <w:sz w:val="28"/>
              <w:szCs w:val="28"/>
              <w:lang w:val="en-US" w:eastAsia="zh-CN"/>
            </w:rPr>
            <w:t>6</w:t>
          </w:r>
        </w:p>
        <w:p>
          <w:pPr>
            <w:rPr>
              <w:color w:val="000000" w:themeColor="text1"/>
              <w:sz w:val="28"/>
              <w:szCs w:val="32"/>
              <w14:textFill>
                <w14:solidFill>
                  <w14:schemeClr w14:val="tx1"/>
                </w14:solidFill>
              </w14:textFill>
            </w:rPr>
          </w:pPr>
          <w:r>
            <w:rPr>
              <w:bCs/>
              <w:color w:val="000000" w:themeColor="text1"/>
              <w:sz w:val="28"/>
              <w:szCs w:val="28"/>
              <w:lang w:val="zh-CN"/>
              <w14:textFill>
                <w14:solidFill>
                  <w14:schemeClr w14:val="tx1"/>
                </w14:solidFill>
              </w14:textFill>
            </w:rPr>
            <w:fldChar w:fldCharType="end"/>
          </w:r>
        </w:p>
      </w:sdtContent>
    </w:sdt>
    <w:bookmarkEnd w:id="1"/>
    <w:p>
      <w:pPr>
        <w:spacing w:before="312" w:beforeLines="100" w:after="312" w:afterLines="100"/>
        <w:jc w:val="center"/>
        <w:rPr>
          <w:rFonts w:ascii="华文中宋" w:hAnsi="华文中宋" w:eastAsia="华文中宋"/>
          <w:color w:val="000000" w:themeColor="text1"/>
          <w:sz w:val="28"/>
          <w:szCs w:val="28"/>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before="624" w:beforeLines="200"/>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营商环境是区域经济社会发展的基础生态，是微观市场主体健康发展的重要保障，也是新时期政府治理体系和治理能力现代化的主要抓手。为深入贯彻</w:t>
      </w:r>
      <w:r>
        <w:rPr>
          <w:rFonts w:hint="eastAsia" w:ascii="华文仿宋" w:hAnsi="华文仿宋" w:eastAsia="华文仿宋"/>
          <w:color w:val="000000" w:themeColor="text1"/>
          <w:sz w:val="28"/>
          <w:szCs w:val="28"/>
          <w:lang w:eastAsia="zh-CN"/>
          <w14:textFill>
            <w14:solidFill>
              <w14:schemeClr w14:val="tx1"/>
            </w14:solidFill>
          </w14:textFill>
        </w:rPr>
        <w:t>习</w:t>
      </w:r>
      <w:bookmarkStart w:id="53" w:name="_GoBack"/>
      <w:bookmarkEnd w:id="53"/>
      <w:r>
        <w:rPr>
          <w:rFonts w:hint="eastAsia" w:ascii="华文仿宋" w:hAnsi="华文仿宋" w:eastAsia="华文仿宋"/>
          <w:color w:val="000000" w:themeColor="text1"/>
          <w:sz w:val="28"/>
          <w:szCs w:val="28"/>
          <w14:textFill>
            <w14:solidFill>
              <w14:schemeClr w14:val="tx1"/>
            </w14:solidFill>
          </w14:textFill>
        </w:rPr>
        <w:t>近平总书记</w:t>
      </w:r>
      <w:r>
        <w:rPr>
          <w:rFonts w:hint="eastAsia" w:ascii="华文仿宋" w:hAnsi="华文仿宋" w:eastAsia="华文仿宋"/>
          <w:color w:val="000000" w:themeColor="text1"/>
          <w:sz w:val="28"/>
          <w:szCs w:val="28"/>
          <w:lang w:eastAsia="zh-CN"/>
          <w14:textFill>
            <w14:solidFill>
              <w14:schemeClr w14:val="tx1"/>
            </w14:solidFill>
          </w14:textFill>
        </w:rPr>
        <w:t>关于优化营商环境重要论述和</w:t>
      </w:r>
      <w:r>
        <w:rPr>
          <w:rFonts w:hint="eastAsia" w:ascii="华文仿宋" w:hAnsi="华文仿宋" w:eastAsia="华文仿宋"/>
          <w:color w:val="000000" w:themeColor="text1"/>
          <w:sz w:val="28"/>
          <w:szCs w:val="28"/>
          <w14:textFill>
            <w14:solidFill>
              <w14:schemeClr w14:val="tx1"/>
            </w14:solidFill>
          </w14:textFill>
        </w:rPr>
        <w:t>视察山西</w:t>
      </w:r>
      <w:r>
        <w:rPr>
          <w:rFonts w:hint="eastAsia" w:ascii="华文仿宋" w:hAnsi="华文仿宋" w:eastAsia="华文仿宋"/>
          <w:color w:val="000000" w:themeColor="text1"/>
          <w:sz w:val="28"/>
          <w:szCs w:val="28"/>
          <w:lang w:eastAsia="zh-CN"/>
          <w14:textFill>
            <w14:solidFill>
              <w14:schemeClr w14:val="tx1"/>
            </w14:solidFill>
          </w14:textFill>
        </w:rPr>
        <w:t>时作出</w:t>
      </w:r>
      <w:r>
        <w:rPr>
          <w:rFonts w:hint="eastAsia" w:ascii="华文仿宋" w:hAnsi="华文仿宋" w:eastAsia="华文仿宋"/>
          <w:color w:val="000000" w:themeColor="text1"/>
          <w:sz w:val="28"/>
          <w:szCs w:val="28"/>
          <w14:textFill>
            <w14:solidFill>
              <w14:schemeClr w14:val="tx1"/>
            </w14:solidFill>
          </w14:textFill>
        </w:rPr>
        <w:t>的</w:t>
      </w:r>
      <w:r>
        <w:rPr>
          <w:rFonts w:hint="eastAsia" w:ascii="华文仿宋" w:hAnsi="华文仿宋" w:eastAsia="华文仿宋"/>
          <w:color w:val="000000" w:themeColor="text1"/>
          <w:spacing w:val="0"/>
          <w:sz w:val="28"/>
          <w:szCs w:val="28"/>
          <w14:textFill>
            <w14:solidFill>
              <w14:schemeClr w14:val="tx1"/>
            </w14:solidFill>
          </w14:textFill>
        </w:rPr>
        <w:t>“以营造良好营商环境推动经济转型发展”“要改善营商环境，吸引更多投资和企业参与山西发展”“要持续在营商环境等重点改革领域攻坚克难”重要指示要求，</w:t>
      </w:r>
      <w:r>
        <w:rPr>
          <w:rFonts w:hint="eastAsia" w:ascii="华文仿宋" w:hAnsi="华文仿宋" w:eastAsia="华文仿宋"/>
          <w:color w:val="000000" w:themeColor="text1"/>
          <w:sz w:val="28"/>
          <w:szCs w:val="28"/>
          <w14:textFill>
            <w14:solidFill>
              <w14:schemeClr w14:val="tx1"/>
            </w14:solidFill>
          </w14:textFill>
        </w:rPr>
        <w:t>落实</w:t>
      </w:r>
      <w:r>
        <w:rPr>
          <w:rFonts w:hint="eastAsia" w:ascii="华文仿宋" w:hAnsi="华文仿宋" w:eastAsia="华文仿宋"/>
          <w:color w:val="000000" w:themeColor="text1"/>
          <w:sz w:val="28"/>
          <w:szCs w:val="28"/>
          <w:lang w:eastAsia="zh-CN"/>
          <w14:textFill>
            <w14:solidFill>
              <w14:schemeClr w14:val="tx1"/>
            </w14:solidFill>
          </w14:textFill>
        </w:rPr>
        <w:t>省第十二次党代会上强调的“全力创优营商环境，激发高质量发展新活力”、打造“无差别、无障碍、无后顾之忧”“可预期、可信赖、可发展”的“三无三可”营商环境建设要求，紧紧</w:t>
      </w:r>
      <w:r>
        <w:rPr>
          <w:rFonts w:hint="eastAsia" w:ascii="华文仿宋" w:hAnsi="华文仿宋" w:eastAsia="华文仿宋"/>
          <w:color w:val="000000" w:themeColor="text1"/>
          <w:sz w:val="28"/>
          <w:szCs w:val="28"/>
          <w14:textFill>
            <w14:solidFill>
              <w14:schemeClr w14:val="tx1"/>
            </w14:solidFill>
          </w14:textFill>
        </w:rPr>
        <w:t>围绕市</w:t>
      </w:r>
      <w:r>
        <w:rPr>
          <w:rFonts w:hint="eastAsia" w:ascii="华文仿宋" w:hAnsi="华文仿宋" w:eastAsia="华文仿宋"/>
          <w:color w:val="000000" w:themeColor="text1"/>
          <w:sz w:val="28"/>
          <w:szCs w:val="28"/>
          <w:lang w:eastAsia="zh-CN"/>
          <w14:textFill>
            <w14:solidFill>
              <w14:schemeClr w14:val="tx1"/>
            </w14:solidFill>
          </w14:textFill>
        </w:rPr>
        <w:t>第十三次党代会</w:t>
      </w:r>
      <w:r>
        <w:rPr>
          <w:rFonts w:hint="eastAsia"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14510</w:t>
      </w:r>
      <w:r>
        <w:rPr>
          <w:rFonts w:hint="eastAsia"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eastAsia="zh-CN"/>
          <w14:textFill>
            <w14:solidFill>
              <w14:schemeClr w14:val="tx1"/>
            </w14:solidFill>
          </w14:textFill>
        </w:rPr>
        <w:t>总体发展规划和营商环境首位战略</w:t>
      </w:r>
      <w:r>
        <w:rPr>
          <w:rFonts w:hint="eastAsia"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eastAsia="zh-CN"/>
          <w14:textFill>
            <w14:solidFill>
              <w14:schemeClr w14:val="tx1"/>
            </w14:solidFill>
          </w14:textFill>
        </w:rPr>
        <w:t>统筹全市营商环境</w:t>
      </w:r>
      <w:r>
        <w:rPr>
          <w:rFonts w:hint="eastAsia" w:ascii="华文仿宋" w:hAnsi="华文仿宋" w:eastAsia="华文仿宋" w:cstheme="minorBidi"/>
          <w:b w:val="0"/>
          <w:bCs w:val="0"/>
          <w:i w:val="0"/>
          <w:caps w:val="0"/>
          <w:color w:val="000000" w:themeColor="text1"/>
          <w:spacing w:val="0"/>
          <w:w w:val="100"/>
          <w:kern w:val="2"/>
          <w:sz w:val="28"/>
          <w:szCs w:val="28"/>
          <w:lang w:val="en-US" w:eastAsia="zh-CN" w:bidi="ar-SA"/>
          <w14:textFill>
            <w14:solidFill>
              <w14:schemeClr w14:val="tx1"/>
            </w14:solidFill>
          </w14:textFill>
        </w:rPr>
        <w:t>简政放权便利化、监管执法标准化、政务服务精细化、制度保障法治化的</w:t>
      </w:r>
      <w:r>
        <w:rPr>
          <w:rFonts w:hint="eastAsia" w:ascii="华文仿宋" w:hAnsi="华文仿宋" w:eastAsia="华文仿宋"/>
          <w:color w:val="000000" w:themeColor="text1"/>
          <w:sz w:val="28"/>
          <w:szCs w:val="28"/>
          <w:lang w:eastAsia="zh-CN"/>
          <w14:textFill>
            <w14:solidFill>
              <w14:schemeClr w14:val="tx1"/>
            </w14:solidFill>
          </w14:textFill>
        </w:rPr>
        <w:t>“四化”建设</w:t>
      </w:r>
      <w:r>
        <w:rPr>
          <w:rFonts w:hint="eastAsia" w:ascii="华文仿宋" w:hAnsi="华文仿宋" w:eastAsia="华文仿宋" w:cstheme="minorBidi"/>
          <w:b w:val="0"/>
          <w:bCs w:val="0"/>
          <w:i w:val="0"/>
          <w:caps w:val="0"/>
          <w:color w:val="000000" w:themeColor="text1"/>
          <w:spacing w:val="0"/>
          <w:w w:val="100"/>
          <w:kern w:val="2"/>
          <w:sz w:val="28"/>
          <w:szCs w:val="28"/>
          <w:lang w:val="en-US" w:eastAsia="zh-CN" w:bidi="ar-SA"/>
          <w14:textFill>
            <w14:solidFill>
              <w14:schemeClr w14:val="tx1"/>
            </w14:solidFill>
          </w14:textFill>
        </w:rPr>
        <w:t>，努力打造“泉好办”</w:t>
      </w:r>
      <w:r>
        <w:rPr>
          <w:rFonts w:hint="eastAsia" w:ascii="华文仿宋" w:hAnsi="华文仿宋" w:eastAsia="华文仿宋"/>
          <w:color w:val="000000" w:themeColor="text1"/>
          <w:sz w:val="28"/>
          <w:szCs w:val="28"/>
          <w14:textFill>
            <w14:solidFill>
              <w14:schemeClr w14:val="tx1"/>
            </w14:solidFill>
          </w14:textFill>
        </w:rPr>
        <w:t>营商环境阳泉样板，根据《山西省“十四五”“六最”营商环境建设规划》和</w:t>
      </w:r>
      <w:r>
        <w:rPr>
          <w:rFonts w:hint="eastAsia" w:ascii="华文仿宋" w:hAnsi="华文仿宋" w:eastAsia="华文仿宋"/>
          <w:iCs/>
          <w:color w:val="000000" w:themeColor="text1"/>
          <w:sz w:val="28"/>
          <w:szCs w:val="28"/>
          <w14:textFill>
            <w14:solidFill>
              <w14:schemeClr w14:val="tx1"/>
            </w14:solidFill>
          </w14:textFill>
        </w:rPr>
        <w:t>《阳泉市国民经济和社会发展第十四个五年规划纲要》精神，</w:t>
      </w:r>
      <w:r>
        <w:rPr>
          <w:rFonts w:hint="eastAsia" w:ascii="华文仿宋" w:hAnsi="华文仿宋" w:eastAsia="华文仿宋"/>
          <w:color w:val="000000" w:themeColor="text1"/>
          <w:sz w:val="28"/>
          <w:szCs w:val="28"/>
          <w14:textFill>
            <w14:solidFill>
              <w14:schemeClr w14:val="tx1"/>
            </w14:solidFill>
          </w14:textFill>
        </w:rPr>
        <w:t>制定本规划。</w:t>
      </w:r>
    </w:p>
    <w:p>
      <w:pPr>
        <w:pStyle w:val="3"/>
        <w:ind w:firstLine="560" w:firstLineChars="200"/>
        <w:jc w:val="left"/>
        <w:rPr>
          <w:rFonts w:ascii="黑体" w:hAnsi="黑体" w:eastAsia="黑体"/>
          <w:b w:val="0"/>
          <w:bCs w:val="0"/>
          <w:color w:val="000000" w:themeColor="text1"/>
          <w:sz w:val="28"/>
          <w:szCs w:val="28"/>
          <w14:textFill>
            <w14:solidFill>
              <w14:schemeClr w14:val="tx1"/>
            </w14:solidFill>
          </w14:textFill>
        </w:rPr>
      </w:pPr>
      <w:bookmarkStart w:id="2" w:name="_Toc72943016"/>
      <w:r>
        <w:rPr>
          <w:rFonts w:hint="eastAsia" w:ascii="黑体" w:hAnsi="黑体" w:eastAsia="黑体"/>
          <w:b w:val="0"/>
          <w:bCs w:val="0"/>
          <w:color w:val="000000" w:themeColor="text1"/>
          <w:sz w:val="28"/>
          <w:szCs w:val="28"/>
          <w:lang w:val="en-US" w:eastAsia="zh-CN"/>
          <w14:textFill>
            <w14:solidFill>
              <w14:schemeClr w14:val="tx1"/>
            </w14:solidFill>
          </w14:textFill>
        </w:rPr>
        <w:t>一、</w:t>
      </w:r>
      <w:r>
        <w:rPr>
          <w:rFonts w:hint="eastAsia" w:ascii="黑体" w:hAnsi="黑体" w:eastAsia="黑体"/>
          <w:b w:val="0"/>
          <w:bCs w:val="0"/>
          <w:color w:val="000000" w:themeColor="text1"/>
          <w:sz w:val="28"/>
          <w:szCs w:val="28"/>
          <w14:textFill>
            <w14:solidFill>
              <w14:schemeClr w14:val="tx1"/>
            </w14:solidFill>
          </w14:textFill>
        </w:rPr>
        <w:t>规划背景</w:t>
      </w:r>
      <w:bookmarkEnd w:id="2"/>
    </w:p>
    <w:p>
      <w:pPr>
        <w:pStyle w:val="4"/>
        <w:ind w:firstLine="280" w:firstLineChars="100"/>
        <w:jc w:val="left"/>
        <w:rPr>
          <w:rFonts w:ascii="黑体" w:hAnsi="黑体" w:eastAsia="黑体"/>
          <w:b w:val="0"/>
          <w:bCs w:val="0"/>
          <w:color w:val="000000" w:themeColor="text1"/>
          <w:szCs w:val="24"/>
          <w14:textFill>
            <w14:solidFill>
              <w14:schemeClr w14:val="tx1"/>
            </w14:solidFill>
          </w14:textFill>
        </w:rPr>
      </w:pPr>
      <w:bookmarkStart w:id="3" w:name="_Toc72943017"/>
      <w:r>
        <w:rPr>
          <w:rFonts w:hint="eastAsia" w:ascii="楷体" w:hAnsi="楷体" w:eastAsia="楷体"/>
          <w:b w:val="0"/>
          <w:bCs w:val="0"/>
          <w:color w:val="000000" w:themeColor="text1"/>
          <w:szCs w:val="24"/>
          <w:lang w:val="en-US" w:eastAsia="zh-CN"/>
          <w14:textFill>
            <w14:solidFill>
              <w14:schemeClr w14:val="tx1"/>
            </w14:solidFill>
          </w14:textFill>
        </w:rPr>
        <w:t>(一)</w:t>
      </w:r>
      <w:r>
        <w:rPr>
          <w:rFonts w:hint="eastAsia" w:ascii="楷体" w:hAnsi="楷体" w:eastAsia="楷体"/>
          <w:b w:val="0"/>
          <w:bCs w:val="0"/>
          <w:color w:val="000000" w:themeColor="text1"/>
          <w:szCs w:val="24"/>
          <w14:textFill>
            <w14:solidFill>
              <w14:schemeClr w14:val="tx1"/>
            </w14:solidFill>
          </w14:textFill>
        </w:rPr>
        <w:t>发展基础</w:t>
      </w:r>
      <w:bookmarkEnd w:id="3"/>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ascii="华文仿宋" w:hAnsi="华文仿宋" w:eastAsia="华文仿宋"/>
          <w:color w:val="000000" w:themeColor="text1"/>
          <w:sz w:val="28"/>
          <w:szCs w:val="28"/>
          <w14:textFill>
            <w14:solidFill>
              <w14:schemeClr w14:val="tx1"/>
            </w14:solidFill>
          </w14:textFill>
        </w:rPr>
        <w:t>近年来，</w:t>
      </w:r>
      <w:r>
        <w:rPr>
          <w:rFonts w:hint="eastAsia" w:ascii="华文仿宋" w:hAnsi="华文仿宋" w:eastAsia="华文仿宋"/>
          <w:color w:val="000000" w:themeColor="text1"/>
          <w:sz w:val="28"/>
          <w:szCs w:val="28"/>
          <w14:textFill>
            <w14:solidFill>
              <w14:schemeClr w14:val="tx1"/>
            </w14:solidFill>
          </w14:textFill>
        </w:rPr>
        <w:t>阳泉市</w:t>
      </w:r>
      <w:r>
        <w:rPr>
          <w:rFonts w:ascii="华文仿宋" w:hAnsi="华文仿宋" w:eastAsia="华文仿宋"/>
          <w:color w:val="000000" w:themeColor="text1"/>
          <w:sz w:val="28"/>
          <w:szCs w:val="28"/>
          <w14:textFill>
            <w14:solidFill>
              <w14:schemeClr w14:val="tx1"/>
            </w14:solidFill>
          </w14:textFill>
        </w:rPr>
        <w:t>按照党中央、国务院和省委省政府部</w:t>
      </w:r>
      <w:r>
        <w:rPr>
          <w:rFonts w:hint="eastAsia" w:ascii="华文仿宋" w:hAnsi="华文仿宋" w:eastAsia="华文仿宋"/>
          <w:color w:val="000000" w:themeColor="text1"/>
          <w:sz w:val="28"/>
          <w:szCs w:val="28"/>
          <w14:textFill>
            <w14:solidFill>
              <w14:schemeClr w14:val="tx1"/>
            </w14:solidFill>
          </w14:textFill>
        </w:rPr>
        <w:t>署要求，以深化“放管服”改革为主线，以企业投资项目承诺制改革为牵引，打出了一系列优化营商环境的“组合拳”，营商环境得到明显改善</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人民</w:t>
      </w:r>
      <w:r>
        <w:rPr>
          <w:rFonts w:ascii="华文仿宋" w:hAnsi="华文仿宋" w:eastAsia="华文仿宋"/>
          <w:color w:val="000000" w:themeColor="text1"/>
          <w:sz w:val="28"/>
          <w:szCs w:val="28"/>
          <w14:textFill>
            <w14:solidFill>
              <w14:schemeClr w14:val="tx1"/>
            </w14:solidFill>
          </w14:textFill>
        </w:rPr>
        <w:t>群众</w:t>
      </w:r>
      <w:r>
        <w:rPr>
          <w:rFonts w:hint="eastAsia" w:ascii="华文仿宋" w:hAnsi="华文仿宋" w:eastAsia="华文仿宋"/>
          <w:color w:val="000000" w:themeColor="text1"/>
          <w:sz w:val="28"/>
          <w:szCs w:val="28"/>
          <w14:textFill>
            <w14:solidFill>
              <w14:schemeClr w14:val="tx1"/>
            </w14:solidFill>
          </w14:textFill>
        </w:rPr>
        <w:t>和市场主体</w:t>
      </w:r>
      <w:r>
        <w:rPr>
          <w:rFonts w:ascii="华文仿宋" w:hAnsi="华文仿宋" w:eastAsia="华文仿宋"/>
          <w:color w:val="000000" w:themeColor="text1"/>
          <w:sz w:val="28"/>
          <w:szCs w:val="28"/>
          <w14:textFill>
            <w14:solidFill>
              <w14:schemeClr w14:val="tx1"/>
            </w14:solidFill>
          </w14:textFill>
        </w:rPr>
        <w:t>的获得感和满意度</w:t>
      </w:r>
      <w:r>
        <w:rPr>
          <w:rFonts w:hint="eastAsia" w:ascii="华文仿宋" w:hAnsi="华文仿宋" w:eastAsia="华文仿宋"/>
          <w:color w:val="000000" w:themeColor="text1"/>
          <w:sz w:val="28"/>
          <w:szCs w:val="28"/>
          <w14:textFill>
            <w14:solidFill>
              <w14:schemeClr w14:val="tx1"/>
            </w14:solidFill>
          </w14:textFill>
        </w:rPr>
        <w:t>得到明显</w:t>
      </w:r>
      <w:r>
        <w:rPr>
          <w:rFonts w:ascii="华文仿宋" w:hAnsi="华文仿宋" w:eastAsia="华文仿宋"/>
          <w:color w:val="000000" w:themeColor="text1"/>
          <w:sz w:val="28"/>
          <w:szCs w:val="28"/>
          <w14:textFill>
            <w14:solidFill>
              <w14:schemeClr w14:val="tx1"/>
            </w14:solidFill>
          </w14:textFill>
        </w:rPr>
        <w:t>提升。</w:t>
      </w:r>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——制度体系更加完善。“十三五”以来，市委、市政府把优化营商环境作为推动经济高质量发展的重要抓手，相继出台了《</w:t>
      </w:r>
      <w:bookmarkStart w:id="4" w:name="_Hlk56763488"/>
      <w:r>
        <w:rPr>
          <w:rFonts w:hint="eastAsia" w:ascii="华文仿宋" w:hAnsi="华文仿宋" w:eastAsia="华文仿宋"/>
          <w:color w:val="000000" w:themeColor="text1"/>
          <w:sz w:val="28"/>
          <w:szCs w:val="28"/>
          <w14:textFill>
            <w14:solidFill>
              <w14:schemeClr w14:val="tx1"/>
            </w14:solidFill>
          </w14:textFill>
        </w:rPr>
        <w:t>阳泉市以数字政府建设为牵引进一步优化</w:t>
      </w:r>
      <w:bookmarkStart w:id="5" w:name="_Hlk60237769"/>
      <w:r>
        <w:rPr>
          <w:rFonts w:hint="eastAsia" w:ascii="华文仿宋" w:hAnsi="华文仿宋" w:eastAsia="华文仿宋"/>
          <w:color w:val="000000" w:themeColor="text1"/>
          <w:sz w:val="28"/>
          <w:szCs w:val="28"/>
          <w14:textFill>
            <w14:solidFill>
              <w14:schemeClr w14:val="tx1"/>
            </w14:solidFill>
          </w14:textFill>
        </w:rPr>
        <w:t>营商环境</w:t>
      </w:r>
      <w:bookmarkEnd w:id="5"/>
      <w:r>
        <w:rPr>
          <w:rFonts w:hint="eastAsia" w:ascii="华文仿宋" w:hAnsi="华文仿宋" w:eastAsia="华文仿宋"/>
          <w:color w:val="000000" w:themeColor="text1"/>
          <w:sz w:val="28"/>
          <w:szCs w:val="28"/>
          <w14:textFill>
            <w14:solidFill>
              <w14:schemeClr w14:val="tx1"/>
            </w14:solidFill>
          </w14:textFill>
        </w:rPr>
        <w:t>行动方案</w:t>
      </w:r>
      <w:bookmarkEnd w:id="4"/>
      <w:r>
        <w:rPr>
          <w:rFonts w:hint="eastAsia" w:ascii="华文仿宋" w:hAnsi="华文仿宋" w:eastAsia="华文仿宋"/>
          <w:color w:val="000000" w:themeColor="text1"/>
          <w:sz w:val="28"/>
          <w:szCs w:val="28"/>
          <w14:textFill>
            <w14:solidFill>
              <w14:schemeClr w14:val="tx1"/>
            </w14:solidFill>
          </w14:textFill>
        </w:rPr>
        <w:t>》</w:t>
      </w:r>
      <w:bookmarkStart w:id="6" w:name="_Hlk56763580"/>
      <w:r>
        <w:rPr>
          <w:rFonts w:ascii="华文仿宋" w:hAnsi="华文仿宋" w:eastAsia="华文仿宋"/>
          <w:color w:val="000000" w:themeColor="text1"/>
          <w:sz w:val="28"/>
          <w:szCs w:val="28"/>
          <w14:textFill>
            <w14:solidFill>
              <w14:schemeClr w14:val="tx1"/>
            </w14:solidFill>
          </w14:textFill>
        </w:rPr>
        <w:t>《阳泉市相对集中行政许可权改革工作方案》</w:t>
      </w:r>
      <w:bookmarkEnd w:id="6"/>
      <w:bookmarkStart w:id="7" w:name="_Hlk56763608"/>
      <w:r>
        <w:rPr>
          <w:rFonts w:ascii="华文仿宋" w:hAnsi="华文仿宋" w:eastAsia="华文仿宋"/>
          <w:color w:val="000000" w:themeColor="text1"/>
          <w:sz w:val="28"/>
          <w:szCs w:val="28"/>
          <w14:textFill>
            <w14:solidFill>
              <w14:schemeClr w14:val="tx1"/>
            </w14:solidFill>
          </w14:textFill>
        </w:rPr>
        <w:t>《阳泉市2020年深化“放管服效”改革优化营商环境工作要点》和《市政府授予阳泉经济技术开发区管委会行政权力事项清单》</w:t>
      </w:r>
      <w:bookmarkEnd w:id="7"/>
      <w:r>
        <w:rPr>
          <w:rFonts w:ascii="华文仿宋" w:hAnsi="华文仿宋" w:eastAsia="华文仿宋"/>
          <w:color w:val="000000" w:themeColor="text1"/>
          <w:sz w:val="28"/>
          <w:szCs w:val="28"/>
          <w14:textFill>
            <w14:solidFill>
              <w14:schemeClr w14:val="tx1"/>
            </w14:solidFill>
          </w14:textFill>
        </w:rPr>
        <w:t>等一系列</w:t>
      </w:r>
      <w:r>
        <w:rPr>
          <w:rFonts w:hint="eastAsia" w:ascii="华文仿宋" w:hAnsi="华文仿宋" w:eastAsia="华文仿宋"/>
          <w:color w:val="000000" w:themeColor="text1"/>
          <w:sz w:val="28"/>
          <w:szCs w:val="28"/>
          <w14:textFill>
            <w14:solidFill>
              <w14:schemeClr w14:val="tx1"/>
            </w14:solidFill>
          </w14:textFill>
        </w:rPr>
        <w:t>指导</w:t>
      </w:r>
      <w:r>
        <w:rPr>
          <w:rFonts w:ascii="华文仿宋" w:hAnsi="华文仿宋" w:eastAsia="华文仿宋"/>
          <w:color w:val="000000" w:themeColor="text1"/>
          <w:sz w:val="28"/>
          <w:szCs w:val="28"/>
          <w14:textFill>
            <w14:solidFill>
              <w14:schemeClr w14:val="tx1"/>
            </w14:solidFill>
          </w14:textFill>
        </w:rPr>
        <w:t>措施</w:t>
      </w:r>
      <w:r>
        <w:rPr>
          <w:rFonts w:hint="eastAsia" w:ascii="华文仿宋" w:hAnsi="华文仿宋" w:eastAsia="华文仿宋"/>
          <w:color w:val="000000" w:themeColor="text1"/>
          <w:sz w:val="28"/>
          <w:szCs w:val="28"/>
          <w14:textFill>
            <w14:solidFill>
              <w14:schemeClr w14:val="tx1"/>
            </w14:solidFill>
          </w14:textFill>
        </w:rPr>
        <w:t>，先后制定</w:t>
      </w:r>
      <w:r>
        <w:rPr>
          <w:rFonts w:ascii="华文仿宋" w:hAnsi="华文仿宋" w:eastAsia="华文仿宋"/>
          <w:color w:val="000000" w:themeColor="text1"/>
          <w:sz w:val="28"/>
          <w:szCs w:val="28"/>
          <w14:textFill>
            <w14:solidFill>
              <w14:schemeClr w14:val="tx1"/>
            </w14:solidFill>
          </w14:textFill>
        </w:rPr>
        <w:t>8项制度</w:t>
      </w:r>
      <w:r>
        <w:rPr>
          <w:rFonts w:hint="eastAsia" w:ascii="华文仿宋" w:hAnsi="华文仿宋" w:eastAsia="华文仿宋"/>
          <w:color w:val="000000" w:themeColor="text1"/>
          <w:sz w:val="28"/>
          <w:szCs w:val="28"/>
          <w14:textFill>
            <w14:solidFill>
              <w14:schemeClr w14:val="tx1"/>
            </w14:solidFill>
          </w14:textFill>
        </w:rPr>
        <w:t>及</w:t>
      </w:r>
      <w:r>
        <w:rPr>
          <w:rFonts w:ascii="华文仿宋" w:hAnsi="华文仿宋" w:eastAsia="华文仿宋"/>
          <w:color w:val="000000" w:themeColor="text1"/>
          <w:sz w:val="28"/>
          <w:szCs w:val="28"/>
          <w14:textFill>
            <w14:solidFill>
              <w14:schemeClr w14:val="tx1"/>
            </w14:solidFill>
          </w14:textFill>
        </w:rPr>
        <w:t>一系列</w:t>
      </w:r>
      <w:r>
        <w:rPr>
          <w:rFonts w:hint="eastAsia" w:ascii="华文仿宋" w:hAnsi="华文仿宋" w:eastAsia="华文仿宋"/>
          <w:color w:val="000000" w:themeColor="text1"/>
          <w:sz w:val="28"/>
          <w:szCs w:val="28"/>
          <w14:textFill>
            <w14:solidFill>
              <w14:schemeClr w14:val="tx1"/>
            </w14:solidFill>
          </w14:textFill>
        </w:rPr>
        <w:t>工作</w:t>
      </w:r>
      <w:r>
        <w:rPr>
          <w:rFonts w:ascii="华文仿宋" w:hAnsi="华文仿宋" w:eastAsia="华文仿宋"/>
          <w:color w:val="000000" w:themeColor="text1"/>
          <w:sz w:val="28"/>
          <w:szCs w:val="28"/>
          <w14:textFill>
            <w14:solidFill>
              <w14:schemeClr w14:val="tx1"/>
            </w14:solidFill>
          </w14:textFill>
        </w:rPr>
        <w:t>规范</w:t>
      </w:r>
      <w:r>
        <w:rPr>
          <w:rFonts w:hint="eastAsia" w:ascii="华文仿宋" w:hAnsi="华文仿宋" w:eastAsia="华文仿宋"/>
          <w:color w:val="000000" w:themeColor="text1"/>
          <w:sz w:val="28"/>
          <w:szCs w:val="28"/>
          <w14:textFill>
            <w14:solidFill>
              <w14:schemeClr w14:val="tx1"/>
            </w14:solidFill>
          </w14:textFill>
        </w:rPr>
        <w:t>，不断把优化营商环境工作引向深入</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并</w:t>
      </w:r>
      <w:r>
        <w:rPr>
          <w:rFonts w:ascii="华文仿宋" w:hAnsi="华文仿宋" w:eastAsia="华文仿宋"/>
          <w:color w:val="000000" w:themeColor="text1"/>
          <w:sz w:val="28"/>
          <w:szCs w:val="28"/>
          <w14:textFill>
            <w14:solidFill>
              <w14:schemeClr w14:val="tx1"/>
            </w14:solidFill>
          </w14:textFill>
        </w:rPr>
        <w:t>把优化营商环境列入年度目标责任考核，通过专项督办、重点督办、“13710”督办，推动</w:t>
      </w:r>
      <w:r>
        <w:rPr>
          <w:rFonts w:hint="eastAsia" w:ascii="华文仿宋" w:hAnsi="华文仿宋" w:eastAsia="华文仿宋"/>
          <w:color w:val="000000" w:themeColor="text1"/>
          <w:sz w:val="28"/>
          <w:szCs w:val="28"/>
          <w14:textFill>
            <w14:solidFill>
              <w14:schemeClr w14:val="tx1"/>
            </w14:solidFill>
          </w14:textFill>
        </w:rPr>
        <w:t>各项</w:t>
      </w:r>
      <w:r>
        <w:rPr>
          <w:rFonts w:ascii="华文仿宋" w:hAnsi="华文仿宋" w:eastAsia="华文仿宋"/>
          <w:color w:val="000000" w:themeColor="text1"/>
          <w:sz w:val="28"/>
          <w:szCs w:val="28"/>
          <w14:textFill>
            <w14:solidFill>
              <w14:schemeClr w14:val="tx1"/>
            </w14:solidFill>
          </w14:textFill>
        </w:rPr>
        <w:t>政策</w:t>
      </w:r>
      <w:r>
        <w:rPr>
          <w:rFonts w:hint="eastAsia" w:ascii="华文仿宋" w:hAnsi="华文仿宋" w:eastAsia="华文仿宋"/>
          <w:color w:val="000000" w:themeColor="text1"/>
          <w:sz w:val="28"/>
          <w:szCs w:val="28"/>
          <w14:textFill>
            <w14:solidFill>
              <w14:schemeClr w14:val="tx1"/>
            </w14:solidFill>
          </w14:textFill>
        </w:rPr>
        <w:t>和制度措施</w:t>
      </w:r>
      <w:r>
        <w:rPr>
          <w:rFonts w:ascii="华文仿宋" w:hAnsi="华文仿宋" w:eastAsia="华文仿宋"/>
          <w:color w:val="000000" w:themeColor="text1"/>
          <w:sz w:val="28"/>
          <w:szCs w:val="28"/>
          <w14:textFill>
            <w14:solidFill>
              <w14:schemeClr w14:val="tx1"/>
            </w14:solidFill>
          </w14:textFill>
        </w:rPr>
        <w:t>落地见效。</w:t>
      </w:r>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——简政放权更加到位。进一步压缩审批项目，</w:t>
      </w:r>
      <w:r>
        <w:rPr>
          <w:rFonts w:ascii="华文仿宋" w:hAnsi="华文仿宋" w:eastAsia="华文仿宋"/>
          <w:color w:val="000000" w:themeColor="text1"/>
          <w:sz w:val="28"/>
          <w:szCs w:val="28"/>
          <w14:textFill>
            <w14:solidFill>
              <w14:schemeClr w14:val="tx1"/>
            </w14:solidFill>
          </w14:textFill>
        </w:rPr>
        <w:t>市场主体登记前置、后置审批事项，分别削减至32项和188项。</w:t>
      </w:r>
      <w:r>
        <w:rPr>
          <w:rFonts w:hint="eastAsia" w:ascii="华文仿宋" w:hAnsi="华文仿宋" w:eastAsia="华文仿宋"/>
          <w:color w:val="000000" w:themeColor="text1"/>
          <w:sz w:val="28"/>
          <w:szCs w:val="28"/>
          <w14:textFill>
            <w14:solidFill>
              <w14:schemeClr w14:val="tx1"/>
            </w14:solidFill>
          </w14:textFill>
        </w:rPr>
        <w:t>优化工程建设项目审批，合并关联事项，将</w:t>
      </w:r>
      <w:r>
        <w:rPr>
          <w:rFonts w:ascii="华文仿宋" w:hAnsi="华文仿宋" w:eastAsia="华文仿宋"/>
          <w:color w:val="000000" w:themeColor="text1"/>
          <w:sz w:val="28"/>
          <w:szCs w:val="28"/>
          <w14:textFill>
            <w14:solidFill>
              <w14:schemeClr w14:val="tx1"/>
            </w14:solidFill>
          </w14:textFill>
        </w:rPr>
        <w:t>8个事项合并为3项，保留37个审批事项</w:t>
      </w:r>
      <w:r>
        <w:rPr>
          <w:rFonts w:hint="eastAsia" w:ascii="华文仿宋" w:hAnsi="华文仿宋" w:eastAsia="华文仿宋"/>
          <w:color w:val="000000" w:themeColor="text1"/>
          <w:sz w:val="28"/>
          <w:szCs w:val="28"/>
          <w14:textFill>
            <w14:solidFill>
              <w14:schemeClr w14:val="tx1"/>
            </w14:solidFill>
          </w14:textFill>
        </w:rPr>
        <w:t>；实行并行办理，将人防、消防、环评、水利等辅线审批事项，并入用地规划许可阶段并行办理，</w:t>
      </w:r>
      <w:r>
        <w:rPr>
          <w:rFonts w:ascii="华文仿宋" w:hAnsi="华文仿宋" w:eastAsia="华文仿宋"/>
          <w:color w:val="000000" w:themeColor="text1"/>
          <w:sz w:val="28"/>
          <w:szCs w:val="28"/>
          <w14:textFill>
            <w14:solidFill>
              <w14:schemeClr w14:val="tx1"/>
            </w14:solidFill>
          </w14:textFill>
        </w:rPr>
        <w:t>将水电气暖报装和5G通信建设纳入工程建设项目审批流程，提高了办事效率</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压减申报材料，通过“共享复用”“合并取消”，申报材料件次减少35.5%</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压缩审批时限</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工程建设项目手续办理，审批类由97天压减为79天（</w:t>
      </w:r>
      <w:r>
        <w:rPr>
          <w:rFonts w:ascii="楷体" w:hAnsi="楷体" w:eastAsia="楷体"/>
          <w:color w:val="000000" w:themeColor="text1"/>
          <w:sz w:val="28"/>
          <w:szCs w:val="28"/>
          <w14:textFill>
            <w14:solidFill>
              <w14:schemeClr w14:val="tx1"/>
            </w14:solidFill>
          </w14:textFill>
        </w:rPr>
        <w:t>工作日，下同</w:t>
      </w:r>
      <w:r>
        <w:rPr>
          <w:rFonts w:ascii="华文仿宋" w:hAnsi="华文仿宋" w:eastAsia="华文仿宋"/>
          <w:color w:val="000000" w:themeColor="text1"/>
          <w:sz w:val="28"/>
          <w:szCs w:val="28"/>
          <w14:textFill>
            <w14:solidFill>
              <w14:schemeClr w14:val="tx1"/>
            </w14:solidFill>
          </w14:textFill>
        </w:rPr>
        <w:t>）、核准类由92天压减为71天、备案类由88天压减为65天</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一般性工业项目审批34天完成</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推进线上审批，实现政务服务平台、投资项目在线监管平台、工程</w:t>
      </w:r>
      <w:r>
        <w:rPr>
          <w:rFonts w:hint="eastAsia" w:ascii="华文仿宋" w:hAnsi="华文仿宋" w:eastAsia="华文仿宋"/>
          <w:color w:val="000000" w:themeColor="text1"/>
          <w:sz w:val="28"/>
          <w:szCs w:val="28"/>
          <w14:textFill>
            <w14:solidFill>
              <w14:schemeClr w14:val="tx1"/>
            </w14:solidFill>
          </w14:textFill>
        </w:rPr>
        <w:t>项目审批系统“三网融合”，工程项目线上审批网办率达到</w:t>
      </w:r>
      <w:r>
        <w:rPr>
          <w:rFonts w:ascii="华文仿宋" w:hAnsi="华文仿宋" w:eastAsia="华文仿宋"/>
          <w:color w:val="000000" w:themeColor="text1"/>
          <w:sz w:val="28"/>
          <w:szCs w:val="28"/>
          <w14:textFill>
            <w14:solidFill>
              <w14:schemeClr w14:val="tx1"/>
            </w14:solidFill>
          </w14:textFill>
        </w:rPr>
        <w:t>71%。优化企业开办登记流程</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全面推行企业开办“三合一、一日办”审批模式</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企业登记实现全流程网上办理，新开办企业营业执照办理、全套印章刻制、发票和税控盘申领，实现“三合一”一次办结，实现全流程</w:t>
      </w:r>
      <w:r>
        <w:rPr>
          <w:rFonts w:hint="eastAsia" w:ascii="华文仿宋" w:hAnsi="华文仿宋" w:eastAsia="华文仿宋"/>
          <w:color w:val="000000" w:themeColor="text1"/>
          <w:sz w:val="28"/>
          <w:szCs w:val="28"/>
          <w14:textFill>
            <w14:solidFill>
              <w14:schemeClr w14:val="tx1"/>
            </w14:solidFill>
          </w14:textFill>
        </w:rPr>
        <w:t>1</w:t>
      </w:r>
      <w:r>
        <w:rPr>
          <w:rFonts w:ascii="华文仿宋" w:hAnsi="华文仿宋" w:eastAsia="华文仿宋"/>
          <w:color w:val="000000" w:themeColor="text1"/>
          <w:sz w:val="28"/>
          <w:szCs w:val="28"/>
          <w14:textFill>
            <w14:solidFill>
              <w14:schemeClr w14:val="tx1"/>
            </w14:solidFill>
          </w14:textFill>
        </w:rPr>
        <w:t>个工作日办结</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80%新开办企业申领营业执照实现当日办结或立等可取</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全市新企业设立登记网办率达到100%，全程电子化登记率达到85.14%。</w:t>
      </w:r>
      <w:r>
        <w:rPr>
          <w:rFonts w:hint="eastAsia" w:ascii="华文仿宋" w:hAnsi="华文仿宋" w:eastAsia="华文仿宋"/>
          <w:color w:val="000000" w:themeColor="text1"/>
          <w:sz w:val="28"/>
          <w:szCs w:val="28"/>
          <w14:textFill>
            <w14:solidFill>
              <w14:schemeClr w14:val="tx1"/>
            </w14:solidFill>
          </w14:textFill>
        </w:rPr>
        <w:t>优化</w:t>
      </w:r>
      <w:r>
        <w:rPr>
          <w:rFonts w:ascii="华文仿宋" w:hAnsi="华文仿宋" w:eastAsia="华文仿宋"/>
          <w:color w:val="000000" w:themeColor="text1"/>
          <w:sz w:val="28"/>
          <w:szCs w:val="28"/>
          <w14:textFill>
            <w14:solidFill>
              <w14:schemeClr w14:val="tx1"/>
            </w14:solidFill>
          </w14:textFill>
        </w:rPr>
        <w:t>不动产登记</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实行“平行受理、平行审核、平行登簿”，办理时限大幅压缩，实现非批量转移登记3个工作日以内，其他登记3个工作日办结</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抵押登记在6个小时内办结</w:t>
      </w:r>
      <w:r>
        <w:rPr>
          <w:rFonts w:hint="eastAsia" w:ascii="华文仿宋" w:hAnsi="华文仿宋" w:eastAsia="华文仿宋"/>
          <w:color w:val="000000" w:themeColor="text1"/>
          <w:sz w:val="28"/>
          <w:szCs w:val="28"/>
          <w14:textFill>
            <w14:solidFill>
              <w14:schemeClr w14:val="tx1"/>
            </w14:solidFill>
          </w14:textFill>
        </w:rPr>
        <w:t>，我市</w:t>
      </w:r>
      <w:r>
        <w:rPr>
          <w:rFonts w:ascii="华文仿宋" w:hAnsi="华文仿宋" w:eastAsia="华文仿宋"/>
          <w:color w:val="000000" w:themeColor="text1"/>
          <w:sz w:val="28"/>
          <w:szCs w:val="28"/>
          <w14:textFill>
            <w14:solidFill>
              <w14:schemeClr w14:val="tx1"/>
            </w14:solidFill>
          </w14:textFill>
        </w:rPr>
        <w:t>落实不</w:t>
      </w:r>
      <w:r>
        <w:rPr>
          <w:rFonts w:hint="eastAsia" w:ascii="华文仿宋" w:hAnsi="华文仿宋" w:eastAsia="华文仿宋"/>
          <w:color w:val="000000" w:themeColor="text1"/>
          <w:sz w:val="28"/>
          <w:szCs w:val="28"/>
          <w14:textFill>
            <w14:solidFill>
              <w14:schemeClr w14:val="tx1"/>
            </w14:solidFill>
          </w14:textFill>
        </w:rPr>
        <w:t>动产登记压缩办理时间工作处于全省前列</w:t>
      </w:r>
      <w:r>
        <w:rPr>
          <w:rFonts w:ascii="华文仿宋" w:hAnsi="华文仿宋" w:eastAsia="华文仿宋"/>
          <w:color w:val="000000" w:themeColor="text1"/>
          <w:sz w:val="28"/>
          <w:szCs w:val="28"/>
          <w14:textFill>
            <w14:solidFill>
              <w14:schemeClr w14:val="tx1"/>
            </w14:solidFill>
          </w14:textFill>
        </w:rPr>
        <w:t>，受到省自然资源厅</w:t>
      </w:r>
      <w:r>
        <w:rPr>
          <w:rFonts w:hint="eastAsia" w:ascii="华文仿宋" w:hAnsi="华文仿宋" w:eastAsia="华文仿宋"/>
          <w:color w:val="000000" w:themeColor="text1"/>
          <w:sz w:val="28"/>
          <w:szCs w:val="28"/>
          <w:lang w:val="en-US" w:eastAsia="zh-CN"/>
          <w14:textFill>
            <w14:solidFill>
              <w14:schemeClr w14:val="tx1"/>
            </w14:solidFill>
          </w14:textFill>
        </w:rPr>
        <w:t>肯定</w:t>
      </w:r>
      <w:r>
        <w:rPr>
          <w:rFonts w:ascii="华文仿宋" w:hAnsi="华文仿宋" w:eastAsia="华文仿宋"/>
          <w:color w:val="000000" w:themeColor="text1"/>
          <w:sz w:val="28"/>
          <w:szCs w:val="28"/>
          <w14:textFill>
            <w14:solidFill>
              <w14:schemeClr w14:val="tx1"/>
            </w14:solidFill>
          </w14:textFill>
        </w:rPr>
        <w:t>。</w:t>
      </w:r>
    </w:p>
    <w:p>
      <w:pPr>
        <w:ind w:firstLine="560" w:firstLineChars="200"/>
        <w:rPr>
          <w:rFonts w:ascii="华文仿宋" w:hAnsi="华文仿宋" w:eastAsia="华文仿宋"/>
          <w:color w:val="000000" w:themeColor="text1"/>
          <w:sz w:val="28"/>
          <w:szCs w:val="28"/>
          <w14:textFill>
            <w14:solidFill>
              <w14:schemeClr w14:val="tx1"/>
            </w14:solidFill>
          </w14:textFill>
        </w:rPr>
      </w:pPr>
      <w:bookmarkStart w:id="8" w:name="_Hlk60649388"/>
      <w:r>
        <w:rPr>
          <w:rFonts w:hint="eastAsia" w:ascii="华文仿宋" w:hAnsi="华文仿宋" w:eastAsia="华文仿宋"/>
          <w:color w:val="000000" w:themeColor="text1"/>
          <w:sz w:val="28"/>
          <w:szCs w:val="28"/>
          <w14:textFill>
            <w14:solidFill>
              <w14:schemeClr w14:val="tx1"/>
            </w14:solidFill>
          </w14:textFill>
        </w:rPr>
        <w:t>——政务服务更加便利。</w:t>
      </w:r>
      <w:bookmarkEnd w:id="8"/>
      <w:r>
        <w:rPr>
          <w:rFonts w:hint="eastAsia" w:ascii="华文仿宋" w:hAnsi="华文仿宋" w:eastAsia="华文仿宋"/>
          <w:color w:val="000000" w:themeColor="text1"/>
          <w:sz w:val="28"/>
          <w:szCs w:val="28"/>
          <w14:textFill>
            <w14:solidFill>
              <w14:schemeClr w14:val="tx1"/>
            </w14:solidFill>
          </w14:textFill>
        </w:rPr>
        <w:t>“一网一门一次”改革全面深化，</w:t>
      </w:r>
      <w:r>
        <w:rPr>
          <w:rFonts w:ascii="华文仿宋" w:hAnsi="华文仿宋" w:eastAsia="华文仿宋"/>
          <w:color w:val="000000" w:themeColor="text1"/>
          <w:sz w:val="28"/>
          <w:szCs w:val="28"/>
          <w14:textFill>
            <w14:solidFill>
              <w14:schemeClr w14:val="tx1"/>
            </w14:solidFill>
          </w14:textFill>
        </w:rPr>
        <w:t>初步形成审批服务、公共服务、便民服务“三位一体”和“只进一扇门”格局</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“马上办、网上办、就近办、一次办”事项569项，其中，110个高频事项实现“最多跑一次”。水电气</w:t>
      </w:r>
      <w:r>
        <w:rPr>
          <w:rFonts w:hint="eastAsia" w:ascii="华文仿宋" w:hAnsi="华文仿宋" w:eastAsia="华文仿宋"/>
          <w:color w:val="000000" w:themeColor="text1"/>
          <w:sz w:val="28"/>
          <w:szCs w:val="28"/>
          <w14:textFill>
            <w14:solidFill>
              <w14:schemeClr w14:val="tx1"/>
            </w14:solidFill>
          </w14:textFill>
        </w:rPr>
        <w:t>报装服务与不动产登记联动办理，实行“一站办结”。</w:t>
      </w:r>
      <w:r>
        <w:rPr>
          <w:rFonts w:ascii="华文仿宋" w:hAnsi="华文仿宋" w:eastAsia="华文仿宋"/>
          <w:color w:val="000000" w:themeColor="text1"/>
          <w:sz w:val="28"/>
          <w:szCs w:val="28"/>
          <w14:textFill>
            <w14:solidFill>
              <w14:schemeClr w14:val="tx1"/>
            </w14:solidFill>
          </w14:textFill>
        </w:rPr>
        <w:t>打造“一件事”集成服务套餐工作品牌</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编制“一件事”集成服</w:t>
      </w:r>
      <w:r>
        <w:rPr>
          <w:rFonts w:hint="eastAsia" w:ascii="华文仿宋" w:hAnsi="华文仿宋" w:eastAsia="华文仿宋"/>
          <w:color w:val="000000" w:themeColor="text1"/>
          <w:sz w:val="28"/>
          <w:szCs w:val="28"/>
          <w14:textFill>
            <w14:solidFill>
              <w14:schemeClr w14:val="tx1"/>
            </w14:solidFill>
          </w14:textFill>
        </w:rPr>
        <w:t>务套餐，</w:t>
      </w:r>
      <w:r>
        <w:rPr>
          <w:rFonts w:ascii="华文仿宋" w:hAnsi="华文仿宋" w:eastAsia="华文仿宋"/>
          <w:color w:val="000000" w:themeColor="text1"/>
          <w:sz w:val="28"/>
          <w:szCs w:val="28"/>
          <w14:textFill>
            <w14:solidFill>
              <w14:schemeClr w14:val="tx1"/>
            </w14:solidFill>
          </w14:textFill>
        </w:rPr>
        <w:t>梳理出</w:t>
      </w:r>
      <w:r>
        <w:rPr>
          <w:rFonts w:hint="eastAsia" w:ascii="华文仿宋" w:hAnsi="华文仿宋" w:eastAsia="华文仿宋"/>
          <w:color w:val="000000" w:themeColor="text1"/>
          <w:sz w:val="28"/>
          <w:szCs w:val="28"/>
          <w14:textFill>
            <w14:solidFill>
              <w14:schemeClr w14:val="tx1"/>
            </w14:solidFill>
          </w14:textFill>
        </w:rPr>
        <w:t>35</w:t>
      </w:r>
      <w:r>
        <w:rPr>
          <w:rFonts w:ascii="华文仿宋" w:hAnsi="华文仿宋" w:eastAsia="华文仿宋"/>
          <w:color w:val="000000" w:themeColor="text1"/>
          <w:sz w:val="28"/>
          <w:szCs w:val="28"/>
          <w14:textFill>
            <w14:solidFill>
              <w14:schemeClr w14:val="tx1"/>
            </w14:solidFill>
          </w14:textFill>
        </w:rPr>
        <w:t>项主题式、场景式集成套餐服务</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大幅压减申报材料</w:t>
      </w:r>
      <w:r>
        <w:rPr>
          <w:rFonts w:hint="eastAsia" w:ascii="华文仿宋" w:hAnsi="华文仿宋" w:eastAsia="华文仿宋"/>
          <w:color w:val="000000" w:themeColor="text1"/>
          <w:sz w:val="28"/>
          <w:szCs w:val="28"/>
          <w14:textFill>
            <w14:solidFill>
              <w14:schemeClr w14:val="tx1"/>
            </w14:solidFill>
          </w14:textFill>
        </w:rPr>
        <w:t>和</w:t>
      </w:r>
      <w:r>
        <w:rPr>
          <w:rFonts w:ascii="华文仿宋" w:hAnsi="华文仿宋" w:eastAsia="华文仿宋"/>
          <w:color w:val="000000" w:themeColor="text1"/>
          <w:sz w:val="28"/>
          <w:szCs w:val="28"/>
          <w14:textFill>
            <w14:solidFill>
              <w14:schemeClr w14:val="tx1"/>
            </w14:solidFill>
          </w14:textFill>
        </w:rPr>
        <w:t>办理时限。改进服务方式，积极推行告知承诺、容缺受理，实行“一次性告知”</w:t>
      </w:r>
      <w:r>
        <w:rPr>
          <w:rFonts w:hint="eastAsia" w:ascii="华文仿宋" w:hAnsi="华文仿宋" w:eastAsia="华文仿宋"/>
          <w:color w:val="000000" w:themeColor="text1"/>
          <w:sz w:val="28"/>
          <w:szCs w:val="28"/>
          <w14:textFill>
            <w14:solidFill>
              <w14:schemeClr w14:val="tx1"/>
            </w14:solidFill>
          </w14:textFill>
        </w:rPr>
        <w:t>，提供</w:t>
      </w:r>
      <w:r>
        <w:rPr>
          <w:rFonts w:ascii="华文仿宋" w:hAnsi="华文仿宋" w:eastAsia="华文仿宋"/>
          <w:color w:val="000000" w:themeColor="text1"/>
          <w:sz w:val="28"/>
          <w:szCs w:val="28"/>
          <w14:textFill>
            <w14:solidFill>
              <w14:schemeClr w14:val="tx1"/>
            </w14:solidFill>
          </w14:textFill>
        </w:rPr>
        <w:t>全程帮办服务</w:t>
      </w:r>
      <w:r>
        <w:rPr>
          <w:rFonts w:hint="eastAsia" w:ascii="华文仿宋" w:hAnsi="华文仿宋" w:eastAsia="华文仿宋"/>
          <w:color w:val="000000" w:themeColor="text1"/>
          <w:sz w:val="28"/>
          <w:szCs w:val="28"/>
          <w14:textFill>
            <w14:solidFill>
              <w14:schemeClr w14:val="tx1"/>
            </w14:solidFill>
          </w14:textFill>
        </w:rPr>
        <w:t>。“减证便民”、整治规范涉审中介服务、减税降费等便民利企措施不断推进，企业和群众获得感明显提升。</w:t>
      </w:r>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——重点改革更加深入。“</w:t>
      </w:r>
      <w:r>
        <w:rPr>
          <w:rFonts w:ascii="华文仿宋" w:hAnsi="华文仿宋" w:eastAsia="华文仿宋"/>
          <w:color w:val="000000" w:themeColor="text1"/>
          <w:sz w:val="28"/>
          <w:szCs w:val="28"/>
          <w14:textFill>
            <w14:solidFill>
              <w14:schemeClr w14:val="tx1"/>
            </w14:solidFill>
          </w14:textFill>
        </w:rPr>
        <w:t>一枚印章管审批</w:t>
      </w:r>
      <w:r>
        <w:rPr>
          <w:rFonts w:hint="eastAsia" w:ascii="华文仿宋" w:hAnsi="华文仿宋" w:eastAsia="华文仿宋"/>
          <w:color w:val="000000" w:themeColor="text1"/>
          <w:sz w:val="28"/>
          <w:szCs w:val="28"/>
          <w14:textFill>
            <w14:solidFill>
              <w14:schemeClr w14:val="tx1"/>
            </w14:solidFill>
          </w14:textFill>
        </w:rPr>
        <w:t>”初见成效，</w:t>
      </w:r>
      <w:r>
        <w:rPr>
          <w:rFonts w:ascii="华文仿宋" w:hAnsi="华文仿宋" w:eastAsia="华文仿宋"/>
          <w:color w:val="000000" w:themeColor="text1"/>
          <w:sz w:val="28"/>
          <w:szCs w:val="28"/>
          <w14:textFill>
            <w14:solidFill>
              <w14:schemeClr w14:val="tx1"/>
            </w14:solidFill>
          </w14:textFill>
        </w:rPr>
        <w:t>在政务大厅设立了社会民生、商事登记、项目审批3个综合服务窗口</w:t>
      </w:r>
      <w:r>
        <w:rPr>
          <w:rFonts w:hint="eastAsia" w:ascii="华文仿宋" w:hAnsi="华文仿宋" w:eastAsia="华文仿宋"/>
          <w:color w:val="000000" w:themeColor="text1"/>
          <w:sz w:val="28"/>
          <w:szCs w:val="28"/>
          <w14:textFill>
            <w14:solidFill>
              <w14:schemeClr w14:val="tx1"/>
            </w14:solidFill>
          </w14:textFill>
        </w:rPr>
        <w:t>，构建“一窗受理、集成服务”的模式，共</w:t>
      </w:r>
      <w:r>
        <w:rPr>
          <w:rFonts w:ascii="华文仿宋" w:hAnsi="华文仿宋" w:eastAsia="华文仿宋"/>
          <w:color w:val="000000" w:themeColor="text1"/>
          <w:sz w:val="28"/>
          <w:szCs w:val="28"/>
          <w14:textFill>
            <w14:solidFill>
              <w14:schemeClr w14:val="tx1"/>
            </w14:solidFill>
          </w14:textFill>
        </w:rPr>
        <w:t>梳理高频事项标准化受理清单138项，实现材料压减1/3、时限压缩50%</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一个系统管监管</w:t>
      </w:r>
      <w:r>
        <w:rPr>
          <w:rFonts w:hint="eastAsia" w:ascii="华文仿宋" w:hAnsi="华文仿宋" w:eastAsia="华文仿宋"/>
          <w:color w:val="000000" w:themeColor="text1"/>
          <w:sz w:val="28"/>
          <w:szCs w:val="28"/>
          <w14:textFill>
            <w14:solidFill>
              <w14:schemeClr w14:val="tx1"/>
            </w14:solidFill>
          </w14:textFill>
        </w:rPr>
        <w:t>”深入推进，以</w:t>
      </w:r>
      <w:r>
        <w:rPr>
          <w:rFonts w:ascii="华文仿宋" w:hAnsi="华文仿宋" w:eastAsia="华文仿宋"/>
          <w:color w:val="000000" w:themeColor="text1"/>
          <w:sz w:val="28"/>
          <w:szCs w:val="28"/>
          <w14:textFill>
            <w14:solidFill>
              <w14:schemeClr w14:val="tx1"/>
            </w14:solidFill>
          </w14:textFill>
        </w:rPr>
        <w:t>“互联网+监管”</w:t>
      </w:r>
      <w:r>
        <w:rPr>
          <w:rFonts w:hint="eastAsia" w:ascii="华文仿宋" w:hAnsi="华文仿宋" w:eastAsia="华文仿宋"/>
          <w:color w:val="000000" w:themeColor="text1"/>
          <w:sz w:val="28"/>
          <w:szCs w:val="28"/>
          <w14:textFill>
            <w14:solidFill>
              <w14:schemeClr w14:val="tx1"/>
            </w14:solidFill>
          </w14:textFill>
        </w:rPr>
        <w:t>为抓手</w:t>
      </w:r>
      <w:r>
        <w:rPr>
          <w:rFonts w:ascii="华文仿宋" w:hAnsi="华文仿宋" w:eastAsia="华文仿宋"/>
          <w:color w:val="000000" w:themeColor="text1"/>
          <w:sz w:val="28"/>
          <w:szCs w:val="28"/>
          <w14:textFill>
            <w14:solidFill>
              <w14:schemeClr w14:val="tx1"/>
            </w14:solidFill>
          </w14:textFill>
        </w:rPr>
        <w:t>，归集整合监管业务数据，实现风险可预警、过程可追溯、问题可监测、监管可监督。</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一个平台管交易</w:t>
      </w:r>
      <w:r>
        <w:rPr>
          <w:rFonts w:hint="eastAsia" w:ascii="华文仿宋" w:hAnsi="华文仿宋" w:eastAsia="华文仿宋"/>
          <w:color w:val="000000" w:themeColor="text1"/>
          <w:sz w:val="28"/>
          <w:szCs w:val="28"/>
          <w14:textFill>
            <w14:solidFill>
              <w14:schemeClr w14:val="tx1"/>
            </w14:solidFill>
          </w14:textFill>
        </w:rPr>
        <w:t>”不断优化，进一步</w:t>
      </w:r>
      <w:r>
        <w:rPr>
          <w:rFonts w:ascii="华文仿宋" w:hAnsi="华文仿宋" w:eastAsia="华文仿宋"/>
          <w:color w:val="000000" w:themeColor="text1"/>
          <w:sz w:val="28"/>
          <w:szCs w:val="28"/>
          <w14:textFill>
            <w14:solidFill>
              <w14:schemeClr w14:val="tx1"/>
            </w14:solidFill>
          </w14:textFill>
        </w:rPr>
        <w:t>优化公共资源交易流程</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精简7个办理环节</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取消1项收费，推进公共资源交易和政府采购全流程电子化及网络竞价</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通过远程开标</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提升了开标效率。</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一条热线管便民</w:t>
      </w:r>
      <w:r>
        <w:rPr>
          <w:rFonts w:hint="eastAsia" w:ascii="华文仿宋" w:hAnsi="华文仿宋" w:eastAsia="华文仿宋"/>
          <w:color w:val="000000" w:themeColor="text1"/>
          <w:sz w:val="28"/>
          <w:szCs w:val="28"/>
          <w14:textFill>
            <w14:solidFill>
              <w14:schemeClr w14:val="tx1"/>
            </w14:solidFill>
          </w14:textFill>
        </w:rPr>
        <w:t>”作用明显，</w:t>
      </w:r>
      <w:r>
        <w:rPr>
          <w:rFonts w:ascii="华文仿宋" w:hAnsi="华文仿宋" w:eastAsia="华文仿宋"/>
          <w:color w:val="000000" w:themeColor="text1"/>
          <w:sz w:val="28"/>
          <w:szCs w:val="28"/>
          <w14:textFill>
            <w14:solidFill>
              <w14:schemeClr w14:val="tx1"/>
            </w14:solidFill>
          </w14:textFill>
        </w:rPr>
        <w:t>我市12345政务服务</w:t>
      </w:r>
      <w:r>
        <w:rPr>
          <w:rFonts w:hint="eastAsia" w:ascii="华文仿宋" w:hAnsi="华文仿宋" w:eastAsia="华文仿宋"/>
          <w:color w:val="000000" w:themeColor="text1"/>
          <w:sz w:val="28"/>
          <w:szCs w:val="28"/>
          <w14:textFill>
            <w14:solidFill>
              <w14:schemeClr w14:val="tx1"/>
            </w14:solidFill>
          </w14:textFill>
        </w:rPr>
        <w:t>热线</w:t>
      </w:r>
      <w:r>
        <w:rPr>
          <w:rFonts w:ascii="华文仿宋" w:hAnsi="华文仿宋" w:eastAsia="华文仿宋"/>
          <w:color w:val="000000" w:themeColor="text1"/>
          <w:sz w:val="28"/>
          <w:szCs w:val="28"/>
          <w14:textFill>
            <w14:solidFill>
              <w14:schemeClr w14:val="tx1"/>
            </w14:solidFill>
          </w14:textFill>
        </w:rPr>
        <w:t>与市广电“随手拍”平台和“政风行风热线”栏目整合，</w:t>
      </w:r>
      <w:r>
        <w:rPr>
          <w:rFonts w:hint="eastAsia" w:ascii="华文仿宋" w:hAnsi="华文仿宋" w:eastAsia="华文仿宋"/>
          <w:color w:val="000000" w:themeColor="text1"/>
          <w:sz w:val="28"/>
          <w:szCs w:val="28"/>
          <w:lang w:val="en-US" w:eastAsia="zh-CN"/>
          <w14:textFill>
            <w14:solidFill>
              <w14:schemeClr w14:val="tx1"/>
            </w14:solidFill>
          </w14:textFill>
        </w:rPr>
        <w:t>初步</w:t>
      </w:r>
      <w:r>
        <w:rPr>
          <w:rFonts w:ascii="华文仿宋" w:hAnsi="华文仿宋" w:eastAsia="华文仿宋"/>
          <w:color w:val="000000" w:themeColor="text1"/>
          <w:sz w:val="28"/>
          <w:szCs w:val="28"/>
          <w14:textFill>
            <w14:solidFill>
              <w14:schemeClr w14:val="tx1"/>
            </w14:solidFill>
          </w14:textFill>
        </w:rPr>
        <w:t>构建“一号对外”模式，打造“融媒问政”特色亮点</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在及时回应群众</w:t>
      </w:r>
      <w:r>
        <w:rPr>
          <w:rFonts w:hint="eastAsia" w:ascii="华文仿宋" w:hAnsi="华文仿宋" w:eastAsia="华文仿宋"/>
          <w:color w:val="000000" w:themeColor="text1"/>
          <w:sz w:val="28"/>
          <w:szCs w:val="28"/>
          <w14:textFill>
            <w14:solidFill>
              <w14:schemeClr w14:val="tx1"/>
            </w14:solidFill>
          </w14:textFill>
        </w:rPr>
        <w:t>和企业关切</w:t>
      </w:r>
      <w:r>
        <w:rPr>
          <w:rFonts w:ascii="华文仿宋" w:hAnsi="华文仿宋" w:eastAsia="华文仿宋"/>
          <w:color w:val="000000" w:themeColor="text1"/>
          <w:sz w:val="28"/>
          <w:szCs w:val="28"/>
          <w14:textFill>
            <w14:solidFill>
              <w14:schemeClr w14:val="tx1"/>
            </w14:solidFill>
          </w14:textFill>
        </w:rPr>
        <w:t>方面，逐步显现出特有的作用和优势。</w:t>
      </w:r>
    </w:p>
    <w:p>
      <w:pPr>
        <w:ind w:firstLine="560" w:firstLineChars="200"/>
        <w:rPr>
          <w:rFonts w:ascii="华文仿宋" w:hAnsi="华文仿宋" w:eastAsia="华文仿宋"/>
          <w:color w:val="000000" w:themeColor="text1"/>
          <w:sz w:val="28"/>
          <w:szCs w:val="28"/>
          <w14:textFill>
            <w14:solidFill>
              <w14:schemeClr w14:val="tx1"/>
            </w14:solidFill>
          </w14:textFill>
        </w:rPr>
      </w:pPr>
      <w:bookmarkStart w:id="9" w:name="_Hlk60732172"/>
      <w:r>
        <w:rPr>
          <w:rFonts w:hint="eastAsia" w:ascii="华文仿宋" w:hAnsi="华文仿宋" w:eastAsia="华文仿宋"/>
          <w:color w:val="000000" w:themeColor="text1"/>
          <w:sz w:val="28"/>
          <w:szCs w:val="28"/>
          <w14:textFill>
            <w14:solidFill>
              <w14:schemeClr w14:val="tx1"/>
            </w14:solidFill>
          </w14:textFill>
        </w:rPr>
        <w:t>——</w:t>
      </w:r>
      <w:bookmarkEnd w:id="9"/>
      <w:r>
        <w:rPr>
          <w:rFonts w:hint="eastAsia" w:ascii="华文仿宋" w:hAnsi="华文仿宋" w:eastAsia="华文仿宋"/>
          <w:color w:val="000000" w:themeColor="text1"/>
          <w:sz w:val="28"/>
          <w:szCs w:val="28"/>
          <w14:textFill>
            <w14:solidFill>
              <w14:schemeClr w14:val="tx1"/>
            </w14:solidFill>
          </w14:textFill>
        </w:rPr>
        <w:t>网办服务载体更加高效。“互联网＋政务服务”稳步推进，形成全市政务服务“一张网”，</w:t>
      </w:r>
      <w:r>
        <w:rPr>
          <w:rFonts w:ascii="华文仿宋" w:hAnsi="华文仿宋" w:eastAsia="华文仿宋"/>
          <w:color w:val="000000" w:themeColor="text1"/>
          <w:sz w:val="28"/>
          <w:szCs w:val="28"/>
          <w14:textFill>
            <w14:solidFill>
              <w14:schemeClr w14:val="tx1"/>
            </w14:solidFill>
          </w14:textFill>
        </w:rPr>
        <w:t>加快政务上云和数据共享</w:t>
      </w:r>
      <w:r>
        <w:rPr>
          <w:rFonts w:hint="eastAsia" w:ascii="华文仿宋" w:hAnsi="华文仿宋" w:eastAsia="华文仿宋"/>
          <w:color w:val="000000" w:themeColor="text1"/>
          <w:sz w:val="28"/>
          <w:szCs w:val="28"/>
          <w14:textFill>
            <w14:solidFill>
              <w14:schemeClr w14:val="tx1"/>
            </w14:solidFill>
          </w14:textFill>
        </w:rPr>
        <w:t>的步伐</w:t>
      </w:r>
      <w:r>
        <w:rPr>
          <w:rFonts w:ascii="华文仿宋" w:hAnsi="华文仿宋" w:eastAsia="华文仿宋"/>
          <w:color w:val="000000" w:themeColor="text1"/>
          <w:sz w:val="28"/>
          <w:szCs w:val="28"/>
          <w14:textFill>
            <w14:solidFill>
              <w14:schemeClr w14:val="tx1"/>
            </w14:solidFill>
          </w14:textFill>
        </w:rPr>
        <w:t>，积极推进市级政务平台与省级云受理平台的对接</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市级行政审批事项可网办率达到88.2%</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政务服务</w:t>
      </w:r>
      <w:r>
        <w:rPr>
          <w:rFonts w:hint="eastAsia" w:ascii="华文仿宋" w:hAnsi="华文仿宋" w:eastAsia="华文仿宋"/>
          <w:color w:val="000000" w:themeColor="text1"/>
          <w:sz w:val="28"/>
          <w:szCs w:val="28"/>
          <w14:textFill>
            <w14:solidFill>
              <w14:schemeClr w14:val="tx1"/>
            </w14:solidFill>
          </w14:textFill>
        </w:rPr>
        <w:t>“掌上办”迈出新步伐，</w:t>
      </w:r>
      <w:r>
        <w:rPr>
          <w:rFonts w:ascii="华文仿宋" w:hAnsi="华文仿宋" w:eastAsia="华文仿宋"/>
          <w:color w:val="000000" w:themeColor="text1"/>
          <w:sz w:val="28"/>
          <w:szCs w:val="28"/>
          <w14:textFill>
            <w14:solidFill>
              <w14:schemeClr w14:val="tx1"/>
            </w14:solidFill>
          </w14:textFill>
        </w:rPr>
        <w:t>依托“一部手机三晋通”APP，</w:t>
      </w:r>
      <w:r>
        <w:rPr>
          <w:rFonts w:hint="eastAsia" w:ascii="华文仿宋" w:hAnsi="华文仿宋" w:eastAsia="华文仿宋"/>
          <w:color w:val="000000" w:themeColor="text1"/>
          <w:sz w:val="28"/>
          <w:szCs w:val="28"/>
          <w14:textFill>
            <w14:solidFill>
              <w14:schemeClr w14:val="tx1"/>
            </w14:solidFill>
          </w14:textFill>
        </w:rPr>
        <w:t>初步打造</w:t>
      </w:r>
      <w:r>
        <w:rPr>
          <w:rFonts w:ascii="华文仿宋" w:hAnsi="华文仿宋" w:eastAsia="华文仿宋"/>
          <w:color w:val="000000" w:themeColor="text1"/>
          <w:sz w:val="28"/>
          <w:szCs w:val="28"/>
          <w14:textFill>
            <w14:solidFill>
              <w14:schemeClr w14:val="tx1"/>
            </w14:solidFill>
          </w14:textFill>
        </w:rPr>
        <w:t>“泉好办”阳泉频道</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首批上线“智慧公积金”“政务服务”“便民服务”三个版块，已具备公积金查询提取、社保查询、水电通讯费缴纳等功能。</w:t>
      </w:r>
    </w:p>
    <w:p>
      <w:pPr>
        <w:pStyle w:val="4"/>
        <w:spacing w:line="415" w:lineRule="auto"/>
        <w:ind w:left="99" w:leftChars="47" w:firstLine="560" w:firstLineChars="200"/>
        <w:jc w:val="left"/>
        <w:rPr>
          <w:rFonts w:ascii="楷体" w:hAnsi="楷体" w:eastAsia="楷体"/>
          <w:b w:val="0"/>
          <w:bCs w:val="0"/>
          <w:color w:val="000000" w:themeColor="text1"/>
          <w:szCs w:val="28"/>
          <w14:textFill>
            <w14:solidFill>
              <w14:schemeClr w14:val="tx1"/>
            </w14:solidFill>
          </w14:textFill>
        </w:rPr>
      </w:pPr>
      <w:bookmarkStart w:id="10" w:name="_Toc72943018"/>
      <w:r>
        <w:rPr>
          <w:rFonts w:hint="eastAsia" w:ascii="楷体" w:hAnsi="楷体" w:eastAsia="楷体"/>
          <w:b w:val="0"/>
          <w:bCs w:val="0"/>
          <w:color w:val="000000" w:themeColor="text1"/>
          <w:szCs w:val="28"/>
          <w:lang w:val="en-US" w:eastAsia="zh-CN"/>
          <w14:textFill>
            <w14:solidFill>
              <w14:schemeClr w14:val="tx1"/>
            </w14:solidFill>
          </w14:textFill>
        </w:rPr>
        <w:t>(二)</w:t>
      </w:r>
      <w:r>
        <w:rPr>
          <w:rFonts w:hint="eastAsia" w:ascii="楷体" w:hAnsi="楷体" w:eastAsia="楷体"/>
          <w:b w:val="0"/>
          <w:bCs w:val="0"/>
          <w:color w:val="000000" w:themeColor="text1"/>
          <w:szCs w:val="28"/>
          <w14:textFill>
            <w14:solidFill>
              <w14:schemeClr w14:val="tx1"/>
            </w14:solidFill>
          </w14:textFill>
        </w:rPr>
        <w:t>面临形势</w:t>
      </w:r>
      <w:bookmarkEnd w:id="10"/>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当今世界正经历百年未有之大变局，营商环境已经成为一个国家或地区的核心竞争力。</w:t>
      </w:r>
      <w:r>
        <w:rPr>
          <w:rFonts w:ascii="华文仿宋" w:hAnsi="华文仿宋" w:eastAsia="华文仿宋"/>
          <w:color w:val="000000" w:themeColor="text1"/>
          <w:sz w:val="28"/>
          <w:szCs w:val="28"/>
          <w14:textFill>
            <w14:solidFill>
              <w14:schemeClr w14:val="tx1"/>
            </w14:solidFill>
          </w14:textFill>
        </w:rPr>
        <w:t>我国已转向高质量发展阶段，加快建设现代化经济体系，加快构建新发展格局，</w:t>
      </w:r>
      <w:r>
        <w:rPr>
          <w:rFonts w:hint="eastAsia" w:ascii="华文仿宋" w:hAnsi="华文仿宋" w:eastAsia="华文仿宋"/>
          <w:color w:val="000000" w:themeColor="text1"/>
          <w:sz w:val="28"/>
          <w:szCs w:val="28"/>
          <w14:textFill>
            <w14:solidFill>
              <w14:schemeClr w14:val="tx1"/>
            </w14:solidFill>
          </w14:textFill>
        </w:rPr>
        <w:t>需要高质量的营商环境作保障。党的十八大以来，在党中央、国务院高度重视和正确领导下，全国“放管服”改革持续深化，营商环境持续改善，各省优化营商环境千帆竞发、百舸争流、亮点纷呈，世界银行《</w:t>
      </w:r>
      <w:r>
        <w:rPr>
          <w:rFonts w:ascii="华文仿宋" w:hAnsi="华文仿宋" w:eastAsia="华文仿宋"/>
          <w:color w:val="000000" w:themeColor="text1"/>
          <w:sz w:val="28"/>
          <w:szCs w:val="28"/>
          <w14:textFill>
            <w14:solidFill>
              <w14:schemeClr w14:val="tx1"/>
            </w14:solidFill>
          </w14:textFill>
        </w:rPr>
        <w:t>2020营商环境报告》显示，</w:t>
      </w:r>
      <w:r>
        <w:rPr>
          <w:rFonts w:hint="eastAsia" w:ascii="华文仿宋" w:hAnsi="华文仿宋" w:eastAsia="华文仿宋"/>
          <w:color w:val="000000" w:themeColor="text1"/>
          <w:sz w:val="28"/>
          <w:szCs w:val="28"/>
          <w14:textFill>
            <w14:solidFill>
              <w14:schemeClr w14:val="tx1"/>
            </w14:solidFill>
          </w14:textFill>
        </w:rPr>
        <w:t>我</w:t>
      </w:r>
      <w:r>
        <w:rPr>
          <w:rFonts w:ascii="华文仿宋" w:hAnsi="华文仿宋" w:eastAsia="华文仿宋"/>
          <w:color w:val="000000" w:themeColor="text1"/>
          <w:sz w:val="28"/>
          <w:szCs w:val="28"/>
          <w14:textFill>
            <w14:solidFill>
              <w14:schemeClr w14:val="tx1"/>
            </w14:solidFill>
          </w14:textFill>
        </w:rPr>
        <w:t>国总体排名比</w:t>
      </w:r>
      <w:r>
        <w:rPr>
          <w:rFonts w:hint="eastAsia" w:ascii="华文仿宋" w:hAnsi="华文仿宋" w:eastAsia="华文仿宋"/>
          <w:color w:val="000000" w:themeColor="text1"/>
          <w:sz w:val="28"/>
          <w:szCs w:val="28"/>
          <w14:textFill>
            <w14:solidFill>
              <w14:schemeClr w14:val="tx1"/>
            </w14:solidFill>
          </w14:textFill>
        </w:rPr>
        <w:t>上年</w:t>
      </w:r>
      <w:r>
        <w:rPr>
          <w:rFonts w:ascii="华文仿宋" w:hAnsi="华文仿宋" w:eastAsia="华文仿宋"/>
          <w:color w:val="000000" w:themeColor="text1"/>
          <w:sz w:val="28"/>
          <w:szCs w:val="28"/>
          <w14:textFill>
            <w14:solidFill>
              <w14:schemeClr w14:val="tx1"/>
            </w14:solidFill>
          </w14:textFill>
        </w:rPr>
        <w:t>上升15位，名列第31名</w:t>
      </w:r>
      <w:r>
        <w:rPr>
          <w:rFonts w:hint="eastAsia" w:ascii="华文仿宋" w:hAnsi="华文仿宋" w:eastAsia="华文仿宋"/>
          <w:color w:val="000000" w:themeColor="text1"/>
          <w:sz w:val="28"/>
          <w:szCs w:val="28"/>
          <w14:textFill>
            <w14:solidFill>
              <w14:schemeClr w14:val="tx1"/>
            </w14:solidFill>
          </w14:textFill>
        </w:rPr>
        <w:t>，全国优化营商环境站在新的起点上。党的十九届</w:t>
      </w:r>
      <w:r>
        <w:rPr>
          <w:rFonts w:hint="eastAsia" w:ascii="华文仿宋" w:hAnsi="华文仿宋" w:eastAsia="华文仿宋"/>
          <w:color w:val="000000" w:themeColor="text1"/>
          <w:sz w:val="28"/>
          <w:szCs w:val="28"/>
          <w:lang w:eastAsia="zh-CN"/>
          <w14:textFill>
            <w14:solidFill>
              <w14:schemeClr w14:val="tx1"/>
            </w14:solidFill>
          </w14:textFill>
        </w:rPr>
        <w:t>五</w:t>
      </w:r>
      <w:r>
        <w:rPr>
          <w:rFonts w:hint="eastAsia" w:ascii="华文仿宋" w:hAnsi="华文仿宋" w:eastAsia="华文仿宋"/>
          <w:color w:val="000000" w:themeColor="text1"/>
          <w:sz w:val="28"/>
          <w:szCs w:val="28"/>
          <w14:textFill>
            <w14:solidFill>
              <w14:schemeClr w14:val="tx1"/>
            </w14:solidFill>
          </w14:textFill>
        </w:rPr>
        <w:t>中全会强调</w:t>
      </w:r>
      <w:r>
        <w:rPr>
          <w:rFonts w:ascii="华文仿宋" w:hAnsi="华文仿宋" w:eastAsia="华文仿宋"/>
          <w:color w:val="000000" w:themeColor="text1"/>
          <w:sz w:val="28"/>
          <w:szCs w:val="28"/>
          <w14:textFill>
            <w14:solidFill>
              <w14:schemeClr w14:val="tx1"/>
            </w14:solidFill>
          </w14:textFill>
        </w:rPr>
        <w:t>深化简政放权、放管结合、优化服务改革，推进政务服务标准化、规范化、便利化，</w:t>
      </w:r>
      <w:r>
        <w:rPr>
          <w:rFonts w:hint="eastAsia" w:ascii="华文仿宋" w:hAnsi="华文仿宋" w:eastAsia="华文仿宋"/>
          <w:color w:val="000000" w:themeColor="text1"/>
          <w:sz w:val="28"/>
          <w:szCs w:val="28"/>
          <w14:textFill>
            <w14:solidFill>
              <w14:schemeClr w14:val="tx1"/>
            </w14:solidFill>
          </w14:textFill>
        </w:rPr>
        <w:t>对</w:t>
      </w:r>
      <w:r>
        <w:rPr>
          <w:rFonts w:ascii="华文仿宋" w:hAnsi="华文仿宋" w:eastAsia="华文仿宋"/>
          <w:color w:val="000000" w:themeColor="text1"/>
          <w:sz w:val="28"/>
          <w:szCs w:val="28"/>
          <w14:textFill>
            <w14:solidFill>
              <w14:schemeClr w14:val="tx1"/>
            </w14:solidFill>
          </w14:textFill>
        </w:rPr>
        <w:t>持续优化营商环境</w:t>
      </w:r>
      <w:r>
        <w:rPr>
          <w:rFonts w:hint="eastAsia" w:ascii="华文仿宋" w:hAnsi="华文仿宋" w:eastAsia="华文仿宋"/>
          <w:color w:val="000000" w:themeColor="text1"/>
          <w:sz w:val="28"/>
          <w:szCs w:val="28"/>
          <w14:textFill>
            <w14:solidFill>
              <w14:schemeClr w14:val="tx1"/>
            </w14:solidFill>
          </w14:textFill>
        </w:rPr>
        <w:t>提出了更高要求</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省委、省政府坚决贯彻党中央国务院的决策部署，把有效市场和有为政府更好结合起来，持续优化营商环境。</w:t>
      </w:r>
      <w:r>
        <w:rPr>
          <w:rFonts w:hint="eastAsia" w:ascii="华文仿宋" w:hAnsi="华文仿宋" w:eastAsia="华文仿宋"/>
          <w:color w:val="000000" w:themeColor="text1"/>
          <w:sz w:val="28"/>
          <w:szCs w:val="28"/>
          <w:lang w:eastAsia="zh-CN"/>
          <w14:textFill>
            <w14:solidFill>
              <w14:schemeClr w14:val="tx1"/>
            </w14:solidFill>
          </w14:textFill>
        </w:rPr>
        <w:t>市第十三次党代会，制定了“</w:t>
      </w:r>
      <w:r>
        <w:rPr>
          <w:rFonts w:hint="eastAsia" w:ascii="华文仿宋" w:hAnsi="华文仿宋" w:eastAsia="华文仿宋"/>
          <w:color w:val="000000" w:themeColor="text1"/>
          <w:sz w:val="28"/>
          <w:szCs w:val="28"/>
          <w:lang w:val="en-US" w:eastAsia="zh-CN"/>
          <w14:textFill>
            <w14:solidFill>
              <w14:schemeClr w14:val="tx1"/>
            </w14:solidFill>
          </w14:textFill>
        </w:rPr>
        <w:t>14510</w:t>
      </w:r>
      <w:r>
        <w:rPr>
          <w:rFonts w:hint="eastAsia" w:ascii="华文仿宋" w:hAnsi="华文仿宋" w:eastAsia="华文仿宋"/>
          <w:color w:val="000000" w:themeColor="text1"/>
          <w:sz w:val="28"/>
          <w:szCs w:val="28"/>
          <w:lang w:eastAsia="zh-CN"/>
          <w14:textFill>
            <w14:solidFill>
              <w14:schemeClr w14:val="tx1"/>
            </w14:solidFill>
          </w14:textFill>
        </w:rPr>
        <w:t>”总体发展规划，提出了营商环境首位战略，</w:t>
      </w:r>
      <w:r>
        <w:rPr>
          <w:rFonts w:ascii="华文仿宋" w:hAnsi="华文仿宋" w:eastAsia="华文仿宋"/>
          <w:color w:val="000000" w:themeColor="text1"/>
          <w:sz w:val="28"/>
          <w:szCs w:val="28"/>
          <w14:textFill>
            <w14:solidFill>
              <w14:schemeClr w14:val="tx1"/>
            </w14:solidFill>
          </w14:textFill>
        </w:rPr>
        <w:t>这些都为</w:t>
      </w:r>
      <w:r>
        <w:rPr>
          <w:rFonts w:hint="eastAsia" w:ascii="华文仿宋" w:hAnsi="华文仿宋" w:eastAsia="华文仿宋"/>
          <w:color w:val="000000" w:themeColor="text1"/>
          <w:sz w:val="28"/>
          <w:szCs w:val="28"/>
          <w14:textFill>
            <w14:solidFill>
              <w14:schemeClr w14:val="tx1"/>
            </w14:solidFill>
          </w14:textFill>
        </w:rPr>
        <w:t>我</w:t>
      </w:r>
      <w:r>
        <w:rPr>
          <w:rFonts w:ascii="华文仿宋" w:hAnsi="华文仿宋" w:eastAsia="华文仿宋"/>
          <w:color w:val="000000" w:themeColor="text1"/>
          <w:sz w:val="28"/>
          <w:szCs w:val="28"/>
          <w14:textFill>
            <w14:solidFill>
              <w14:schemeClr w14:val="tx1"/>
            </w14:solidFill>
          </w14:textFill>
        </w:rPr>
        <w:t>市</w:t>
      </w:r>
      <w:bookmarkStart w:id="11" w:name="_Hlk60734491"/>
      <w:r>
        <w:rPr>
          <w:rFonts w:ascii="华文仿宋" w:hAnsi="华文仿宋" w:eastAsia="华文仿宋"/>
          <w:color w:val="000000" w:themeColor="text1"/>
          <w:sz w:val="28"/>
          <w:szCs w:val="28"/>
          <w14:textFill>
            <w14:solidFill>
              <w14:schemeClr w14:val="tx1"/>
            </w14:solidFill>
          </w14:textFill>
        </w:rPr>
        <w:t>优化营商环境</w:t>
      </w:r>
      <w:bookmarkEnd w:id="11"/>
      <w:r>
        <w:rPr>
          <w:rFonts w:hint="eastAsia" w:ascii="华文仿宋" w:hAnsi="华文仿宋" w:eastAsia="华文仿宋"/>
          <w:color w:val="000000" w:themeColor="text1"/>
          <w:sz w:val="28"/>
          <w:szCs w:val="28"/>
          <w14:textFill>
            <w14:solidFill>
              <w14:schemeClr w14:val="tx1"/>
            </w14:solidFill>
          </w14:textFill>
        </w:rPr>
        <w:t>指明了方</w:t>
      </w:r>
      <w:r>
        <w:rPr>
          <w:rFonts w:ascii="华文仿宋" w:hAnsi="华文仿宋" w:eastAsia="华文仿宋"/>
          <w:color w:val="000000" w:themeColor="text1"/>
          <w:sz w:val="28"/>
          <w:szCs w:val="28"/>
          <w14:textFill>
            <w14:solidFill>
              <w14:schemeClr w14:val="tx1"/>
            </w14:solidFill>
          </w14:textFill>
        </w:rPr>
        <w:t>向</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提出了</w:t>
      </w:r>
      <w:r>
        <w:rPr>
          <w:rFonts w:hint="eastAsia" w:ascii="华文仿宋" w:hAnsi="华文仿宋" w:eastAsia="华文仿宋"/>
          <w:color w:val="000000" w:themeColor="text1"/>
          <w:sz w:val="28"/>
          <w:szCs w:val="28"/>
          <w14:textFill>
            <w14:solidFill>
              <w14:schemeClr w14:val="tx1"/>
            </w14:solidFill>
          </w14:textFill>
        </w:rPr>
        <w:t>更新更高要求，增强了</w:t>
      </w:r>
      <w:r>
        <w:rPr>
          <w:rFonts w:ascii="华文仿宋" w:hAnsi="华文仿宋" w:eastAsia="华文仿宋"/>
          <w:color w:val="000000" w:themeColor="text1"/>
          <w:sz w:val="28"/>
          <w:szCs w:val="28"/>
          <w14:textFill>
            <w14:solidFill>
              <w14:schemeClr w14:val="tx1"/>
            </w14:solidFill>
          </w14:textFill>
        </w:rPr>
        <w:t>优化营商环境</w:t>
      </w:r>
      <w:r>
        <w:rPr>
          <w:rFonts w:hint="eastAsia" w:ascii="华文仿宋" w:hAnsi="华文仿宋" w:eastAsia="华文仿宋"/>
          <w:color w:val="000000" w:themeColor="text1"/>
          <w:sz w:val="28"/>
          <w:szCs w:val="28"/>
          <w14:textFill>
            <w14:solidFill>
              <w14:schemeClr w14:val="tx1"/>
            </w14:solidFill>
          </w14:textFill>
        </w:rPr>
        <w:t>的使命感、责任感和紧迫感。</w:t>
      </w:r>
    </w:p>
    <w:p>
      <w:pPr>
        <w:pStyle w:val="4"/>
        <w:spacing w:line="415" w:lineRule="auto"/>
        <w:ind w:left="0" w:leftChars="0" w:firstLine="560" w:firstLineChars="200"/>
        <w:jc w:val="left"/>
        <w:rPr>
          <w:rFonts w:ascii="楷体" w:hAnsi="楷体" w:eastAsia="楷体"/>
          <w:b w:val="0"/>
          <w:bCs w:val="0"/>
          <w:color w:val="000000" w:themeColor="text1"/>
          <w:szCs w:val="28"/>
          <w14:textFill>
            <w14:solidFill>
              <w14:schemeClr w14:val="tx1"/>
            </w14:solidFill>
          </w14:textFill>
        </w:rPr>
      </w:pPr>
      <w:bookmarkStart w:id="12" w:name="_Toc72943019"/>
      <w:r>
        <w:rPr>
          <w:rFonts w:hint="eastAsia" w:ascii="楷体" w:hAnsi="楷体" w:eastAsia="楷体"/>
          <w:b w:val="0"/>
          <w:bCs w:val="0"/>
          <w:color w:val="000000" w:themeColor="text1"/>
          <w:szCs w:val="28"/>
          <w:lang w:val="en-US" w:eastAsia="zh-CN"/>
          <w14:textFill>
            <w14:solidFill>
              <w14:schemeClr w14:val="tx1"/>
            </w14:solidFill>
          </w14:textFill>
        </w:rPr>
        <w:t>(三)</w:t>
      </w:r>
      <w:r>
        <w:rPr>
          <w:rFonts w:hint="eastAsia" w:ascii="楷体" w:hAnsi="楷体" w:eastAsia="楷体"/>
          <w:b w:val="0"/>
          <w:bCs w:val="0"/>
          <w:color w:val="000000" w:themeColor="text1"/>
          <w:szCs w:val="28"/>
          <w14:textFill>
            <w14:solidFill>
              <w14:schemeClr w14:val="tx1"/>
            </w14:solidFill>
          </w14:textFill>
        </w:rPr>
        <w:t>机遇和挑战</w:t>
      </w:r>
      <w:bookmarkEnd w:id="12"/>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“十四五”时期是阳泉</w:t>
      </w:r>
      <w:r>
        <w:rPr>
          <w:rFonts w:hint="eastAsia" w:ascii="华文仿宋" w:hAnsi="华文仿宋" w:eastAsia="华文仿宋"/>
          <w:color w:val="000000" w:themeColor="text1"/>
          <w:sz w:val="28"/>
          <w:szCs w:val="28"/>
          <w:lang w:val="en-US" w:eastAsia="zh-CN"/>
          <w14:textFill>
            <w14:solidFill>
              <w14:schemeClr w14:val="tx1"/>
            </w14:solidFill>
          </w14:textFill>
        </w:rPr>
        <w:t>充分利用</w:t>
      </w:r>
      <w:r>
        <w:rPr>
          <w:rFonts w:ascii="华文仿宋" w:hAnsi="华文仿宋" w:eastAsia="华文仿宋"/>
          <w:color w:val="000000" w:themeColor="text1"/>
          <w:sz w:val="28"/>
          <w:szCs w:val="28"/>
          <w14:textFill>
            <w14:solidFill>
              <w14:schemeClr w14:val="tx1"/>
            </w14:solidFill>
          </w14:textFill>
        </w:rPr>
        <w:t>山西</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东大门</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的区位优势，</w:t>
      </w:r>
      <w:r>
        <w:rPr>
          <w:rFonts w:hint="eastAsia" w:ascii="华文仿宋" w:hAnsi="华文仿宋" w:eastAsia="华文仿宋"/>
          <w:color w:val="000000" w:themeColor="text1"/>
          <w:sz w:val="28"/>
          <w:szCs w:val="28"/>
          <w14:textFill>
            <w14:solidFill>
              <w14:schemeClr w14:val="tx1"/>
            </w14:solidFill>
          </w14:textFill>
        </w:rPr>
        <w:t>深化与京津冀、雄安新区、环渤海等区域合作，加快晋东区域一体化发展步伐，</w:t>
      </w:r>
      <w:r>
        <w:rPr>
          <w:rFonts w:ascii="华文仿宋" w:hAnsi="华文仿宋" w:eastAsia="华文仿宋"/>
          <w:color w:val="000000" w:themeColor="text1"/>
          <w:sz w:val="28"/>
          <w:szCs w:val="28"/>
          <w14:textFill>
            <w14:solidFill>
              <w14:schemeClr w14:val="tx1"/>
            </w14:solidFill>
          </w14:textFill>
        </w:rPr>
        <w:t>主动融入京津冀协同发展、“一带一路”建设、黄河流域生态保护和高质量发展</w:t>
      </w:r>
      <w:r>
        <w:rPr>
          <w:rFonts w:hint="eastAsia" w:ascii="华文仿宋" w:hAnsi="华文仿宋" w:eastAsia="华文仿宋"/>
          <w:color w:val="000000" w:themeColor="text1"/>
          <w:sz w:val="28"/>
          <w:szCs w:val="28"/>
          <w14:textFill>
            <w14:solidFill>
              <w14:schemeClr w14:val="tx1"/>
            </w14:solidFill>
          </w14:textFill>
        </w:rPr>
        <w:t>等国家战略</w:t>
      </w:r>
      <w:r>
        <w:rPr>
          <w:rFonts w:ascii="华文仿宋" w:hAnsi="华文仿宋" w:eastAsia="华文仿宋"/>
          <w:color w:val="000000" w:themeColor="text1"/>
          <w:sz w:val="28"/>
          <w:szCs w:val="28"/>
          <w14:textFill>
            <w14:solidFill>
              <w14:schemeClr w14:val="tx1"/>
            </w14:solidFill>
          </w14:textFill>
        </w:rPr>
        <w:t>的</w:t>
      </w:r>
      <w:r>
        <w:rPr>
          <w:rFonts w:hint="eastAsia" w:ascii="华文仿宋" w:hAnsi="华文仿宋" w:eastAsia="华文仿宋"/>
          <w:color w:val="000000" w:themeColor="text1"/>
          <w:sz w:val="28"/>
          <w:szCs w:val="28"/>
          <w14:textFill>
            <w14:solidFill>
              <w14:schemeClr w14:val="tx1"/>
            </w14:solidFill>
          </w14:textFill>
        </w:rPr>
        <w:t>重要时期，必须加快破解体制机制难题，</w:t>
      </w:r>
      <w:r>
        <w:rPr>
          <w:rFonts w:ascii="华文仿宋" w:hAnsi="华文仿宋" w:eastAsia="华文仿宋"/>
          <w:color w:val="000000" w:themeColor="text1"/>
          <w:sz w:val="28"/>
          <w:szCs w:val="28"/>
          <w14:textFill>
            <w14:solidFill>
              <w14:schemeClr w14:val="tx1"/>
            </w14:solidFill>
          </w14:textFill>
        </w:rPr>
        <w:t>不断增强资源和要素吸引力，筑牢高质量发展的基础</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打造服务阳泉</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效率阳泉</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诚信阳泉和智慧阳泉</w:t>
      </w:r>
      <w:r>
        <w:rPr>
          <w:rFonts w:hint="eastAsia" w:ascii="华文仿宋" w:hAnsi="华文仿宋" w:eastAsia="华文仿宋"/>
          <w:color w:val="000000" w:themeColor="text1"/>
          <w:sz w:val="28"/>
          <w:szCs w:val="28"/>
          <w14:textFill>
            <w14:solidFill>
              <w14:schemeClr w14:val="tx1"/>
            </w14:solidFill>
          </w14:textFill>
        </w:rPr>
        <w:t>，这既是我市加力优化营商环境的责任所当，也是我市营商环境</w:t>
      </w:r>
      <w:bookmarkStart w:id="13" w:name="_Hlk60737187"/>
      <w:r>
        <w:rPr>
          <w:rFonts w:hint="eastAsia" w:ascii="华文仿宋" w:hAnsi="华文仿宋" w:eastAsia="华文仿宋"/>
          <w:color w:val="000000" w:themeColor="text1"/>
          <w:sz w:val="28"/>
          <w:szCs w:val="28"/>
          <w14:textFill>
            <w14:solidFill>
              <w14:schemeClr w14:val="tx1"/>
            </w14:solidFill>
          </w14:textFill>
        </w:rPr>
        <w:t>乘势而上的机遇所在。</w:t>
      </w:r>
      <w:bookmarkEnd w:id="13"/>
      <w:r>
        <w:rPr>
          <w:rFonts w:hint="eastAsia" w:ascii="华文仿宋" w:hAnsi="华文仿宋" w:eastAsia="华文仿宋"/>
          <w:color w:val="000000" w:themeColor="text1"/>
          <w:sz w:val="28"/>
          <w:szCs w:val="28"/>
          <w14:textFill>
            <w14:solidFill>
              <w14:schemeClr w14:val="tx1"/>
            </w14:solidFill>
          </w14:textFill>
        </w:rPr>
        <w:t>同时，</w:t>
      </w:r>
      <w:r>
        <w:rPr>
          <w:rFonts w:hint="eastAsia" w:ascii="华文仿宋" w:hAnsi="华文仿宋" w:eastAsia="华文仿宋"/>
          <w:color w:val="000000" w:themeColor="text1"/>
          <w:sz w:val="28"/>
          <w:szCs w:val="28"/>
          <w:lang w:val="en-US" w:eastAsia="zh-CN"/>
          <w14:textFill>
            <w14:solidFill>
              <w14:schemeClr w14:val="tx1"/>
            </w14:solidFill>
          </w14:textFill>
        </w:rPr>
        <w:t>营商环境首位战略把营商环境建设摆到更加突出的位置，加大对全市营商环境考核评价和督查落实，</w:t>
      </w:r>
      <w:r>
        <w:rPr>
          <w:rFonts w:ascii="华文仿宋" w:hAnsi="华文仿宋" w:eastAsia="华文仿宋"/>
          <w:color w:val="000000" w:themeColor="text1"/>
          <w:sz w:val="28"/>
          <w:szCs w:val="28"/>
          <w14:textFill>
            <w14:solidFill>
              <w14:schemeClr w14:val="tx1"/>
            </w14:solidFill>
          </w14:textFill>
        </w:rPr>
        <w:t>将进一步倒逼</w:t>
      </w:r>
      <w:r>
        <w:rPr>
          <w:rFonts w:hint="eastAsia" w:ascii="华文仿宋" w:hAnsi="华文仿宋" w:eastAsia="华文仿宋"/>
          <w:color w:val="000000" w:themeColor="text1"/>
          <w:sz w:val="28"/>
          <w:szCs w:val="28"/>
          <w14:textFill>
            <w14:solidFill>
              <w14:schemeClr w14:val="tx1"/>
            </w14:solidFill>
          </w14:textFill>
        </w:rPr>
        <w:t>全市各部门、各市县</w:t>
      </w:r>
      <w:r>
        <w:rPr>
          <w:rFonts w:ascii="华文仿宋" w:hAnsi="华文仿宋" w:eastAsia="华文仿宋"/>
          <w:color w:val="000000" w:themeColor="text1"/>
          <w:sz w:val="28"/>
          <w:szCs w:val="28"/>
          <w14:textFill>
            <w14:solidFill>
              <w14:schemeClr w14:val="tx1"/>
            </w14:solidFill>
          </w14:textFill>
        </w:rPr>
        <w:t>强化问题导向，找准问题症结，积极改善营商环境，也将激励市县政府强化探索实践，进一步深化改革创新，以实实在在的改革成效提升市场主体和人民群众的满意度和获得感。</w:t>
      </w:r>
    </w:p>
    <w:p>
      <w:pPr>
        <w:widowControl/>
        <w:autoSpaceDE w:val="0"/>
        <w:autoSpaceDN w:val="0"/>
        <w:adjustRightInd w:val="0"/>
        <w:spacing w:after="240" w:line="480" w:lineRule="atLeast"/>
        <w:ind w:firstLine="560" w:firstLineChars="200"/>
        <w:jc w:val="both"/>
        <w:rPr>
          <w:rFonts w:ascii="Times Roman" w:hAnsi="Times Roman" w:eastAsia="∑¬ÀŒ" w:cs="Times Roman"/>
          <w:color w:val="000000" w:themeColor="text1"/>
          <w:kern w:val="0"/>
          <w:sz w:val="24"/>
          <w:szCs w:val="24"/>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转型发展是阳泉发展的根本出路、唯一出路，</w:t>
      </w:r>
      <w:r>
        <w:rPr>
          <w:rFonts w:ascii="华文仿宋" w:hAnsi="华文仿宋" w:eastAsia="华文仿宋"/>
          <w:color w:val="000000" w:themeColor="text1"/>
          <w:sz w:val="28"/>
          <w:szCs w:val="28"/>
          <w14:textFill>
            <w14:solidFill>
              <w14:schemeClr w14:val="tx1"/>
            </w14:solidFill>
          </w14:textFill>
        </w:rPr>
        <w:t>转型发展窗口期很短</w:t>
      </w:r>
      <w:r>
        <w:rPr>
          <w:rFonts w:hint="eastAsia" w:ascii="华文仿宋" w:hAnsi="华文仿宋" w:eastAsia="华文仿宋"/>
          <w:color w:val="000000" w:themeColor="text1"/>
          <w:sz w:val="28"/>
          <w:szCs w:val="28"/>
          <w14:textFill>
            <w14:solidFill>
              <w14:schemeClr w14:val="tx1"/>
            </w14:solidFill>
          </w14:textFill>
        </w:rPr>
        <w:t>，需要精准把握问题和短板，更好地保障我市在转型发展中赢得主动和先机。目前，我市优化营商环境还面临诸多挑战。</w:t>
      </w:r>
      <w:r>
        <w:rPr>
          <w:rFonts w:ascii="华文仿宋" w:hAnsi="华文仿宋" w:eastAsia="华文仿宋"/>
          <w:color w:val="000000" w:themeColor="text1"/>
          <w:sz w:val="28"/>
          <w:szCs w:val="28"/>
          <w14:textFill>
            <w14:solidFill>
              <w14:schemeClr w14:val="tx1"/>
            </w14:solidFill>
          </w14:textFill>
        </w:rPr>
        <w:t>结构性体制性素质性矛盾</w:t>
      </w:r>
      <w:r>
        <w:rPr>
          <w:rFonts w:hint="eastAsia" w:ascii="华文仿宋" w:hAnsi="华文仿宋" w:eastAsia="华文仿宋"/>
          <w:color w:val="000000" w:themeColor="text1"/>
          <w:sz w:val="28"/>
          <w:szCs w:val="28"/>
          <w14:textFill>
            <w14:solidFill>
              <w14:schemeClr w14:val="tx1"/>
            </w14:solidFill>
          </w14:textFill>
        </w:rPr>
        <w:t>还比较</w:t>
      </w:r>
      <w:r>
        <w:rPr>
          <w:rFonts w:ascii="华文仿宋" w:hAnsi="华文仿宋" w:eastAsia="华文仿宋"/>
          <w:color w:val="000000" w:themeColor="text1"/>
          <w:sz w:val="28"/>
          <w:szCs w:val="28"/>
          <w14:textFill>
            <w14:solidFill>
              <w14:schemeClr w14:val="tx1"/>
            </w14:solidFill>
          </w14:textFill>
        </w:rPr>
        <w:t>突出</w:t>
      </w:r>
      <w:r>
        <w:rPr>
          <w:rFonts w:hint="eastAsia" w:ascii="华文仿宋" w:hAnsi="华文仿宋" w:eastAsia="华文仿宋"/>
          <w:color w:val="000000" w:themeColor="text1"/>
          <w:sz w:val="28"/>
          <w:szCs w:val="28"/>
          <w14:textFill>
            <w14:solidFill>
              <w14:schemeClr w14:val="tx1"/>
            </w14:solidFill>
          </w14:textFill>
        </w:rPr>
        <w:t>，对于优化营商环境的认识还不够充分，体制机制的创新力度不够，</w:t>
      </w:r>
      <w:r>
        <w:rPr>
          <w:rFonts w:ascii="华文仿宋" w:hAnsi="华文仿宋" w:eastAsia="华文仿宋"/>
          <w:color w:val="000000" w:themeColor="text1"/>
          <w:sz w:val="28"/>
          <w:szCs w:val="28"/>
          <w14:textFill>
            <w14:solidFill>
              <w14:schemeClr w14:val="tx1"/>
            </w14:solidFill>
          </w14:textFill>
        </w:rPr>
        <w:t>“放管服”改革</w:t>
      </w:r>
      <w:r>
        <w:rPr>
          <w:rFonts w:hint="eastAsia" w:ascii="华文仿宋" w:hAnsi="华文仿宋" w:eastAsia="华文仿宋"/>
          <w:color w:val="000000" w:themeColor="text1"/>
          <w:sz w:val="28"/>
          <w:szCs w:val="28"/>
          <w14:textFill>
            <w14:solidFill>
              <w14:schemeClr w14:val="tx1"/>
            </w14:solidFill>
          </w14:textFill>
        </w:rPr>
        <w:t>存在</w:t>
      </w:r>
      <w:r>
        <w:rPr>
          <w:rFonts w:ascii="华文仿宋" w:hAnsi="华文仿宋" w:eastAsia="华文仿宋"/>
          <w:color w:val="000000" w:themeColor="text1"/>
          <w:sz w:val="28"/>
          <w:szCs w:val="28"/>
          <w14:textFill>
            <w14:solidFill>
              <w14:schemeClr w14:val="tx1"/>
            </w14:solidFill>
          </w14:textFill>
        </w:rPr>
        <w:t>推进不平衡</w:t>
      </w:r>
      <w:r>
        <w:rPr>
          <w:rFonts w:hint="eastAsia" w:ascii="华文仿宋" w:hAnsi="华文仿宋" w:eastAsia="华文仿宋"/>
          <w:color w:val="000000" w:themeColor="text1"/>
          <w:sz w:val="28"/>
          <w:szCs w:val="28"/>
          <w14:textFill>
            <w14:solidFill>
              <w14:schemeClr w14:val="tx1"/>
            </w14:solidFill>
          </w14:textFill>
        </w:rPr>
        <w:t>的问题；</w:t>
      </w:r>
      <w:r>
        <w:rPr>
          <w:rFonts w:ascii="华文仿宋" w:hAnsi="华文仿宋" w:eastAsia="华文仿宋"/>
          <w:color w:val="000000" w:themeColor="text1"/>
          <w:sz w:val="28"/>
          <w:szCs w:val="28"/>
          <w14:textFill>
            <w14:solidFill>
              <w14:schemeClr w14:val="tx1"/>
            </w14:solidFill>
          </w14:textFill>
        </w:rPr>
        <w:t>重点领域重点事项改革有待进一步</w:t>
      </w:r>
      <w:r>
        <w:rPr>
          <w:rFonts w:hint="eastAsia" w:ascii="华文仿宋" w:hAnsi="华文仿宋" w:eastAsia="华文仿宋"/>
          <w:color w:val="000000" w:themeColor="text1"/>
          <w:sz w:val="28"/>
          <w:szCs w:val="28"/>
          <w14:textFill>
            <w14:solidFill>
              <w14:schemeClr w14:val="tx1"/>
            </w14:solidFill>
          </w14:textFill>
        </w:rPr>
        <w:t>深化细化，简政放权还有较大拓展空间；人才、技术等支撑创新驱动的高端要素集聚困难，对高端人才、技术的集聚能力明显不足；政府治理效能有待提升，政策措施配套性、协调性以及</w:t>
      </w:r>
      <w:r>
        <w:rPr>
          <w:rFonts w:ascii="华文仿宋" w:hAnsi="华文仿宋" w:eastAsia="华文仿宋"/>
          <w:color w:val="000000" w:themeColor="text1"/>
          <w:sz w:val="28"/>
          <w:szCs w:val="28"/>
          <w14:textFill>
            <w14:solidFill>
              <w14:schemeClr w14:val="tx1"/>
            </w14:solidFill>
          </w14:textFill>
        </w:rPr>
        <w:t>精准</w:t>
      </w:r>
      <w:r>
        <w:rPr>
          <w:rFonts w:hint="eastAsia" w:ascii="华文仿宋" w:hAnsi="华文仿宋" w:eastAsia="华文仿宋"/>
          <w:color w:val="000000" w:themeColor="text1"/>
          <w:sz w:val="28"/>
          <w:szCs w:val="28"/>
          <w14:textFill>
            <w14:solidFill>
              <w14:schemeClr w14:val="tx1"/>
            </w14:solidFill>
          </w14:textFill>
        </w:rPr>
        <w:t>度和</w:t>
      </w:r>
      <w:r>
        <w:rPr>
          <w:rFonts w:ascii="华文仿宋" w:hAnsi="华文仿宋" w:eastAsia="华文仿宋"/>
          <w:color w:val="000000" w:themeColor="text1"/>
          <w:sz w:val="28"/>
          <w:szCs w:val="28"/>
          <w14:textFill>
            <w14:solidFill>
              <w14:schemeClr w14:val="tx1"/>
            </w14:solidFill>
          </w14:textFill>
        </w:rPr>
        <w:t>吸引力</w:t>
      </w:r>
      <w:r>
        <w:rPr>
          <w:rFonts w:hint="eastAsia" w:ascii="华文仿宋" w:hAnsi="华文仿宋" w:eastAsia="华文仿宋"/>
          <w:color w:val="000000" w:themeColor="text1"/>
          <w:sz w:val="28"/>
          <w:szCs w:val="28"/>
          <w14:textFill>
            <w14:solidFill>
              <w14:schemeClr w14:val="tx1"/>
            </w14:solidFill>
          </w14:textFill>
        </w:rPr>
        <w:t>缺乏明显亮点；</w:t>
      </w:r>
      <w:r>
        <w:rPr>
          <w:rFonts w:ascii="华文仿宋" w:hAnsi="华文仿宋" w:eastAsia="华文仿宋"/>
          <w:color w:val="000000" w:themeColor="text1"/>
          <w:sz w:val="28"/>
          <w:szCs w:val="28"/>
          <w14:textFill>
            <w14:solidFill>
              <w14:schemeClr w14:val="tx1"/>
            </w14:solidFill>
          </w14:textFill>
        </w:rPr>
        <w:t>政务服务信息化智慧化水平</w:t>
      </w:r>
      <w:r>
        <w:rPr>
          <w:rFonts w:hint="eastAsia" w:ascii="华文仿宋" w:hAnsi="华文仿宋" w:eastAsia="华文仿宋"/>
          <w:color w:val="000000" w:themeColor="text1"/>
          <w:sz w:val="28"/>
          <w:szCs w:val="28"/>
          <w14:textFill>
            <w14:solidFill>
              <w14:schemeClr w14:val="tx1"/>
            </w14:solidFill>
          </w14:textFill>
        </w:rPr>
        <w:t>有</w:t>
      </w:r>
      <w:r>
        <w:rPr>
          <w:rFonts w:ascii="华文仿宋" w:hAnsi="华文仿宋" w:eastAsia="华文仿宋"/>
          <w:color w:val="000000" w:themeColor="text1"/>
          <w:sz w:val="28"/>
          <w:szCs w:val="28"/>
          <w14:textFill>
            <w14:solidFill>
              <w14:schemeClr w14:val="tx1"/>
            </w14:solidFill>
          </w14:textFill>
        </w:rPr>
        <w:t>待提高</w:t>
      </w:r>
      <w:r>
        <w:rPr>
          <w:rFonts w:hint="eastAsia" w:ascii="华文仿宋" w:hAnsi="华文仿宋" w:eastAsia="华文仿宋"/>
          <w:color w:val="000000" w:themeColor="text1"/>
          <w:sz w:val="28"/>
          <w:szCs w:val="28"/>
          <w14:textFill>
            <w14:solidFill>
              <w14:schemeClr w14:val="tx1"/>
            </w14:solidFill>
          </w14:textFill>
        </w:rPr>
        <w:t>，智慧政务深度和广度上存在一定差距。</w:t>
      </w:r>
      <w:r>
        <w:rPr>
          <w:rFonts w:ascii="华文仿宋" w:hAnsi="华文仿宋" w:eastAsia="华文仿宋"/>
          <w:color w:val="000000" w:themeColor="text1"/>
          <w:sz w:val="28"/>
          <w:szCs w:val="28"/>
          <w14:textFill>
            <w14:solidFill>
              <w14:schemeClr w14:val="tx1"/>
            </w14:solidFill>
          </w14:textFill>
        </w:rPr>
        <w:t>“信息孤岛”“数据壁垒”制约政务信息交换共享，网办深度仍</w:t>
      </w:r>
      <w:r>
        <w:rPr>
          <w:rFonts w:hint="eastAsia" w:ascii="华文仿宋" w:hAnsi="华文仿宋" w:eastAsia="华文仿宋"/>
          <w:color w:val="000000" w:themeColor="text1"/>
          <w:sz w:val="28"/>
          <w:szCs w:val="28"/>
          <w14:textFill>
            <w14:solidFill>
              <w14:schemeClr w14:val="tx1"/>
            </w14:solidFill>
          </w14:textFill>
        </w:rPr>
        <w:t>需再加力，</w:t>
      </w:r>
      <w:r>
        <w:rPr>
          <w:rFonts w:ascii="华文仿宋" w:hAnsi="华文仿宋" w:eastAsia="华文仿宋"/>
          <w:color w:val="000000" w:themeColor="text1"/>
          <w:sz w:val="28"/>
          <w:szCs w:val="28"/>
          <w14:textFill>
            <w14:solidFill>
              <w14:schemeClr w14:val="tx1"/>
            </w14:solidFill>
          </w14:textFill>
        </w:rPr>
        <w:t>“让数据多跑路、群众少跑腿”仍停留在一般水平上</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一些遗留问题有待进一步明确。</w:t>
      </w:r>
      <w:r>
        <w:rPr>
          <w:rFonts w:hint="eastAsia" w:ascii="华文仿宋" w:hAnsi="华文仿宋" w:eastAsia="华文仿宋"/>
          <w:color w:val="000000" w:themeColor="text1"/>
          <w:sz w:val="28"/>
          <w:szCs w:val="28"/>
          <w14:textFill>
            <w14:solidFill>
              <w14:schemeClr w14:val="tx1"/>
            </w14:solidFill>
          </w14:textFill>
        </w:rPr>
        <w:t>要充分认识到，这些问题的存在，既是我市营商环境建设面临的压力，也是“十四五”营商环境建设的着力点和攻坚点。</w:t>
      </w:r>
    </w:p>
    <w:p>
      <w:pPr>
        <w:pStyle w:val="3"/>
        <w:pageBreakBefore/>
        <w:ind w:firstLine="560" w:firstLineChars="200"/>
        <w:jc w:val="left"/>
        <w:rPr>
          <w:rFonts w:ascii="黑体" w:hAnsi="黑体" w:eastAsia="黑体"/>
          <w:b w:val="0"/>
          <w:bCs w:val="0"/>
          <w:color w:val="000000" w:themeColor="text1"/>
          <w:sz w:val="28"/>
          <w:szCs w:val="28"/>
          <w14:textFill>
            <w14:solidFill>
              <w14:schemeClr w14:val="tx1"/>
            </w14:solidFill>
          </w14:textFill>
        </w:rPr>
      </w:pPr>
      <w:bookmarkStart w:id="14" w:name="_Toc72943020"/>
      <w:r>
        <w:rPr>
          <w:rFonts w:hint="eastAsia" w:ascii="黑体" w:hAnsi="黑体" w:eastAsia="黑体"/>
          <w:b w:val="0"/>
          <w:bCs w:val="0"/>
          <w:color w:val="000000" w:themeColor="text1"/>
          <w:sz w:val="28"/>
          <w:szCs w:val="28"/>
          <w14:textFill>
            <w14:solidFill>
              <w14:schemeClr w14:val="tx1"/>
            </w14:solidFill>
          </w14:textFill>
        </w:rPr>
        <w:t>二</w:t>
      </w:r>
      <w:r>
        <w:rPr>
          <w:rFonts w:hint="eastAsia" w:ascii="黑体" w:hAnsi="黑体" w:eastAsia="黑体"/>
          <w:b w:val="0"/>
          <w:bCs w:val="0"/>
          <w:color w:val="000000" w:themeColor="text1"/>
          <w:sz w:val="28"/>
          <w:szCs w:val="28"/>
          <w:lang w:eastAsia="zh-CN"/>
          <w14:textFill>
            <w14:solidFill>
              <w14:schemeClr w14:val="tx1"/>
            </w14:solidFill>
          </w14:textFill>
        </w:rPr>
        <w:t>、</w:t>
      </w:r>
      <w:r>
        <w:rPr>
          <w:rFonts w:hint="eastAsia" w:ascii="黑体" w:hAnsi="黑体" w:eastAsia="黑体"/>
          <w:b w:val="0"/>
          <w:bCs w:val="0"/>
          <w:color w:val="000000" w:themeColor="text1"/>
          <w:sz w:val="28"/>
          <w:szCs w:val="28"/>
          <w14:textFill>
            <w14:solidFill>
              <w14:schemeClr w14:val="tx1"/>
            </w14:solidFill>
          </w14:textFill>
        </w:rPr>
        <w:t>总体要求</w:t>
      </w:r>
      <w:bookmarkEnd w:id="14"/>
    </w:p>
    <w:p>
      <w:pPr>
        <w:pStyle w:val="4"/>
        <w:spacing w:line="415" w:lineRule="auto"/>
        <w:ind w:left="0" w:leftChars="0" w:firstLine="560" w:firstLineChars="200"/>
        <w:jc w:val="left"/>
        <w:rPr>
          <w:rFonts w:ascii="楷体" w:hAnsi="楷体" w:eastAsia="楷体"/>
          <w:b w:val="0"/>
          <w:bCs w:val="0"/>
          <w:color w:val="000000" w:themeColor="text1"/>
          <w:szCs w:val="28"/>
          <w14:textFill>
            <w14:solidFill>
              <w14:schemeClr w14:val="tx1"/>
            </w14:solidFill>
          </w14:textFill>
        </w:rPr>
      </w:pPr>
      <w:bookmarkStart w:id="15" w:name="_Toc72943021"/>
      <w:r>
        <w:rPr>
          <w:rFonts w:hint="eastAsia" w:ascii="楷体" w:hAnsi="楷体" w:eastAsia="楷体"/>
          <w:b w:val="0"/>
          <w:bCs w:val="0"/>
          <w:color w:val="000000" w:themeColor="text1"/>
          <w:szCs w:val="28"/>
          <w:lang w:val="en-US" w:eastAsia="zh-CN"/>
          <w14:textFill>
            <w14:solidFill>
              <w14:schemeClr w14:val="tx1"/>
            </w14:solidFill>
          </w14:textFill>
        </w:rPr>
        <w:t>(一)</w:t>
      </w:r>
      <w:r>
        <w:rPr>
          <w:rFonts w:hint="eastAsia" w:ascii="楷体" w:hAnsi="楷体" w:eastAsia="楷体"/>
          <w:b w:val="0"/>
          <w:bCs w:val="0"/>
          <w:color w:val="000000" w:themeColor="text1"/>
          <w:szCs w:val="28"/>
          <w14:textFill>
            <w14:solidFill>
              <w14:schemeClr w14:val="tx1"/>
            </w14:solidFill>
          </w14:textFill>
        </w:rPr>
        <w:t>指导思想</w:t>
      </w:r>
      <w:bookmarkEnd w:id="15"/>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以习近平新时代中国特色社会主义思想为指导，深入</w:t>
      </w:r>
      <w:r>
        <w:rPr>
          <w:rFonts w:hint="eastAsia" w:ascii="华文仿宋" w:hAnsi="华文仿宋" w:eastAsia="华文仿宋"/>
          <w:color w:val="000000" w:themeColor="text1"/>
          <w:sz w:val="28"/>
          <w:szCs w:val="28"/>
          <w:lang w:val="en-US" w:eastAsia="zh-CN"/>
          <w14:textFill>
            <w14:solidFill>
              <w14:schemeClr w14:val="tx1"/>
            </w14:solidFill>
          </w14:textFill>
        </w:rPr>
        <w:t>宣贯习近平总书记关于优化营商环境系列重要讲话精神</w:t>
      </w:r>
      <w:r>
        <w:rPr>
          <w:rFonts w:hint="eastAsia" w:ascii="华文仿宋" w:hAnsi="华文仿宋" w:eastAsia="华文仿宋"/>
          <w:color w:val="000000" w:themeColor="text1"/>
          <w:sz w:val="28"/>
          <w:szCs w:val="28"/>
          <w14:textFill>
            <w14:solidFill>
              <w14:schemeClr w14:val="tx1"/>
            </w14:solidFill>
          </w14:textFill>
        </w:rPr>
        <w:t>和视察山西</w:t>
      </w:r>
      <w:r>
        <w:rPr>
          <w:rFonts w:hint="eastAsia" w:ascii="华文仿宋" w:hAnsi="华文仿宋" w:eastAsia="华文仿宋"/>
          <w:color w:val="000000" w:themeColor="text1"/>
          <w:sz w:val="28"/>
          <w:szCs w:val="28"/>
          <w:lang w:val="en-US" w:eastAsia="zh-CN"/>
          <w14:textFill>
            <w14:solidFill>
              <w14:schemeClr w14:val="tx1"/>
            </w14:solidFill>
          </w14:textFill>
        </w:rPr>
        <w:t>重要指示，</w:t>
      </w:r>
      <w:r>
        <w:rPr>
          <w:rFonts w:hint="eastAsia" w:ascii="华文仿宋" w:hAnsi="华文仿宋" w:eastAsia="华文仿宋"/>
          <w:color w:val="000000" w:themeColor="text1"/>
          <w:sz w:val="28"/>
          <w:szCs w:val="28"/>
          <w14:textFill>
            <w14:solidFill>
              <w14:schemeClr w14:val="tx1"/>
            </w14:solidFill>
          </w14:textFill>
        </w:rPr>
        <w:t>立足新发展阶段</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贯彻新发展理念、构建新发展格局，围绕</w:t>
      </w:r>
      <w:r>
        <w:rPr>
          <w:rFonts w:hint="eastAsia" w:ascii="华文仿宋" w:hAnsi="华文仿宋" w:eastAsia="华文仿宋"/>
          <w:color w:val="000000" w:themeColor="text1"/>
          <w:sz w:val="28"/>
          <w:szCs w:val="28"/>
          <w:lang w:val="en-US" w:eastAsia="zh-CN"/>
          <w14:textFill>
            <w14:solidFill>
              <w14:schemeClr w14:val="tx1"/>
            </w14:solidFill>
          </w14:textFill>
        </w:rPr>
        <w:t>省委</w:t>
      </w:r>
      <w:r>
        <w:rPr>
          <w:rFonts w:hint="eastAsia" w:ascii="华文仿宋" w:hAnsi="华文仿宋" w:eastAsia="华文仿宋"/>
          <w:color w:val="000000" w:themeColor="text1"/>
          <w:sz w:val="28"/>
          <w:szCs w:val="28"/>
          <w:lang w:eastAsia="zh-CN"/>
          <w14:textFill>
            <w14:solidFill>
              <w14:schemeClr w14:val="tx1"/>
            </w14:solidFill>
          </w14:textFill>
        </w:rPr>
        <w:t>“全力创优营商环境，激发高质量发展新活力”</w:t>
      </w:r>
      <w:r>
        <w:rPr>
          <w:rFonts w:hint="eastAsia" w:ascii="华文仿宋" w:hAnsi="华文仿宋" w:eastAsia="华文仿宋"/>
          <w:color w:val="000000" w:themeColor="text1"/>
          <w:sz w:val="28"/>
          <w:szCs w:val="28"/>
          <w:lang w:val="en-US"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市</w:t>
      </w:r>
      <w:r>
        <w:rPr>
          <w:rFonts w:hint="eastAsia" w:ascii="华文仿宋" w:hAnsi="华文仿宋" w:eastAsia="华文仿宋"/>
          <w:color w:val="000000" w:themeColor="text1"/>
          <w:sz w:val="28"/>
          <w:szCs w:val="28"/>
          <w:lang w:val="en-US" w:eastAsia="zh-CN"/>
          <w14:textFill>
            <w14:solidFill>
              <w14:schemeClr w14:val="tx1"/>
            </w14:solidFill>
          </w14:textFill>
        </w:rPr>
        <w:t>委</w:t>
      </w:r>
      <w:r>
        <w:rPr>
          <w:rFonts w:hint="eastAsia"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14510</w:t>
      </w:r>
      <w:r>
        <w:rPr>
          <w:rFonts w:hint="eastAsia"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eastAsia="zh-CN"/>
          <w14:textFill>
            <w14:solidFill>
              <w14:schemeClr w14:val="tx1"/>
            </w14:solidFill>
          </w14:textFill>
        </w:rPr>
        <w:t>总体发展规划和营商环境首位战略</w:t>
      </w:r>
      <w:r>
        <w:rPr>
          <w:rFonts w:hint="eastAsia" w:ascii="华文仿宋" w:hAnsi="华文仿宋" w:eastAsia="华文仿宋"/>
          <w:color w:val="000000" w:themeColor="text1"/>
          <w:sz w:val="28"/>
          <w:szCs w:val="28"/>
          <w14:textFill>
            <w14:solidFill>
              <w14:schemeClr w14:val="tx1"/>
            </w14:solidFill>
          </w14:textFill>
        </w:rPr>
        <w:t>，对表中央要求、对标发达地区先进做法、对接国际投资贸易通行规则，进一步转变政府职能，深化“放管服”改革，</w:t>
      </w:r>
      <w:r>
        <w:rPr>
          <w:rFonts w:hint="eastAsia" w:ascii="华文仿宋" w:hAnsi="华文仿宋" w:eastAsia="华文仿宋"/>
          <w:color w:val="000000" w:themeColor="text1"/>
          <w:sz w:val="28"/>
          <w:szCs w:val="28"/>
          <w:lang w:eastAsia="zh-CN"/>
          <w14:textFill>
            <w14:solidFill>
              <w14:schemeClr w14:val="tx1"/>
            </w14:solidFill>
          </w14:textFill>
        </w:rPr>
        <w:t>以</w:t>
      </w:r>
      <w:r>
        <w:rPr>
          <w:rFonts w:hint="eastAsia" w:ascii="华文仿宋" w:hAnsi="华文仿宋" w:eastAsia="华文仿宋" w:cstheme="minorBidi"/>
          <w:b w:val="0"/>
          <w:bCs w:val="0"/>
          <w:i w:val="0"/>
          <w:caps w:val="0"/>
          <w:color w:val="000000" w:themeColor="text1"/>
          <w:spacing w:val="0"/>
          <w:w w:val="100"/>
          <w:kern w:val="2"/>
          <w:sz w:val="28"/>
          <w:szCs w:val="28"/>
          <w:lang w:val="en-US" w:eastAsia="zh-CN" w:bidi="ar-SA"/>
          <w14:textFill>
            <w14:solidFill>
              <w14:schemeClr w14:val="tx1"/>
            </w14:solidFill>
          </w14:textFill>
        </w:rPr>
        <w:t>简政放权便利化、监管执法标准化、政务服务精细化、制度保障法治化</w:t>
      </w:r>
      <w:r>
        <w:rPr>
          <w:rFonts w:hint="eastAsia" w:ascii="华文仿宋" w:hAnsi="华文仿宋" w:eastAsia="华文仿宋"/>
          <w:color w:val="000000" w:themeColor="text1"/>
          <w:sz w:val="28"/>
          <w:szCs w:val="28"/>
          <w:lang w:eastAsia="zh-CN"/>
          <w14:textFill>
            <w14:solidFill>
              <w14:schemeClr w14:val="tx1"/>
            </w14:solidFill>
          </w14:textFill>
        </w:rPr>
        <w:t>“四化”建设为抓手，</w:t>
      </w:r>
      <w:r>
        <w:rPr>
          <w:rFonts w:hint="eastAsia" w:ascii="华文仿宋" w:hAnsi="华文仿宋" w:eastAsia="华文仿宋"/>
          <w:color w:val="000000" w:themeColor="text1"/>
          <w:sz w:val="28"/>
          <w:szCs w:val="28"/>
          <w14:textFill>
            <w14:solidFill>
              <w14:schemeClr w14:val="tx1"/>
            </w14:solidFill>
          </w14:textFill>
        </w:rPr>
        <w:t>以满足市场主体和群众需求为导向，以建设智慧政务为牵引，以创新体制机制为突破，以提升政务服务</w:t>
      </w:r>
      <w:r>
        <w:rPr>
          <w:rFonts w:ascii="华文仿宋" w:hAnsi="华文仿宋" w:eastAsia="华文仿宋"/>
          <w:color w:val="000000" w:themeColor="text1"/>
          <w:sz w:val="28"/>
          <w:szCs w:val="28"/>
          <w14:textFill>
            <w14:solidFill>
              <w14:schemeClr w14:val="tx1"/>
            </w14:solidFill>
          </w14:textFill>
        </w:rPr>
        <w:t>精准性</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落地率和覆盖面</w:t>
      </w:r>
      <w:r>
        <w:rPr>
          <w:rFonts w:hint="eastAsia" w:ascii="华文仿宋" w:hAnsi="华文仿宋" w:eastAsia="华文仿宋"/>
          <w:color w:val="000000" w:themeColor="text1"/>
          <w:sz w:val="28"/>
          <w:szCs w:val="28"/>
          <w14:textFill>
            <w14:solidFill>
              <w14:schemeClr w14:val="tx1"/>
            </w14:solidFill>
          </w14:textFill>
        </w:rPr>
        <w:t>为重点</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以法治政府建设为保障</w:t>
      </w:r>
      <w:r>
        <w:rPr>
          <w:rFonts w:hint="eastAsia" w:ascii="华文仿宋" w:hAnsi="华文仿宋" w:eastAsia="华文仿宋"/>
          <w:color w:val="000000" w:themeColor="text1"/>
          <w:sz w:val="28"/>
          <w:szCs w:val="28"/>
          <w14:textFill>
            <w14:solidFill>
              <w14:schemeClr w14:val="tx1"/>
            </w14:solidFill>
          </w14:textFill>
        </w:rPr>
        <w:t>，全力打造让企业和群众记得住、用得好、有速度、有温度的“泉好办”</w:t>
      </w:r>
      <w:r>
        <w:rPr>
          <w:rFonts w:ascii="华文仿宋" w:hAnsi="华文仿宋" w:eastAsia="华文仿宋"/>
          <w:color w:val="000000" w:themeColor="text1"/>
          <w:sz w:val="28"/>
          <w:szCs w:val="28"/>
          <w14:textFill>
            <w14:solidFill>
              <w14:schemeClr w14:val="tx1"/>
            </w14:solidFill>
          </w14:textFill>
        </w:rPr>
        <w:t>营商环境</w:t>
      </w:r>
      <w:r>
        <w:rPr>
          <w:rFonts w:hint="eastAsia" w:ascii="华文仿宋" w:hAnsi="华文仿宋" w:eastAsia="华文仿宋"/>
          <w:color w:val="000000" w:themeColor="text1"/>
          <w:sz w:val="28"/>
          <w:szCs w:val="28"/>
          <w14:textFill>
            <w14:solidFill>
              <w14:schemeClr w14:val="tx1"/>
            </w14:solidFill>
          </w14:textFill>
        </w:rPr>
        <w:t>品牌，</w:t>
      </w:r>
      <w:r>
        <w:rPr>
          <w:rFonts w:ascii="华文仿宋" w:hAnsi="华文仿宋" w:eastAsia="华文仿宋"/>
          <w:color w:val="000000" w:themeColor="text1"/>
          <w:sz w:val="28"/>
          <w:szCs w:val="28"/>
          <w14:textFill>
            <w14:solidFill>
              <w14:schemeClr w14:val="tx1"/>
            </w14:solidFill>
          </w14:textFill>
        </w:rPr>
        <w:t>致力</w:t>
      </w:r>
      <w:r>
        <w:rPr>
          <w:rFonts w:hint="eastAsia" w:ascii="华文仿宋" w:hAnsi="华文仿宋" w:eastAsia="华文仿宋"/>
          <w:color w:val="000000" w:themeColor="text1"/>
          <w:sz w:val="28"/>
          <w:szCs w:val="28"/>
          <w14:textFill>
            <w14:solidFill>
              <w14:schemeClr w14:val="tx1"/>
            </w14:solidFill>
          </w14:textFill>
        </w:rPr>
        <w:t>建设“</w:t>
      </w:r>
      <w:r>
        <w:rPr>
          <w:rFonts w:hint="eastAsia" w:ascii="华文仿宋" w:hAnsi="华文仿宋" w:eastAsia="华文仿宋"/>
          <w:color w:val="000000" w:themeColor="text1"/>
          <w:sz w:val="28"/>
          <w:szCs w:val="28"/>
          <w:lang w:val="en-US" w:eastAsia="zh-CN"/>
          <w14:textFill>
            <w14:solidFill>
              <w14:schemeClr w14:val="tx1"/>
            </w14:solidFill>
          </w14:textFill>
        </w:rPr>
        <w:t>国际化、市场化、法治化</w:t>
      </w:r>
      <w:r>
        <w:rPr>
          <w:rFonts w:hint="eastAsia" w:ascii="华文仿宋" w:hAnsi="华文仿宋" w:eastAsia="华文仿宋"/>
          <w:color w:val="000000" w:themeColor="text1"/>
          <w:sz w:val="28"/>
          <w:szCs w:val="28"/>
          <w14:textFill>
            <w14:solidFill>
              <w14:schemeClr w14:val="tx1"/>
            </w14:solidFill>
          </w14:textFill>
        </w:rPr>
        <w:t>”</w:t>
      </w:r>
      <w:bookmarkStart w:id="16" w:name="_Hlk60818583"/>
      <w:r>
        <w:rPr>
          <w:rFonts w:ascii="华文仿宋" w:hAnsi="华文仿宋" w:eastAsia="华文仿宋"/>
          <w:color w:val="000000" w:themeColor="text1"/>
          <w:sz w:val="28"/>
          <w:szCs w:val="28"/>
          <w14:textFill>
            <w14:solidFill>
              <w14:schemeClr w14:val="tx1"/>
            </w14:solidFill>
          </w14:textFill>
        </w:rPr>
        <w:t>营商环境</w:t>
      </w:r>
      <w:bookmarkEnd w:id="16"/>
      <w:r>
        <w:rPr>
          <w:rFonts w:hint="eastAsia" w:ascii="华文仿宋" w:hAnsi="华文仿宋" w:eastAsia="华文仿宋"/>
          <w:color w:val="000000" w:themeColor="text1"/>
          <w:sz w:val="28"/>
          <w:szCs w:val="28"/>
          <w14:textFill>
            <w14:solidFill>
              <w14:schemeClr w14:val="tx1"/>
            </w14:solidFill>
          </w14:textFill>
        </w:rPr>
        <w:t>，把我市建设成全省营商环境改革创新试验区，为我市“十四五”转型出雏型提供有力保障。</w:t>
      </w:r>
    </w:p>
    <w:p>
      <w:pPr>
        <w:pStyle w:val="4"/>
        <w:spacing w:line="415" w:lineRule="auto"/>
        <w:ind w:left="99" w:leftChars="47" w:firstLine="560" w:firstLineChars="200"/>
        <w:jc w:val="left"/>
        <w:rPr>
          <w:rFonts w:ascii="楷体" w:hAnsi="楷体" w:eastAsia="楷体"/>
          <w:b w:val="0"/>
          <w:bCs w:val="0"/>
          <w:color w:val="000000" w:themeColor="text1"/>
          <w:szCs w:val="28"/>
          <w14:textFill>
            <w14:solidFill>
              <w14:schemeClr w14:val="tx1"/>
            </w14:solidFill>
          </w14:textFill>
        </w:rPr>
      </w:pPr>
      <w:bookmarkStart w:id="17" w:name="_Toc72943022"/>
      <w:r>
        <w:rPr>
          <w:rFonts w:hint="eastAsia" w:ascii="楷体" w:hAnsi="楷体" w:eastAsia="楷体"/>
          <w:b w:val="0"/>
          <w:bCs w:val="0"/>
          <w:color w:val="000000" w:themeColor="text1"/>
          <w:szCs w:val="28"/>
          <w:lang w:val="en-US" w:eastAsia="zh-CN"/>
          <w14:textFill>
            <w14:solidFill>
              <w14:schemeClr w14:val="tx1"/>
            </w14:solidFill>
          </w14:textFill>
        </w:rPr>
        <w:t>(二)</w:t>
      </w:r>
      <w:r>
        <w:rPr>
          <w:rFonts w:hint="eastAsia" w:ascii="楷体" w:hAnsi="楷体" w:eastAsia="楷体"/>
          <w:b w:val="0"/>
          <w:bCs w:val="0"/>
          <w:color w:val="000000" w:themeColor="text1"/>
          <w:szCs w:val="28"/>
          <w14:textFill>
            <w14:solidFill>
              <w14:schemeClr w14:val="tx1"/>
            </w14:solidFill>
          </w14:textFill>
        </w:rPr>
        <w:t>基本原则</w:t>
      </w:r>
      <w:bookmarkEnd w:id="17"/>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坚持对标一流。按照全省域营商环境的评价体系，以企业办事全流程所用时间、费用、效率为评价对象，以营商环境评价位居前列的省市为标杆，对接导入国际先进理念、领先标准，学习借鉴国内先进省市经验，总结推广省内典型做法，持续提升优质制度供给、服务供给、要素供给能力，努力打造全省营商便利化最高地。</w:t>
      </w:r>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——坚持服务导向。牢固树立“一切为了转型、一切服务转型”的理念，</w:t>
      </w:r>
      <w:r>
        <w:rPr>
          <w:rFonts w:ascii="华文仿宋" w:hAnsi="华文仿宋" w:eastAsia="华文仿宋"/>
          <w:color w:val="000000" w:themeColor="text1"/>
          <w:sz w:val="28"/>
          <w:szCs w:val="28"/>
          <w14:textFill>
            <w14:solidFill>
              <w14:schemeClr w14:val="tx1"/>
            </w14:solidFill>
          </w14:textFill>
        </w:rPr>
        <w:t>聚焦服务“六新”突破</w:t>
      </w:r>
      <w:r>
        <w:rPr>
          <w:rFonts w:hint="eastAsia" w:ascii="华文仿宋" w:hAnsi="华文仿宋" w:eastAsia="华文仿宋"/>
          <w:color w:val="000000" w:themeColor="text1"/>
          <w:sz w:val="28"/>
          <w:szCs w:val="28"/>
          <w:lang w:eastAsia="zh-CN"/>
          <w14:textFill>
            <w14:solidFill>
              <w14:schemeClr w14:val="tx1"/>
            </w14:solidFill>
          </w14:textFill>
        </w:rPr>
        <w:t>和“三无三可”营商环境建设要求</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eastAsia="zh-CN"/>
          <w14:textFill>
            <w14:solidFill>
              <w14:schemeClr w14:val="tx1"/>
            </w14:solidFill>
          </w14:textFill>
        </w:rPr>
        <w:t>加快思想观念转变，</w:t>
      </w:r>
      <w:r>
        <w:rPr>
          <w:rFonts w:hint="eastAsia" w:ascii="华文仿宋" w:hAnsi="华文仿宋" w:eastAsia="华文仿宋"/>
          <w:color w:val="000000" w:themeColor="text1"/>
          <w:sz w:val="28"/>
          <w:szCs w:val="28"/>
          <w14:textFill>
            <w14:solidFill>
              <w14:schemeClr w14:val="tx1"/>
            </w14:solidFill>
          </w14:textFill>
        </w:rPr>
        <w:t>充分调动各县区、各部门的积极性和主动性，有效整合各方资源，构建纵横协同、上下联动的一体化推进机制，更好激发各类市场主体活力，引导更多社会力量参与，率先突破施工许可证办理、企业开办、企业融资、企业运营等关键环节。</w:t>
      </w:r>
    </w:p>
    <w:p>
      <w:pPr>
        <w:ind w:firstLine="560" w:firstLineChars="200"/>
        <w:rPr>
          <w:rFonts w:ascii="华文仿宋" w:hAnsi="华文仿宋" w:eastAsia="华文仿宋"/>
          <w:i/>
          <w:iCs/>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——坚持改革创新。坚持问题导向、</w:t>
      </w:r>
      <w:r>
        <w:rPr>
          <w:rFonts w:hint="eastAsia" w:ascii="华文仿宋" w:hAnsi="华文仿宋" w:eastAsia="华文仿宋"/>
          <w:color w:val="000000" w:themeColor="text1"/>
          <w:sz w:val="28"/>
          <w:szCs w:val="28"/>
          <w:lang w:val="en-US" w:eastAsia="zh-CN"/>
          <w14:textFill>
            <w14:solidFill>
              <w14:schemeClr w14:val="tx1"/>
            </w14:solidFill>
          </w14:textFill>
        </w:rPr>
        <w:t>结果导向、</w:t>
      </w:r>
      <w:r>
        <w:rPr>
          <w:rFonts w:hint="eastAsia" w:ascii="华文仿宋" w:hAnsi="华文仿宋" w:eastAsia="华文仿宋"/>
          <w:color w:val="000000" w:themeColor="text1"/>
          <w:sz w:val="28"/>
          <w:szCs w:val="28"/>
          <w14:textFill>
            <w14:solidFill>
              <w14:schemeClr w14:val="tx1"/>
            </w14:solidFill>
          </w14:textFill>
        </w:rPr>
        <w:t>目标导向，围绕市场主体保护、市场准入、政务服</w:t>
      </w:r>
      <w:r>
        <w:rPr>
          <w:rFonts w:ascii="华文仿宋" w:hAnsi="华文仿宋" w:eastAsia="华文仿宋"/>
          <w:color w:val="000000" w:themeColor="text1"/>
          <w:sz w:val="28"/>
          <w:szCs w:val="28"/>
          <w14:textFill>
            <w14:solidFill>
              <w14:schemeClr w14:val="tx1"/>
            </w14:solidFill>
          </w14:textFill>
        </w:rPr>
        <w:t>务、监管执法等重点领域，聚焦企业反映强烈、群众反映集中、社会反映普遍的“痛点”“堵点”“难点”，坚持守正和创新相统一，</w:t>
      </w:r>
      <w:r>
        <w:rPr>
          <w:rFonts w:hint="eastAsia" w:ascii="华文仿宋" w:hAnsi="华文仿宋" w:eastAsia="华文仿宋"/>
          <w:color w:val="000000" w:themeColor="text1"/>
          <w:sz w:val="28"/>
          <w:szCs w:val="28"/>
          <w14:textFill>
            <w14:solidFill>
              <w14:schemeClr w14:val="tx1"/>
            </w14:solidFill>
          </w14:textFill>
        </w:rPr>
        <w:t>大胆先行先试，</w:t>
      </w:r>
      <w:r>
        <w:rPr>
          <w:rFonts w:ascii="华文仿宋" w:hAnsi="华文仿宋" w:eastAsia="华文仿宋"/>
          <w:color w:val="000000" w:themeColor="text1"/>
          <w:sz w:val="28"/>
          <w:szCs w:val="28"/>
          <w14:textFill>
            <w14:solidFill>
              <w14:schemeClr w14:val="tx1"/>
            </w14:solidFill>
          </w14:textFill>
        </w:rPr>
        <w:t>破除体制机制障碍，</w:t>
      </w:r>
      <w:r>
        <w:rPr>
          <w:rFonts w:hint="eastAsia" w:ascii="华文仿宋" w:hAnsi="华文仿宋" w:eastAsia="华文仿宋"/>
          <w:color w:val="000000" w:themeColor="text1"/>
          <w:sz w:val="28"/>
          <w:szCs w:val="28"/>
          <w14:textFill>
            <w14:solidFill>
              <w14:schemeClr w14:val="tx1"/>
            </w14:solidFill>
          </w14:textFill>
        </w:rPr>
        <w:t>突出制度创新和政策集成，持续探索优化营商环境新实践，为我市经济社会发展提供全局性、根本性和长远性发展环境。</w:t>
      </w:r>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坚持公平公正。保障企业和群众合法权益，营造公平竞争、预期稳定的市场环境。加强法治政府建设，坚持科学、民主、依法决策，用法治思维推动重大改革、推进重点工作。加强行政权力制约监督，健全政府内部监督机制，全面推进政务公开，以更好的法治环境、政务环境，打造更优营商环境，提升区域竞争力。</w:t>
      </w:r>
    </w:p>
    <w:p>
      <w:pPr>
        <w:pStyle w:val="4"/>
        <w:spacing w:line="415" w:lineRule="auto"/>
        <w:ind w:left="99" w:leftChars="47" w:firstLine="560" w:firstLineChars="200"/>
        <w:jc w:val="left"/>
        <w:rPr>
          <w:rFonts w:ascii="楷体" w:hAnsi="楷体" w:eastAsia="楷体"/>
          <w:b w:val="0"/>
          <w:bCs w:val="0"/>
          <w:color w:val="000000" w:themeColor="text1"/>
          <w:szCs w:val="28"/>
          <w14:textFill>
            <w14:solidFill>
              <w14:schemeClr w14:val="tx1"/>
            </w14:solidFill>
          </w14:textFill>
        </w:rPr>
      </w:pPr>
      <w:bookmarkStart w:id="18" w:name="_Toc72943023"/>
      <w:r>
        <w:rPr>
          <w:rFonts w:hint="eastAsia" w:ascii="楷体" w:hAnsi="楷体" w:eastAsia="楷体"/>
          <w:b w:val="0"/>
          <w:bCs w:val="0"/>
          <w:color w:val="000000" w:themeColor="text1"/>
          <w:szCs w:val="28"/>
          <w:lang w:val="en-US" w:eastAsia="zh-CN"/>
          <w14:textFill>
            <w14:solidFill>
              <w14:schemeClr w14:val="tx1"/>
            </w14:solidFill>
          </w14:textFill>
        </w:rPr>
        <w:t>(三)</w:t>
      </w:r>
      <w:r>
        <w:rPr>
          <w:rFonts w:hint="eastAsia" w:ascii="楷体" w:hAnsi="楷体" w:eastAsia="楷体"/>
          <w:b w:val="0"/>
          <w:bCs w:val="0"/>
          <w:color w:val="000000" w:themeColor="text1"/>
          <w:szCs w:val="28"/>
          <w14:textFill>
            <w14:solidFill>
              <w14:schemeClr w14:val="tx1"/>
            </w14:solidFill>
          </w14:textFill>
        </w:rPr>
        <w:t>建设目标</w:t>
      </w:r>
      <w:bookmarkEnd w:id="18"/>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“十四五”期间，按照</w:t>
      </w:r>
      <w:r>
        <w:rPr>
          <w:rFonts w:hint="eastAsia" w:ascii="华文仿宋" w:hAnsi="华文仿宋" w:eastAsia="华文仿宋"/>
          <w:color w:val="000000" w:themeColor="text1"/>
          <w:sz w:val="28"/>
          <w:szCs w:val="28"/>
          <w:lang w:eastAsia="zh-CN"/>
          <w14:textFill>
            <w14:solidFill>
              <w14:schemeClr w14:val="tx1"/>
            </w14:solidFill>
          </w14:textFill>
        </w:rPr>
        <w:t>“三无三可”、</w:t>
      </w:r>
      <w:r>
        <w:rPr>
          <w:rFonts w:hint="eastAsia" w:ascii="华文仿宋" w:hAnsi="华文仿宋" w:eastAsia="华文仿宋"/>
          <w:color w:val="000000" w:themeColor="text1"/>
          <w:sz w:val="28"/>
          <w:szCs w:val="28"/>
          <w:lang w:val="en-US" w:eastAsia="zh-CN"/>
          <w14:textFill>
            <w14:solidFill>
              <w14:schemeClr w14:val="tx1"/>
            </w14:solidFill>
          </w14:textFill>
        </w:rPr>
        <w:t>首位战略</w:t>
      </w:r>
      <w:r>
        <w:rPr>
          <w:rFonts w:hint="eastAsia" w:ascii="华文仿宋" w:hAnsi="华文仿宋" w:eastAsia="华文仿宋"/>
          <w:color w:val="000000" w:themeColor="text1"/>
          <w:sz w:val="28"/>
          <w:szCs w:val="28"/>
          <w:lang w:eastAsia="zh-CN"/>
          <w14:textFill>
            <w14:solidFill>
              <w14:schemeClr w14:val="tx1"/>
            </w14:solidFill>
          </w14:textFill>
        </w:rPr>
        <w:t>营商环境建设要求</w:t>
      </w:r>
      <w:r>
        <w:rPr>
          <w:rFonts w:hint="eastAsia" w:ascii="华文仿宋" w:hAnsi="华文仿宋" w:eastAsia="华文仿宋"/>
          <w:color w:val="000000" w:themeColor="text1"/>
          <w:sz w:val="28"/>
          <w:szCs w:val="28"/>
          <w14:textFill>
            <w14:solidFill>
              <w14:schemeClr w14:val="tx1"/>
            </w14:solidFill>
          </w14:textFill>
        </w:rPr>
        <w:t>，以全力打造阳泉市营商环境标志性品牌——“泉好办”为目标，建设“一站式”“泉好办”政务服务平台，赋予“泉好办”丰富内涵，搭建体制机制支撑，实现政务服务跨地区、跨层级、跨部门“一号申请、一次登陆、一网办理”，让“泉好办”成为企业和群众记得住、用得好、有速度、有温度的一流</w:t>
      </w:r>
      <w:r>
        <w:rPr>
          <w:rFonts w:ascii="华文仿宋" w:hAnsi="华文仿宋" w:eastAsia="华文仿宋"/>
          <w:color w:val="000000" w:themeColor="text1"/>
          <w:sz w:val="28"/>
          <w:szCs w:val="28"/>
          <w14:textFill>
            <w14:solidFill>
              <w14:schemeClr w14:val="tx1"/>
            </w14:solidFill>
          </w14:textFill>
        </w:rPr>
        <w:t>营商环境</w:t>
      </w:r>
      <w:r>
        <w:rPr>
          <w:rFonts w:hint="eastAsia" w:ascii="华文仿宋" w:hAnsi="华文仿宋" w:eastAsia="华文仿宋"/>
          <w:color w:val="000000" w:themeColor="text1"/>
          <w:sz w:val="28"/>
          <w:szCs w:val="28"/>
          <w14:textFill>
            <w14:solidFill>
              <w14:schemeClr w14:val="tx1"/>
            </w14:solidFill>
          </w14:textFill>
        </w:rPr>
        <w:t>品牌，我市营商环境整体</w:t>
      </w:r>
      <w:r>
        <w:rPr>
          <w:rFonts w:hint="eastAsia" w:ascii="华文仿宋" w:hAnsi="华文仿宋" w:eastAsia="华文仿宋"/>
          <w:color w:val="000000" w:themeColor="text1"/>
          <w:sz w:val="28"/>
          <w:szCs w:val="28"/>
          <w:lang w:val="en-US" w:eastAsia="zh-CN"/>
          <w14:textFill>
            <w14:solidFill>
              <w14:schemeClr w14:val="tx1"/>
            </w14:solidFill>
          </w14:textFill>
        </w:rPr>
        <w:t>向</w:t>
      </w:r>
      <w:r>
        <w:rPr>
          <w:rFonts w:hint="eastAsia" w:ascii="华文仿宋" w:hAnsi="华文仿宋" w:eastAsia="华文仿宋"/>
          <w:color w:val="000000" w:themeColor="text1"/>
          <w:sz w:val="28"/>
          <w:szCs w:val="28"/>
          <w14:textFill>
            <w14:solidFill>
              <w14:schemeClr w14:val="tx1"/>
            </w14:solidFill>
          </w14:textFill>
        </w:rPr>
        <w:t>全省领先水平迈</w:t>
      </w:r>
      <w:r>
        <w:rPr>
          <w:rFonts w:hint="eastAsia" w:ascii="华文仿宋" w:hAnsi="华文仿宋" w:eastAsia="华文仿宋"/>
          <w:color w:val="000000" w:themeColor="text1"/>
          <w:sz w:val="28"/>
          <w:szCs w:val="28"/>
          <w:lang w:val="en-US" w:eastAsia="zh-CN"/>
          <w14:textFill>
            <w14:solidFill>
              <w14:schemeClr w14:val="tx1"/>
            </w14:solidFill>
          </w14:textFill>
        </w:rPr>
        <w:t>进</w:t>
      </w:r>
      <w:r>
        <w:rPr>
          <w:rFonts w:hint="eastAsia" w:ascii="华文仿宋" w:hAnsi="华文仿宋" w:eastAsia="华文仿宋"/>
          <w:color w:val="000000" w:themeColor="text1"/>
          <w:sz w:val="28"/>
          <w:szCs w:val="28"/>
          <w14:textFill>
            <w14:solidFill>
              <w14:schemeClr w14:val="tx1"/>
            </w14:solidFill>
          </w14:textFill>
        </w:rPr>
        <w:t>。</w:t>
      </w:r>
    </w:p>
    <w:p>
      <w:pPr>
        <w:ind w:firstLine="560" w:firstLineChars="200"/>
        <w:jc w:val="left"/>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——2021年末，市县乡三级行政审批事项基本实现“全程网办”，所有涉企事项可全程网办率达到90%以上，个人服务和企业生产经营高频事项，基本实现“全市通办”，“跨市通办”。</w:t>
      </w:r>
      <w:r>
        <w:rPr>
          <w:rFonts w:ascii="华文仿宋" w:hAnsi="华文仿宋" w:eastAsia="华文仿宋"/>
          <w:color w:val="000000" w:themeColor="text1"/>
          <w:sz w:val="28"/>
          <w:szCs w:val="28"/>
          <w14:textFill>
            <w14:solidFill>
              <w14:schemeClr w14:val="tx1"/>
            </w14:solidFill>
          </w14:textFill>
        </w:rPr>
        <w:t>完成</w:t>
      </w:r>
      <w:r>
        <w:rPr>
          <w:rFonts w:hint="eastAsia" w:ascii="华文仿宋" w:hAnsi="华文仿宋" w:eastAsia="华文仿宋"/>
          <w:color w:val="000000" w:themeColor="text1"/>
          <w:sz w:val="28"/>
          <w:szCs w:val="28"/>
          <w14:textFill>
            <w14:solidFill>
              <w14:schemeClr w14:val="tx1"/>
            </w14:solidFill>
          </w14:textFill>
        </w:rPr>
        <w:t>“泉好办”APP平台</w:t>
      </w:r>
      <w:r>
        <w:rPr>
          <w:rFonts w:ascii="华文仿宋" w:hAnsi="华文仿宋" w:eastAsia="华文仿宋"/>
          <w:color w:val="000000" w:themeColor="text1"/>
          <w:sz w:val="28"/>
          <w:szCs w:val="28"/>
          <w14:textFill>
            <w14:solidFill>
              <w14:schemeClr w14:val="tx1"/>
            </w14:solidFill>
          </w14:textFill>
        </w:rPr>
        <w:t>立项批复、招投标等工作。</w:t>
      </w:r>
      <w:r>
        <w:rPr>
          <w:rFonts w:hint="eastAsia" w:ascii="华文仿宋" w:hAnsi="华文仿宋" w:eastAsia="华文仿宋"/>
          <w:color w:val="000000" w:themeColor="text1"/>
          <w:sz w:val="28"/>
          <w:szCs w:val="28"/>
          <w14:textFill>
            <w14:solidFill>
              <w14:schemeClr w14:val="tx1"/>
            </w14:solidFill>
          </w14:textFill>
        </w:rPr>
        <w:t>力争1—2个营商环境重点指标进入全省第一方阵。</w:t>
      </w:r>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——2023年末，市级</w:t>
      </w:r>
      <w:r>
        <w:rPr>
          <w:rFonts w:hint="eastAsia" w:ascii="华文仿宋" w:hAnsi="华文仿宋" w:eastAsia="华文仿宋"/>
          <w:color w:val="000000" w:themeColor="text1"/>
          <w:sz w:val="28"/>
          <w:szCs w:val="28"/>
          <w:lang w:val="en-US" w:eastAsia="zh-CN"/>
          <w14:textFill>
            <w14:solidFill>
              <w14:schemeClr w14:val="tx1"/>
            </w14:solidFill>
          </w14:textFill>
        </w:rPr>
        <w:t>以上</w:t>
      </w:r>
      <w:r>
        <w:rPr>
          <w:rFonts w:hint="eastAsia" w:ascii="华文仿宋" w:hAnsi="华文仿宋" w:eastAsia="华文仿宋"/>
          <w:color w:val="000000" w:themeColor="text1"/>
          <w:sz w:val="28"/>
          <w:szCs w:val="28"/>
          <w14:textFill>
            <w14:solidFill>
              <w14:schemeClr w14:val="tx1"/>
            </w14:solidFill>
          </w14:textFill>
        </w:rPr>
        <w:t>行政审批事项压减3</w:t>
      </w:r>
      <w:r>
        <w:rPr>
          <w:rFonts w:ascii="华文仿宋" w:hAnsi="华文仿宋" w:eastAsia="华文仿宋"/>
          <w:color w:val="000000" w:themeColor="text1"/>
          <w:sz w:val="28"/>
          <w:szCs w:val="28"/>
          <w14:textFill>
            <w14:solidFill>
              <w14:schemeClr w14:val="tx1"/>
            </w14:solidFill>
          </w14:textFill>
        </w:rPr>
        <w:t>0%以上</w:t>
      </w:r>
      <w:r>
        <w:rPr>
          <w:rFonts w:hint="eastAsia" w:ascii="华文仿宋" w:hAnsi="华文仿宋" w:eastAsia="华文仿宋"/>
          <w:color w:val="000000" w:themeColor="text1"/>
          <w:sz w:val="28"/>
          <w:szCs w:val="28"/>
          <w14:textFill>
            <w14:solidFill>
              <w14:schemeClr w14:val="tx1"/>
            </w14:solidFill>
          </w14:textFill>
        </w:rPr>
        <w:t>，“互联网+监管”应用率超过80%，年均新培育规上工业企业</w:t>
      </w:r>
      <w:r>
        <w:rPr>
          <w:rFonts w:ascii="华文仿宋" w:hAnsi="华文仿宋" w:eastAsia="华文仿宋"/>
          <w:color w:val="000000" w:themeColor="text1"/>
          <w:sz w:val="28"/>
          <w:szCs w:val="28"/>
          <w14:textFill>
            <w14:solidFill>
              <w14:schemeClr w14:val="tx1"/>
            </w14:solidFill>
          </w14:textFill>
        </w:rPr>
        <w:t>56</w:t>
      </w:r>
      <w:r>
        <w:rPr>
          <w:rFonts w:hint="eastAsia" w:ascii="华文仿宋" w:hAnsi="华文仿宋" w:eastAsia="华文仿宋"/>
          <w:color w:val="000000" w:themeColor="text1"/>
          <w:sz w:val="28"/>
          <w:szCs w:val="28"/>
          <w14:textFill>
            <w14:solidFill>
              <w14:schemeClr w14:val="tx1"/>
            </w14:solidFill>
          </w14:textFill>
        </w:rPr>
        <w:t>户，企业为中心的全生命周期服务水平显著提高，行政审批服务效率居全省前列，市县乡村四级全覆盖的政务服务标准化体系基本建成，“泉好办”APP平台上线运行，力争3—5个营商环境重点指标进入全省前列。</w:t>
      </w:r>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——2025年末，市级</w:t>
      </w:r>
      <w:r>
        <w:rPr>
          <w:rFonts w:hint="eastAsia" w:ascii="华文仿宋" w:hAnsi="华文仿宋" w:eastAsia="华文仿宋"/>
          <w:color w:val="000000" w:themeColor="text1"/>
          <w:sz w:val="28"/>
          <w:szCs w:val="28"/>
          <w:lang w:val="en-US" w:eastAsia="zh-CN"/>
          <w14:textFill>
            <w14:solidFill>
              <w14:schemeClr w14:val="tx1"/>
            </w14:solidFill>
          </w14:textFill>
        </w:rPr>
        <w:t>以上</w:t>
      </w:r>
      <w:r>
        <w:rPr>
          <w:rFonts w:hint="eastAsia" w:ascii="华文仿宋" w:hAnsi="华文仿宋" w:eastAsia="华文仿宋"/>
          <w:color w:val="000000" w:themeColor="text1"/>
          <w:sz w:val="28"/>
          <w:szCs w:val="28"/>
          <w14:textFill>
            <w14:solidFill>
              <w14:schemeClr w14:val="tx1"/>
            </w14:solidFill>
          </w14:textFill>
        </w:rPr>
        <w:t>行政审批事项压减</w:t>
      </w:r>
      <w:r>
        <w:rPr>
          <w:rFonts w:ascii="华文仿宋" w:hAnsi="华文仿宋" w:eastAsia="华文仿宋"/>
          <w:color w:val="000000" w:themeColor="text1"/>
          <w:sz w:val="28"/>
          <w:szCs w:val="28"/>
          <w14:textFill>
            <w14:solidFill>
              <w14:schemeClr w14:val="tx1"/>
            </w14:solidFill>
          </w14:textFill>
        </w:rPr>
        <w:t>50%以上，全</w:t>
      </w:r>
      <w:r>
        <w:rPr>
          <w:rFonts w:hint="eastAsia" w:ascii="华文仿宋" w:hAnsi="华文仿宋" w:eastAsia="华文仿宋"/>
          <w:color w:val="000000" w:themeColor="text1"/>
          <w:sz w:val="28"/>
          <w:szCs w:val="28"/>
          <w14:textFill>
            <w14:solidFill>
              <w14:schemeClr w14:val="tx1"/>
            </w14:solidFill>
          </w14:textFill>
        </w:rPr>
        <w:t>市</w:t>
      </w:r>
      <w:r>
        <w:rPr>
          <w:rFonts w:ascii="华文仿宋" w:hAnsi="华文仿宋" w:eastAsia="华文仿宋"/>
          <w:color w:val="000000" w:themeColor="text1"/>
          <w:sz w:val="28"/>
          <w:szCs w:val="28"/>
          <w14:textFill>
            <w14:solidFill>
              <w14:schemeClr w14:val="tx1"/>
            </w14:solidFill>
          </w14:textFill>
        </w:rPr>
        <w:t>市场主体数量年均新增不低于1</w:t>
      </w:r>
      <w:r>
        <w:rPr>
          <w:rFonts w:hint="eastAsia" w:ascii="华文仿宋" w:hAnsi="华文仿宋" w:eastAsia="华文仿宋"/>
          <w:color w:val="000000" w:themeColor="text1"/>
          <w:sz w:val="28"/>
          <w:szCs w:val="28"/>
          <w:lang w:val="en-US" w:eastAsia="zh-CN"/>
          <w14:textFill>
            <w14:solidFill>
              <w14:schemeClr w14:val="tx1"/>
            </w14:solidFill>
          </w14:textFill>
        </w:rPr>
        <w:t>5</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，规上工业企业超过</w:t>
      </w:r>
      <w:r>
        <w:rPr>
          <w:rFonts w:ascii="华文仿宋" w:hAnsi="华文仿宋" w:eastAsia="华文仿宋"/>
          <w:color w:val="000000" w:themeColor="text1"/>
          <w:sz w:val="28"/>
          <w:szCs w:val="28"/>
          <w14:textFill>
            <w14:solidFill>
              <w14:schemeClr w14:val="tx1"/>
            </w14:solidFill>
          </w14:textFill>
        </w:rPr>
        <w:t>500</w:t>
      </w:r>
      <w:r>
        <w:rPr>
          <w:rFonts w:hint="eastAsia" w:ascii="华文仿宋" w:hAnsi="华文仿宋" w:eastAsia="华文仿宋"/>
          <w:color w:val="000000" w:themeColor="text1"/>
          <w:sz w:val="28"/>
          <w:szCs w:val="28"/>
          <w14:textFill>
            <w14:solidFill>
              <w14:schemeClr w14:val="tx1"/>
            </w14:solidFill>
          </w14:textFill>
        </w:rPr>
        <w:t>户，“互联网+监管”主要行业应用基本实现全覆盖，“泉好办”APP平台与政府部门办事和服务系统集成融合，持续推动第三方机构按照标准规范与平台应用对接，市场化</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法治化</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国际化营商环境基本形成，营商环境整体实现新的跃升，达到全省领先水平。</w:t>
      </w:r>
    </w:p>
    <w:p>
      <w:pPr>
        <w:pStyle w:val="2"/>
        <w:ind w:firstLine="560" w:firstLineChars="200"/>
        <w:jc w:val="left"/>
        <w:rPr>
          <w:rFonts w:ascii="华文仿宋" w:hAnsi="华文仿宋" w:eastAsia="华文仿宋" w:cstheme="minorBidi"/>
          <w:b w:val="0"/>
          <w:bCs w:val="0"/>
          <w:color w:val="000000" w:themeColor="text1"/>
          <w:sz w:val="28"/>
          <w:szCs w:val="28"/>
          <w14:textFill>
            <w14:solidFill>
              <w14:schemeClr w14:val="tx1"/>
            </w14:solidFill>
          </w14:textFill>
        </w:rPr>
      </w:pPr>
    </w:p>
    <w:p>
      <w:pPr>
        <w:pStyle w:val="3"/>
        <w:pageBreakBefore/>
        <w:ind w:firstLine="560" w:firstLineChars="200"/>
        <w:jc w:val="left"/>
        <w:rPr>
          <w:rFonts w:ascii="黑体" w:hAnsi="黑体" w:eastAsia="黑体"/>
          <w:b w:val="0"/>
          <w:bCs w:val="0"/>
          <w:color w:val="000000" w:themeColor="text1"/>
          <w:sz w:val="28"/>
          <w:szCs w:val="28"/>
          <w14:textFill>
            <w14:solidFill>
              <w14:schemeClr w14:val="tx1"/>
            </w14:solidFill>
          </w14:textFill>
        </w:rPr>
      </w:pPr>
      <w:bookmarkStart w:id="19" w:name="_Toc72943024"/>
      <w:r>
        <w:rPr>
          <w:rFonts w:hint="eastAsia" w:ascii="黑体" w:hAnsi="黑体" w:eastAsia="黑体"/>
          <w:b w:val="0"/>
          <w:bCs w:val="0"/>
          <w:color w:val="000000" w:themeColor="text1"/>
          <w:sz w:val="28"/>
          <w:szCs w:val="28"/>
          <w:lang w:val="en-US" w:eastAsia="zh-CN"/>
          <w14:textFill>
            <w14:solidFill>
              <w14:schemeClr w14:val="tx1"/>
            </w14:solidFill>
          </w14:textFill>
        </w:rPr>
        <w:t>三、</w:t>
      </w:r>
      <w:r>
        <w:rPr>
          <w:rFonts w:hint="eastAsia" w:ascii="黑体" w:hAnsi="黑体" w:eastAsia="黑体"/>
          <w:b w:val="0"/>
          <w:bCs w:val="0"/>
          <w:color w:val="000000" w:themeColor="text1"/>
          <w:sz w:val="28"/>
          <w:szCs w:val="28"/>
          <w14:textFill>
            <w14:solidFill>
              <w14:schemeClr w14:val="tx1"/>
            </w14:solidFill>
          </w14:textFill>
        </w:rPr>
        <w:t>重点建设任务</w:t>
      </w:r>
      <w:bookmarkEnd w:id="19"/>
    </w:p>
    <w:p>
      <w:pPr>
        <w:pStyle w:val="4"/>
        <w:ind w:left="0" w:leftChars="0" w:firstLine="560" w:firstLineChars="200"/>
        <w:jc w:val="left"/>
        <w:rPr>
          <w:rFonts w:ascii="楷体" w:hAnsi="楷体" w:eastAsia="楷体"/>
          <w:b w:val="0"/>
          <w:bCs w:val="0"/>
          <w:color w:val="000000" w:themeColor="text1"/>
          <w:szCs w:val="28"/>
          <w14:textFill>
            <w14:solidFill>
              <w14:schemeClr w14:val="tx1"/>
            </w14:solidFill>
          </w14:textFill>
        </w:rPr>
      </w:pPr>
      <w:bookmarkStart w:id="20" w:name="_Toc72943025"/>
      <w:r>
        <w:rPr>
          <w:rFonts w:hint="eastAsia" w:ascii="楷体" w:hAnsi="楷体" w:eastAsia="楷体"/>
          <w:b w:val="0"/>
          <w:bCs w:val="0"/>
          <w:color w:val="000000" w:themeColor="text1"/>
          <w:szCs w:val="28"/>
          <w:lang w:val="en-US" w:eastAsia="zh-CN"/>
          <w14:textFill>
            <w14:solidFill>
              <w14:schemeClr w14:val="tx1"/>
            </w14:solidFill>
          </w14:textFill>
        </w:rPr>
        <w:t>(一)</w:t>
      </w:r>
      <w:bookmarkEnd w:id="20"/>
      <w:r>
        <w:rPr>
          <w:rFonts w:hint="eastAsia" w:ascii="楷体" w:hAnsi="楷体" w:eastAsia="楷体"/>
          <w:b w:val="0"/>
          <w:bCs w:val="0"/>
          <w:color w:val="000000" w:themeColor="text1"/>
          <w:szCs w:val="28"/>
          <w:lang w:val="en-US" w:eastAsia="zh-CN"/>
          <w14:textFill>
            <w14:solidFill>
              <w14:schemeClr w14:val="tx1"/>
            </w14:solidFill>
          </w14:textFill>
        </w:rPr>
        <w:t>以“简政放权便利化”为目标，在审批制度改革上实现新突破</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1. </w:t>
      </w:r>
      <w:r>
        <w:rPr>
          <w:rFonts w:hint="eastAsia" w:ascii="仿宋" w:hAnsi="仿宋" w:eastAsia="仿宋"/>
          <w:b/>
          <w:bCs/>
          <w:color w:val="000000" w:themeColor="text1"/>
          <w:sz w:val="28"/>
          <w:szCs w:val="28"/>
          <w14:textFill>
            <w14:solidFill>
              <w14:schemeClr w14:val="tx1"/>
            </w14:solidFill>
          </w14:textFill>
        </w:rPr>
        <w:t>市场准入再放宽</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严格落实市场准入负面清单、外商投资准入负面清单等制度，不断缩减清单事项，推动“非禁即入”普遍落实。放宽服务消费领域市场准入，鼓励教育培训、医疗健康、养老托育、文旅体育等服务发展，推动服务消费的提质扩容。建立信息公开平台，实现清单事项网上公开便捷查询。保障各类企业在政策支持、资质许可、政府采购、标准制定等方面的公平待遇和合法权益。</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2. </w:t>
      </w:r>
      <w:r>
        <w:rPr>
          <w:rFonts w:hint="eastAsia" w:ascii="仿宋" w:hAnsi="仿宋" w:eastAsia="仿宋"/>
          <w:b/>
          <w:bCs/>
          <w:color w:val="000000" w:themeColor="text1"/>
          <w:sz w:val="28"/>
          <w:szCs w:val="28"/>
          <w14:textFill>
            <w14:solidFill>
              <w14:schemeClr w14:val="tx1"/>
            </w14:solidFill>
          </w14:textFill>
        </w:rPr>
        <w:t>简政放权再深入</w:t>
      </w:r>
      <w:r>
        <w:rPr>
          <w:rFonts w:hint="eastAsia" w:ascii="仿宋" w:hAnsi="仿宋" w:eastAsia="仿宋"/>
          <w:b/>
          <w:bCs/>
          <w:color w:val="000000" w:themeColor="text1"/>
          <w:sz w:val="28"/>
          <w:szCs w:val="28"/>
          <w:lang w:eastAsia="zh-CN"/>
          <w14:textFill>
            <w14:solidFill>
              <w14:schemeClr w14:val="tx1"/>
            </w14:solidFill>
          </w14:textFill>
        </w:rPr>
        <w:t>。</w:t>
      </w:r>
      <w:bookmarkStart w:id="21" w:name="_Toc4780"/>
      <w:bookmarkStart w:id="22" w:name="_Toc9543"/>
      <w:bookmarkStart w:id="23" w:name="_Toc27737"/>
      <w:bookmarkStart w:id="24" w:name="_Toc15198"/>
      <w:r>
        <w:rPr>
          <w:rFonts w:hint="eastAsia" w:ascii="华文仿宋" w:hAnsi="华文仿宋" w:eastAsia="华文仿宋"/>
          <w:color w:val="000000" w:themeColor="text1"/>
          <w:sz w:val="28"/>
          <w:szCs w:val="28"/>
          <w14:textFill>
            <w14:solidFill>
              <w14:schemeClr w14:val="tx1"/>
            </w14:solidFill>
          </w14:textFill>
        </w:rPr>
        <w:t>应用省级政务服务事项库，实现所有政务服务事项一库汇聚、动态管理，做好“减放并转调”的工作，确保发布的政务服务事项数据同源、同步更新。清理减并多头审批，重复审批，切实改变“以批代管”的情况。进一步压减工业生产许可证，推动</w:t>
      </w:r>
      <w:r>
        <w:rPr>
          <w:rFonts w:ascii="华文仿宋" w:hAnsi="华文仿宋" w:eastAsia="华文仿宋"/>
          <w:color w:val="000000" w:themeColor="text1"/>
          <w:sz w:val="28"/>
          <w:szCs w:val="28"/>
          <w14:textFill>
            <w14:solidFill>
              <w14:schemeClr w14:val="tx1"/>
            </w14:solidFill>
          </w14:textFill>
        </w:rPr>
        <w:t>工业产品质量保障体系</w:t>
      </w:r>
      <w:r>
        <w:rPr>
          <w:rFonts w:hint="eastAsia" w:ascii="华文仿宋" w:hAnsi="华文仿宋" w:eastAsia="华文仿宋"/>
          <w:color w:val="000000" w:themeColor="text1"/>
          <w:sz w:val="28"/>
          <w:szCs w:val="28"/>
          <w14:textFill>
            <w14:solidFill>
              <w14:schemeClr w14:val="tx1"/>
            </w14:solidFill>
          </w14:textFill>
        </w:rPr>
        <w:t>升级</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探索实施</w:t>
      </w:r>
      <w:r>
        <w:rPr>
          <w:rFonts w:ascii="华文仿宋" w:hAnsi="华文仿宋" w:eastAsia="华文仿宋"/>
          <w:color w:val="000000" w:themeColor="text1"/>
          <w:sz w:val="28"/>
          <w:szCs w:val="28"/>
          <w14:textFill>
            <w14:solidFill>
              <w14:schemeClr w14:val="tx1"/>
            </w14:solidFill>
          </w14:textFill>
        </w:rPr>
        <w:t>强制性产品认证“单轨制”。</w:t>
      </w:r>
      <w:r>
        <w:rPr>
          <w:rFonts w:hint="eastAsia" w:ascii="华文仿宋" w:hAnsi="华文仿宋" w:eastAsia="华文仿宋"/>
          <w:color w:val="000000" w:themeColor="text1"/>
          <w:sz w:val="28"/>
          <w:szCs w:val="28"/>
          <w14:textFill>
            <w14:solidFill>
              <w14:schemeClr w14:val="tx1"/>
            </w14:solidFill>
          </w14:textFill>
        </w:rPr>
        <w:t>2021年底</w:t>
      </w:r>
      <w:r>
        <w:rPr>
          <w:rFonts w:hint="eastAsia" w:ascii="华文仿宋" w:hAnsi="华文仿宋" w:eastAsia="华文仿宋"/>
          <w:color w:val="000000" w:themeColor="text1"/>
          <w:sz w:val="28"/>
          <w:szCs w:val="28"/>
          <w:lang w:val="en-US" w:eastAsia="zh-CN"/>
          <w14:textFill>
            <w14:solidFill>
              <w14:schemeClr w14:val="tx1"/>
            </w14:solidFill>
          </w14:textFill>
        </w:rPr>
        <w:t>开始</w:t>
      </w:r>
      <w:r>
        <w:rPr>
          <w:rFonts w:hint="eastAsia" w:ascii="华文仿宋" w:hAnsi="华文仿宋" w:eastAsia="华文仿宋"/>
          <w:color w:val="000000" w:themeColor="text1"/>
          <w:sz w:val="28"/>
          <w:szCs w:val="28"/>
          <w14:textFill>
            <w14:solidFill>
              <w14:schemeClr w14:val="tx1"/>
            </w14:solidFill>
          </w14:textFill>
        </w:rPr>
        <w:t>乡镇（街道）、村（社区）便民服务点布设，委托下放高频事项审批权限。规范登记、年检、认定等行政行为，依法整治变相审批。</w:t>
      </w:r>
      <w:bookmarkEnd w:id="21"/>
      <w:bookmarkEnd w:id="22"/>
      <w:bookmarkEnd w:id="23"/>
      <w:bookmarkEnd w:id="24"/>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3. </w:t>
      </w:r>
      <w:r>
        <w:rPr>
          <w:rFonts w:hint="eastAsia" w:ascii="仿宋" w:hAnsi="仿宋" w:eastAsia="仿宋"/>
          <w:b/>
          <w:bCs/>
          <w:color w:val="000000" w:themeColor="text1"/>
          <w:sz w:val="28"/>
          <w:szCs w:val="28"/>
          <w14:textFill>
            <w14:solidFill>
              <w14:schemeClr w14:val="tx1"/>
            </w14:solidFill>
          </w14:textFill>
        </w:rPr>
        <w:t>市场竞争再开放</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紧密结合垄断行业改革和国企改革三年行动，深化混合所有制改革，</w:t>
      </w:r>
      <w:r>
        <w:rPr>
          <w:rFonts w:ascii="华文仿宋" w:hAnsi="华文仿宋" w:eastAsia="华文仿宋"/>
          <w:color w:val="000000" w:themeColor="text1"/>
          <w:sz w:val="28"/>
          <w:szCs w:val="28"/>
          <w14:textFill>
            <w14:solidFill>
              <w14:schemeClr w14:val="tx1"/>
            </w14:solidFill>
          </w14:textFill>
        </w:rPr>
        <w:t>根据</w:t>
      </w:r>
      <w:r>
        <w:rPr>
          <w:rFonts w:hint="eastAsia" w:ascii="华文仿宋" w:hAnsi="华文仿宋" w:eastAsia="华文仿宋"/>
          <w:color w:val="000000" w:themeColor="text1"/>
          <w:sz w:val="28"/>
          <w:szCs w:val="28"/>
          <w14:textFill>
            <w14:solidFill>
              <w14:schemeClr w14:val="tx1"/>
            </w14:solidFill>
          </w14:textFill>
        </w:rPr>
        <w:t>电力、交通运输等</w:t>
      </w:r>
      <w:r>
        <w:rPr>
          <w:rFonts w:hint="eastAsia" w:ascii="华文仿宋" w:hAnsi="华文仿宋" w:eastAsia="华文仿宋"/>
          <w:color w:val="000000" w:themeColor="text1"/>
          <w:sz w:val="28"/>
          <w:szCs w:val="28"/>
          <w:lang w:val="en-US" w:eastAsia="zh-CN"/>
          <w14:textFill>
            <w14:solidFill>
              <w14:schemeClr w14:val="tx1"/>
            </w14:solidFill>
          </w14:textFill>
        </w:rPr>
        <w:t>重点行业和领域</w:t>
      </w:r>
      <w:r>
        <w:rPr>
          <w:rFonts w:ascii="华文仿宋" w:hAnsi="华文仿宋" w:eastAsia="华文仿宋"/>
          <w:color w:val="000000" w:themeColor="text1"/>
          <w:sz w:val="28"/>
          <w:szCs w:val="28"/>
          <w14:textFill>
            <w14:solidFill>
              <w14:schemeClr w14:val="tx1"/>
            </w14:solidFill>
          </w14:textFill>
        </w:rPr>
        <w:t>特点</w:t>
      </w:r>
      <w:r>
        <w:rPr>
          <w:rFonts w:hint="eastAsia" w:ascii="华文仿宋" w:hAnsi="华文仿宋" w:eastAsia="华文仿宋"/>
          <w:color w:val="000000" w:themeColor="text1"/>
          <w:sz w:val="28"/>
          <w:szCs w:val="28"/>
          <w:lang w:val="en-US" w:eastAsia="zh-CN"/>
          <w14:textFill>
            <w14:solidFill>
              <w14:schemeClr w14:val="tx1"/>
            </w14:solidFill>
          </w14:textFill>
        </w:rPr>
        <w:t>探索</w:t>
      </w:r>
      <w:r>
        <w:rPr>
          <w:rFonts w:ascii="华文仿宋" w:hAnsi="华文仿宋" w:eastAsia="华文仿宋"/>
          <w:color w:val="000000" w:themeColor="text1"/>
          <w:sz w:val="28"/>
          <w:szCs w:val="28"/>
          <w14:textFill>
            <w14:solidFill>
              <w14:schemeClr w14:val="tx1"/>
            </w14:solidFill>
          </w14:textFill>
        </w:rPr>
        <w:t>放开竞争性业务。</w:t>
      </w:r>
      <w:r>
        <w:rPr>
          <w:rFonts w:hint="eastAsia" w:ascii="华文仿宋" w:hAnsi="华文仿宋" w:eastAsia="华文仿宋"/>
          <w:color w:val="000000" w:themeColor="text1"/>
          <w:sz w:val="28"/>
          <w:szCs w:val="28"/>
          <w14:textFill>
            <w14:solidFill>
              <w14:schemeClr w14:val="tx1"/>
            </w14:solidFill>
          </w14:textFill>
        </w:rPr>
        <w:t>特别是对政府投资的基础设施、公共服务等工程全面引入竞争机制，鼓励优质资本参与建设开发。</w:t>
      </w:r>
      <w:r>
        <w:rPr>
          <w:rFonts w:ascii="华文仿宋" w:hAnsi="华文仿宋" w:eastAsia="华文仿宋"/>
          <w:color w:val="000000" w:themeColor="text1"/>
          <w:sz w:val="28"/>
          <w:szCs w:val="28"/>
          <w14:textFill>
            <w14:solidFill>
              <w14:schemeClr w14:val="tx1"/>
            </w14:solidFill>
          </w14:textFill>
        </w:rPr>
        <w:t>持续查处并公布行政垄断案件，纠正滥用行政权力排除</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限制竞争行为。</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4. </w:t>
      </w:r>
      <w:r>
        <w:rPr>
          <w:rFonts w:hint="eastAsia" w:ascii="仿宋" w:hAnsi="仿宋" w:eastAsia="仿宋"/>
          <w:b/>
          <w:bCs/>
          <w:color w:val="000000" w:themeColor="text1"/>
          <w:sz w:val="28"/>
          <w:szCs w:val="28"/>
          <w14:textFill>
            <w14:solidFill>
              <w14:schemeClr w14:val="tx1"/>
            </w14:solidFill>
          </w14:textFill>
        </w:rPr>
        <w:t>“证照分离”再升级</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紧紧围绕简政放权、放管结合、优化服务，全面</w:t>
      </w:r>
      <w:r>
        <w:rPr>
          <w:rFonts w:hint="eastAsia" w:ascii="华文仿宋" w:hAnsi="华文仿宋" w:eastAsia="华文仿宋"/>
          <w:color w:val="000000" w:themeColor="text1"/>
          <w:sz w:val="28"/>
          <w:szCs w:val="28"/>
          <w:lang w:val="en-US" w:eastAsia="zh-CN"/>
          <w14:textFill>
            <w14:solidFill>
              <w14:schemeClr w14:val="tx1"/>
            </w14:solidFill>
          </w14:textFill>
        </w:rPr>
        <w:t>深化</w:t>
      </w:r>
      <w:r>
        <w:rPr>
          <w:rFonts w:hint="eastAsia" w:ascii="华文仿宋" w:hAnsi="华文仿宋" w:eastAsia="华文仿宋"/>
          <w:color w:val="000000" w:themeColor="text1"/>
          <w:sz w:val="28"/>
          <w:szCs w:val="28"/>
          <w14:textFill>
            <w14:solidFill>
              <w14:schemeClr w14:val="tx1"/>
            </w14:solidFill>
          </w14:textFill>
        </w:rPr>
        <w:t>“证照分离”改革。采取</w:t>
      </w:r>
      <w:r>
        <w:rPr>
          <w:rFonts w:hint="eastAsia" w:ascii="华文仿宋" w:hAnsi="华文仿宋" w:eastAsia="华文仿宋"/>
          <w:color w:val="000000" w:themeColor="text1"/>
          <w:sz w:val="28"/>
          <w:szCs w:val="28"/>
          <w:lang w:val="en-US" w:eastAsia="zh-CN"/>
          <w14:textFill>
            <w14:solidFill>
              <w14:schemeClr w14:val="tx1"/>
            </w14:solidFill>
          </w14:textFill>
        </w:rPr>
        <w:t>直接</w:t>
      </w:r>
      <w:r>
        <w:rPr>
          <w:rFonts w:hint="eastAsia" w:ascii="华文仿宋" w:hAnsi="华文仿宋" w:eastAsia="华文仿宋"/>
          <w:color w:val="000000" w:themeColor="text1"/>
          <w:sz w:val="28"/>
          <w:szCs w:val="28"/>
          <w14:textFill>
            <w14:solidFill>
              <w14:schemeClr w14:val="tx1"/>
            </w14:solidFill>
          </w14:textFill>
        </w:rPr>
        <w:t>取消审批、审批改为备案、实行告知承诺、优化准入服务等方式，完善制度设计和政策构架，推动提速扩容。</w:t>
      </w:r>
      <w:r>
        <w:rPr>
          <w:rFonts w:hint="eastAsia" w:ascii="华文仿宋" w:hAnsi="华文仿宋" w:eastAsia="华文仿宋"/>
          <w:color w:val="000000" w:themeColor="text1"/>
          <w:sz w:val="28"/>
          <w:szCs w:val="28"/>
          <w:lang w:val="en-US" w:eastAsia="zh-CN"/>
          <w14:textFill>
            <w14:solidFill>
              <w14:schemeClr w14:val="tx1"/>
            </w14:solidFill>
          </w14:textFill>
        </w:rPr>
        <w:t>探索建立综合许可制度，</w:t>
      </w:r>
      <w:r>
        <w:rPr>
          <w:rFonts w:ascii="华文仿宋" w:hAnsi="华文仿宋" w:eastAsia="华文仿宋"/>
          <w:color w:val="000000" w:themeColor="text1"/>
          <w:sz w:val="28"/>
          <w:szCs w:val="28"/>
          <w14:textFill>
            <w14:solidFill>
              <w14:schemeClr w14:val="tx1"/>
            </w14:solidFill>
          </w14:textFill>
        </w:rPr>
        <w:t>对“</w:t>
      </w:r>
      <w:r>
        <w:rPr>
          <w:rFonts w:hint="eastAsia" w:ascii="华文仿宋" w:hAnsi="华文仿宋" w:eastAsia="华文仿宋"/>
          <w:color w:val="000000" w:themeColor="text1"/>
          <w:sz w:val="28"/>
          <w:szCs w:val="28"/>
          <w:lang w:val="en-US" w:eastAsia="zh-CN"/>
          <w14:textFill>
            <w14:solidFill>
              <w14:schemeClr w14:val="tx1"/>
            </w14:solidFill>
          </w14:textFill>
        </w:rPr>
        <w:t>一业一证</w:t>
      </w:r>
      <w:r>
        <w:rPr>
          <w:rFonts w:ascii="华文仿宋" w:hAnsi="华文仿宋" w:eastAsia="华文仿宋"/>
          <w:color w:val="000000" w:themeColor="text1"/>
          <w:sz w:val="28"/>
          <w:szCs w:val="28"/>
          <w14:textFill>
            <w14:solidFill>
              <w14:schemeClr w14:val="tx1"/>
            </w14:solidFill>
          </w14:textFill>
        </w:rPr>
        <w:t>”改革涉企证照事项实行动态管理，将目录以外符合整合要求的证照事项分期分批纳入改革范围。</w:t>
      </w:r>
      <w:r>
        <w:rPr>
          <w:rFonts w:hint="eastAsia" w:ascii="华文仿宋" w:hAnsi="华文仿宋" w:eastAsia="华文仿宋"/>
          <w:color w:val="000000" w:themeColor="text1"/>
          <w:sz w:val="28"/>
          <w:szCs w:val="28"/>
          <w14:textFill>
            <w14:solidFill>
              <w14:schemeClr w14:val="tx1"/>
            </w14:solidFill>
          </w14:textFill>
        </w:rPr>
        <w:t>到</w:t>
      </w:r>
      <w:r>
        <w:rPr>
          <w:rFonts w:ascii="华文仿宋" w:hAnsi="华文仿宋" w:eastAsia="华文仿宋"/>
          <w:color w:val="000000" w:themeColor="text1"/>
          <w:sz w:val="28"/>
          <w:szCs w:val="28"/>
          <w14:textFill>
            <w14:solidFill>
              <w14:schemeClr w14:val="tx1"/>
            </w14:solidFill>
          </w14:textFill>
        </w:rPr>
        <w:t>2025年，将行业经营涉及的行政审批与企业营业执照全面合并，从根本上破解企业“准入不准营”难题，真正实现</w:t>
      </w:r>
      <w:r>
        <w:rPr>
          <w:rFonts w:hint="eastAsia" w:ascii="华文仿宋" w:hAnsi="华文仿宋" w:eastAsia="华文仿宋"/>
          <w:color w:val="000000" w:themeColor="text1"/>
          <w:sz w:val="28"/>
          <w:szCs w:val="28"/>
          <w14:textFill>
            <w14:solidFill>
              <w14:schemeClr w14:val="tx1"/>
            </w14:solidFill>
          </w14:textFill>
        </w:rPr>
        <w:t>营业执照在各部门间的认可和使用。</w:t>
      </w:r>
    </w:p>
    <w:p>
      <w:pPr>
        <w:spacing w:before="156" w:beforeLines="50" w:after="156" w:afterLines="50"/>
        <w:ind w:firstLine="562" w:firstLineChars="200"/>
        <w:rPr>
          <w:rFonts w:ascii="仿宋" w:hAnsi="仿宋" w:eastAsia="仿宋" w:cs="仿宋_GB2312"/>
          <w:b/>
          <w:i/>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5. </w:t>
      </w:r>
      <w:r>
        <w:rPr>
          <w:rFonts w:hint="eastAsia" w:ascii="仿宋" w:hAnsi="仿宋" w:eastAsia="仿宋"/>
          <w:b/>
          <w:bCs/>
          <w:color w:val="000000" w:themeColor="text1"/>
          <w:sz w:val="28"/>
          <w:szCs w:val="28"/>
          <w14:textFill>
            <w14:solidFill>
              <w14:schemeClr w14:val="tx1"/>
            </w14:solidFill>
          </w14:textFill>
        </w:rPr>
        <w:t>跨境贸易再提速</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加大国际贸易“单一窗口”推广应用力度。发挥“单一窗口”在贸易便利方面的作用，将“单一窗口”功能覆盖国际贸易全链条。贯彻落实统一申报单证、统一作业系统、统一风险研判、统一指令下达、统一现场执法要求，不断优化通关流程，巩固压缩通关时间</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以“两步申报”改革为牵引，探索海关5G报关系统向市、县政务大厅延伸，提高系统自动审核放行比率，出口查验率不超过2%，货物整体通关时间再压缩1/3以上。实施口岸收费目录清单公示制度，进一步降低进出口环节合规成本。加快出口退税进度。2021年全面推广无纸化单证备案。</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6. </w:t>
      </w:r>
      <w:r>
        <w:rPr>
          <w:rFonts w:hint="eastAsia" w:ascii="仿宋" w:hAnsi="仿宋" w:eastAsia="仿宋"/>
          <w:b/>
          <w:bCs/>
          <w:color w:val="000000" w:themeColor="text1"/>
          <w:sz w:val="28"/>
          <w:szCs w:val="28"/>
          <w14:textFill>
            <w14:solidFill>
              <w14:schemeClr w14:val="tx1"/>
            </w14:solidFill>
          </w14:textFill>
        </w:rPr>
        <w:t>授权赋权再加力</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借鉴</w:t>
      </w:r>
      <w:r>
        <w:rPr>
          <w:rFonts w:ascii="华文仿宋" w:hAnsi="华文仿宋" w:eastAsia="华文仿宋"/>
          <w:color w:val="000000" w:themeColor="text1"/>
          <w:sz w:val="28"/>
          <w:szCs w:val="28"/>
          <w14:textFill>
            <w14:solidFill>
              <w14:schemeClr w14:val="tx1"/>
            </w14:solidFill>
          </w14:textFill>
        </w:rPr>
        <w:t>山西转型综合改革示范区授权</w:t>
      </w:r>
      <w:r>
        <w:rPr>
          <w:rFonts w:hint="eastAsia" w:ascii="华文仿宋" w:hAnsi="华文仿宋" w:eastAsia="华文仿宋"/>
          <w:color w:val="000000" w:themeColor="text1"/>
          <w:sz w:val="28"/>
          <w:szCs w:val="28"/>
          <w14:textFill>
            <w14:solidFill>
              <w14:schemeClr w14:val="tx1"/>
            </w14:solidFill>
          </w14:textFill>
        </w:rPr>
        <w:t>赋权</w:t>
      </w:r>
      <w:r>
        <w:rPr>
          <w:rFonts w:ascii="华文仿宋" w:hAnsi="华文仿宋" w:eastAsia="华文仿宋"/>
          <w:color w:val="000000" w:themeColor="text1"/>
          <w:sz w:val="28"/>
          <w:szCs w:val="28"/>
          <w14:textFill>
            <w14:solidFill>
              <w14:schemeClr w14:val="tx1"/>
            </w14:solidFill>
          </w14:textFill>
        </w:rPr>
        <w:t>经验，根据开发区的实际需要和承接能力，进一步加快向开发区授权</w:t>
      </w:r>
      <w:r>
        <w:rPr>
          <w:rFonts w:hint="eastAsia" w:ascii="华文仿宋" w:hAnsi="华文仿宋" w:eastAsia="华文仿宋"/>
          <w:color w:val="000000" w:themeColor="text1"/>
          <w:sz w:val="28"/>
          <w:szCs w:val="28"/>
          <w14:textFill>
            <w14:solidFill>
              <w14:schemeClr w14:val="tx1"/>
            </w14:solidFill>
          </w14:textFill>
        </w:rPr>
        <w:t>赋权</w:t>
      </w:r>
      <w:r>
        <w:rPr>
          <w:rFonts w:ascii="华文仿宋" w:hAnsi="华文仿宋" w:eastAsia="华文仿宋"/>
          <w:color w:val="000000" w:themeColor="text1"/>
          <w:sz w:val="28"/>
          <w:szCs w:val="28"/>
          <w14:textFill>
            <w14:solidFill>
              <w14:schemeClr w14:val="tx1"/>
            </w14:solidFill>
          </w14:textFill>
        </w:rPr>
        <w:t>工作，按照“能赋尽赋、能放尽放”的原则，加快推动向开发区赋权到位。</w:t>
      </w:r>
      <w:r>
        <w:rPr>
          <w:rFonts w:hint="eastAsia" w:ascii="华文仿宋" w:hAnsi="华文仿宋" w:eastAsia="华文仿宋"/>
          <w:bCs/>
          <w:color w:val="000000" w:themeColor="text1"/>
          <w:sz w:val="28"/>
          <w:szCs w:val="32"/>
          <w14:textFill>
            <w14:solidFill>
              <w14:schemeClr w14:val="tx1"/>
            </w14:solidFill>
          </w14:textFill>
        </w:rPr>
        <w:t>深化管运分离试点改革，创新园区建设投融资机制。</w:t>
      </w:r>
      <w:r>
        <w:rPr>
          <w:rFonts w:hint="eastAsia" w:ascii="华文仿宋" w:hAnsi="华文仿宋" w:eastAsia="华文仿宋"/>
          <w:color w:val="000000" w:themeColor="text1"/>
          <w:sz w:val="28"/>
          <w:szCs w:val="28"/>
          <w14:textFill>
            <w14:solidFill>
              <w14:schemeClr w14:val="tx1"/>
            </w14:solidFill>
          </w14:textFill>
        </w:rPr>
        <w:t>打造“能快则快”“能优则优”“能细则细”的高标准、扁平化审批服务，持续提升开发区营商环境“含金量”，充分发挥开发区创新示范效应。到2025年，基本实现“区内事，区内办”。</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7. </w:t>
      </w:r>
      <w:r>
        <w:rPr>
          <w:rFonts w:hint="eastAsia" w:ascii="仿宋" w:hAnsi="仿宋" w:eastAsia="仿宋"/>
          <w:b/>
          <w:bCs/>
          <w:color w:val="000000" w:themeColor="text1"/>
          <w:sz w:val="28"/>
          <w:szCs w:val="28"/>
          <w14:textFill>
            <w14:solidFill>
              <w14:schemeClr w14:val="tx1"/>
            </w14:solidFill>
          </w14:textFill>
        </w:rPr>
        <w:t>推动政务服务“全程网办”</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对接全省一体化在线政务服务平台，</w:t>
      </w:r>
      <w:r>
        <w:rPr>
          <w:rFonts w:hint="eastAsia" w:ascii="华文仿宋" w:hAnsi="华文仿宋" w:eastAsia="华文仿宋"/>
          <w:color w:val="000000" w:themeColor="text1"/>
          <w:sz w:val="28"/>
          <w:szCs w:val="28"/>
          <w:lang w:val="en-US" w:eastAsia="zh-CN"/>
          <w14:textFill>
            <w14:solidFill>
              <w14:schemeClr w14:val="tx1"/>
            </w14:solidFill>
          </w14:textFill>
        </w:rPr>
        <w:t>整合各</w:t>
      </w:r>
      <w:r>
        <w:rPr>
          <w:rFonts w:hint="eastAsia" w:ascii="华文仿宋" w:hAnsi="华文仿宋" w:eastAsia="华文仿宋"/>
          <w:color w:val="000000" w:themeColor="text1"/>
          <w:sz w:val="28"/>
          <w:szCs w:val="28"/>
          <w14:textFill>
            <w14:solidFill>
              <w14:schemeClr w14:val="tx1"/>
            </w14:solidFill>
          </w14:textFill>
        </w:rPr>
        <w:t>部门网上</w:t>
      </w:r>
      <w:r>
        <w:rPr>
          <w:rFonts w:hint="eastAsia" w:ascii="华文仿宋" w:hAnsi="华文仿宋" w:eastAsia="华文仿宋"/>
          <w:color w:val="000000" w:themeColor="text1"/>
          <w:sz w:val="28"/>
          <w:szCs w:val="28"/>
          <w:lang w:val="en-US" w:eastAsia="zh-CN"/>
          <w14:textFill>
            <w14:solidFill>
              <w14:schemeClr w14:val="tx1"/>
            </w14:solidFill>
          </w14:textFill>
        </w:rPr>
        <w:t>受理办理功能</w:t>
      </w:r>
      <w:r>
        <w:rPr>
          <w:rFonts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打造</w:t>
      </w:r>
      <w:r>
        <w:rPr>
          <w:rFonts w:hint="eastAsia" w:ascii="华文仿宋" w:hAnsi="华文仿宋" w:eastAsia="华文仿宋"/>
          <w:color w:val="000000" w:themeColor="text1"/>
          <w:sz w:val="28"/>
          <w:szCs w:val="28"/>
          <w:lang w:val="en-US" w:eastAsia="zh-CN"/>
          <w14:textFill>
            <w14:solidFill>
              <w14:schemeClr w14:val="tx1"/>
            </w14:solidFill>
          </w14:textFill>
        </w:rPr>
        <w:t>政务服务</w:t>
      </w:r>
      <w:r>
        <w:rPr>
          <w:rFonts w:hint="eastAsia" w:ascii="华文仿宋" w:hAnsi="华文仿宋" w:eastAsia="华文仿宋"/>
          <w:color w:val="000000" w:themeColor="text1"/>
          <w:sz w:val="28"/>
          <w:szCs w:val="28"/>
          <w14:textFill>
            <w14:solidFill>
              <w14:schemeClr w14:val="tx1"/>
            </w14:solidFill>
          </w14:textFill>
        </w:rPr>
        <w:t>统一入口，解决企业群众办事在不同业务系统重复注册验证、重复录入查询等问题，实现“一次认证、全网通办”，形成“纵横全覆盖、事项全口径、内容全方位、流程全链条、服务全渠道”的全市政务服务“全程网办”总门户，推动全市政务服务“一次不用跑”。</w:t>
      </w:r>
      <w:bookmarkStart w:id="25" w:name="_Toc2438"/>
      <w:bookmarkStart w:id="26" w:name="_Toc9515"/>
      <w:bookmarkStart w:id="27" w:name="_Toc1382"/>
      <w:bookmarkStart w:id="28" w:name="_Toc544"/>
      <w:bookmarkStart w:id="29" w:name="_Toc21962"/>
      <w:bookmarkStart w:id="30" w:name="_Toc21245"/>
      <w:bookmarkStart w:id="31" w:name="_Toc8360"/>
      <w:bookmarkStart w:id="32" w:name="_Toc6495"/>
      <w:bookmarkStart w:id="33" w:name="_Toc13544"/>
      <w:r>
        <w:rPr>
          <w:rFonts w:hint="eastAsia" w:ascii="华文仿宋" w:hAnsi="华文仿宋" w:eastAsia="华文仿宋"/>
          <w:color w:val="000000" w:themeColor="text1"/>
          <w:sz w:val="28"/>
          <w:szCs w:val="28"/>
          <w14:textFill>
            <w14:solidFill>
              <w14:schemeClr w14:val="tx1"/>
            </w14:solidFill>
          </w14:textFill>
        </w:rPr>
        <w:t>同时，兼顾老年人、视障听障残疾人等群众的需求，采取必要的线下补充手段，有针对性地提供人工指导和服务。</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8. </w:t>
      </w:r>
      <w:r>
        <w:rPr>
          <w:rFonts w:hint="eastAsia" w:ascii="仿宋" w:hAnsi="仿宋" w:eastAsia="仿宋"/>
          <w:b/>
          <w:bCs/>
          <w:color w:val="000000" w:themeColor="text1"/>
          <w:sz w:val="28"/>
          <w:szCs w:val="28"/>
          <w14:textFill>
            <w14:solidFill>
              <w14:schemeClr w14:val="tx1"/>
            </w14:solidFill>
          </w14:textFill>
        </w:rPr>
        <w:t>推进“减证便民”行动</w:t>
      </w:r>
      <w:r>
        <w:rPr>
          <w:rFonts w:hint="eastAsia" w:ascii="仿宋" w:hAnsi="仿宋" w:eastAsia="仿宋"/>
          <w:b/>
          <w:bCs/>
          <w:color w:val="000000" w:themeColor="text1"/>
          <w:sz w:val="28"/>
          <w:szCs w:val="28"/>
          <w:lang w:eastAsia="zh-CN"/>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进一步精简盖章、审核、备案</w:t>
      </w:r>
      <w:r>
        <w:rPr>
          <w:rFonts w:hint="eastAsia" w:ascii="华文仿宋" w:hAnsi="华文仿宋" w:eastAsia="华文仿宋"/>
          <w:color w:val="000000" w:themeColor="text1"/>
          <w:sz w:val="28"/>
          <w:szCs w:val="28"/>
          <w:lang w:eastAsia="zh-CN"/>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确认、告知等环节和手续。坚决落实国务院“六个一律取消”要求，全面清理烦扰企业和群众的“奇葩”证明、循环证明、重复证明。全面清理规范政府规章和规范性文件等设定的各类证明事项，对确需保留的证明，实行清单管理，及时公布市、县两级证明事项保留清单。</w:t>
      </w:r>
    </w:p>
    <w:bookmarkEnd w:id="25"/>
    <w:bookmarkEnd w:id="26"/>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bookmarkStart w:id="34" w:name="_Toc19837"/>
      <w:bookmarkStart w:id="35" w:name="_Toc14017"/>
      <w:r>
        <w:rPr>
          <w:rFonts w:hint="eastAsia" w:ascii="仿宋" w:hAnsi="仿宋" w:eastAsia="仿宋"/>
          <w:b/>
          <w:bCs/>
          <w:color w:val="000000" w:themeColor="text1"/>
          <w:sz w:val="28"/>
          <w:szCs w:val="28"/>
          <w:lang w:val="en-US" w:eastAsia="zh-CN"/>
          <w14:textFill>
            <w14:solidFill>
              <w14:schemeClr w14:val="tx1"/>
            </w14:solidFill>
          </w14:textFill>
        </w:rPr>
        <w:t xml:space="preserve">9. </w:t>
      </w:r>
      <w:r>
        <w:rPr>
          <w:rFonts w:hint="eastAsia" w:ascii="仿宋" w:hAnsi="仿宋" w:eastAsia="仿宋"/>
          <w:b/>
          <w:bCs/>
          <w:color w:val="000000" w:themeColor="text1"/>
          <w:sz w:val="28"/>
          <w:szCs w:val="28"/>
          <w14:textFill>
            <w14:solidFill>
              <w14:schemeClr w14:val="tx1"/>
            </w14:solidFill>
          </w14:textFill>
        </w:rPr>
        <w:t>深化“一件事一次办”</w:t>
      </w:r>
      <w:bookmarkEnd w:id="27"/>
      <w:bookmarkEnd w:id="28"/>
      <w:bookmarkEnd w:id="29"/>
      <w:bookmarkEnd w:id="30"/>
      <w:bookmarkEnd w:id="31"/>
      <w:bookmarkEnd w:id="32"/>
      <w:bookmarkEnd w:id="33"/>
      <w:bookmarkEnd w:id="34"/>
      <w:bookmarkEnd w:id="35"/>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全面梳理、公布市、县两级公共服务事项清单，实行清单化动态管理。围绕法人、自然人</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项目</w:t>
      </w:r>
      <w:r>
        <w:rPr>
          <w:rFonts w:hint="eastAsia" w:ascii="华文仿宋" w:hAnsi="华文仿宋" w:eastAsia="华文仿宋"/>
          <w:color w:val="000000" w:themeColor="text1"/>
          <w:sz w:val="28"/>
          <w:szCs w:val="28"/>
          <w14:textFill>
            <w14:solidFill>
              <w14:schemeClr w14:val="tx1"/>
            </w14:solidFill>
          </w14:textFill>
        </w:rPr>
        <w:t>全生命周期构建“一件事”集成套餐服务模式，以为企业和群众便捷高效办好“一件事”为标准，围绕申请、受理、审查、决定、送达全过程，全链条重塑再造审批流程，实施“集中受理、自动分送、协同办理、统一办结”集成服务，“一次告知，一次办理”，力争实现同类审批服务事项办理环节最少、流程最简。</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10. </w:t>
      </w:r>
      <w:r>
        <w:rPr>
          <w:rFonts w:hint="eastAsia" w:ascii="仿宋" w:hAnsi="仿宋" w:eastAsia="仿宋"/>
          <w:b/>
          <w:bCs/>
          <w:color w:val="000000" w:themeColor="text1"/>
          <w:sz w:val="28"/>
          <w:szCs w:val="28"/>
          <w14:textFill>
            <w14:solidFill>
              <w14:schemeClr w14:val="tx1"/>
            </w14:solidFill>
          </w14:textFill>
        </w:rPr>
        <w:t>推动“全市通办”“跨市通办”</w:t>
      </w:r>
      <w:r>
        <w:rPr>
          <w:rFonts w:hint="eastAsia" w:ascii="仿宋" w:hAnsi="仿宋" w:eastAsia="仿宋"/>
          <w:b/>
          <w:bCs/>
          <w:color w:val="000000" w:themeColor="text1"/>
          <w:sz w:val="28"/>
          <w:szCs w:val="28"/>
          <w:lang w:eastAsia="zh-CN"/>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全面实施政务服务</w:t>
      </w:r>
      <w:r>
        <w:rPr>
          <w:rFonts w:hint="eastAsia" w:ascii="华文仿宋" w:hAnsi="华文仿宋" w:eastAsia="华文仿宋"/>
          <w:color w:val="000000" w:themeColor="text1"/>
          <w:sz w:val="28"/>
          <w:szCs w:val="28"/>
          <w:lang w:val="en-US" w:eastAsia="zh-CN"/>
          <w14:textFill>
            <w14:solidFill>
              <w14:schemeClr w14:val="tx1"/>
            </w14:solidFill>
          </w14:textFill>
        </w:rPr>
        <w:t>精细</w:t>
      </w:r>
      <w:r>
        <w:rPr>
          <w:rFonts w:ascii="华文仿宋" w:hAnsi="华文仿宋" w:eastAsia="华文仿宋"/>
          <w:color w:val="000000" w:themeColor="text1"/>
          <w:sz w:val="28"/>
          <w:szCs w:val="28"/>
          <w14:textFill>
            <w14:solidFill>
              <w14:schemeClr w14:val="tx1"/>
            </w14:solidFill>
          </w14:textFill>
        </w:rPr>
        <w:t>化，科学细化量化审批服务标准，压减自由裁量权，完善适用规则，</w:t>
      </w:r>
      <w:r>
        <w:rPr>
          <w:rFonts w:hint="eastAsia" w:ascii="华文仿宋" w:hAnsi="华文仿宋" w:eastAsia="华文仿宋"/>
          <w:color w:val="000000" w:themeColor="text1"/>
          <w:sz w:val="28"/>
          <w:szCs w:val="28"/>
          <w14:textFill>
            <w14:solidFill>
              <w14:schemeClr w14:val="tx1"/>
            </w14:solidFill>
          </w14:textFill>
        </w:rPr>
        <w:t>加强电子证照、电子印章推广应用，</w:t>
      </w:r>
      <w:r>
        <w:rPr>
          <w:rFonts w:ascii="华文仿宋" w:hAnsi="华文仿宋" w:eastAsia="华文仿宋"/>
          <w:color w:val="000000" w:themeColor="text1"/>
          <w:sz w:val="28"/>
          <w:szCs w:val="28"/>
          <w14:textFill>
            <w14:solidFill>
              <w14:schemeClr w14:val="tx1"/>
            </w14:solidFill>
          </w14:textFill>
        </w:rPr>
        <w:t>推进</w:t>
      </w:r>
      <w:r>
        <w:rPr>
          <w:rFonts w:hint="eastAsia" w:ascii="华文仿宋" w:hAnsi="华文仿宋" w:eastAsia="华文仿宋"/>
          <w:color w:val="000000" w:themeColor="text1"/>
          <w:sz w:val="28"/>
          <w:szCs w:val="28"/>
          <w14:textFill>
            <w14:solidFill>
              <w14:schemeClr w14:val="tx1"/>
            </w14:solidFill>
          </w14:textFill>
        </w:rPr>
        <w:t>全市范围内</w:t>
      </w:r>
      <w:r>
        <w:rPr>
          <w:rFonts w:ascii="华文仿宋" w:hAnsi="华文仿宋" w:eastAsia="华文仿宋"/>
          <w:color w:val="000000" w:themeColor="text1"/>
          <w:sz w:val="28"/>
          <w:szCs w:val="28"/>
          <w14:textFill>
            <w14:solidFill>
              <w14:schemeClr w14:val="tx1"/>
            </w14:solidFill>
          </w14:textFill>
        </w:rPr>
        <w:t>同一事项无差别受理、同标准办理</w:t>
      </w:r>
      <w:r>
        <w:rPr>
          <w:rFonts w:hint="eastAsia" w:ascii="华文仿宋" w:hAnsi="华文仿宋" w:eastAsia="华文仿宋"/>
          <w:color w:val="000000" w:themeColor="text1"/>
          <w:sz w:val="28"/>
          <w:szCs w:val="28"/>
          <w14:textFill>
            <w14:solidFill>
              <w14:schemeClr w14:val="tx1"/>
            </w14:solidFill>
          </w14:textFill>
        </w:rPr>
        <w:t>。聚焦保障改善民生和</w:t>
      </w:r>
      <w:r>
        <w:rPr>
          <w:rFonts w:ascii="华文仿宋" w:hAnsi="华文仿宋" w:eastAsia="华文仿宋"/>
          <w:color w:val="000000" w:themeColor="text1"/>
          <w:sz w:val="28"/>
          <w:szCs w:val="28"/>
          <w14:textFill>
            <w14:solidFill>
              <w14:schemeClr w14:val="tx1"/>
            </w14:solidFill>
          </w14:textFill>
        </w:rPr>
        <w:t>助力惠企利企</w:t>
      </w:r>
      <w:r>
        <w:rPr>
          <w:rFonts w:hint="eastAsia" w:ascii="华文仿宋" w:hAnsi="华文仿宋" w:eastAsia="华文仿宋"/>
          <w:color w:val="000000" w:themeColor="text1"/>
          <w:sz w:val="28"/>
          <w:szCs w:val="28"/>
          <w14:textFill>
            <w14:solidFill>
              <w14:schemeClr w14:val="tx1"/>
            </w14:solidFill>
          </w14:textFill>
        </w:rPr>
        <w:t>，实现</w:t>
      </w:r>
      <w:r>
        <w:rPr>
          <w:rFonts w:ascii="华文仿宋" w:hAnsi="华文仿宋" w:eastAsia="华文仿宋"/>
          <w:color w:val="000000" w:themeColor="text1"/>
          <w:sz w:val="28"/>
          <w:szCs w:val="28"/>
          <w14:textFill>
            <w14:solidFill>
              <w14:schemeClr w14:val="tx1"/>
            </w14:solidFill>
          </w14:textFill>
        </w:rPr>
        <w:t>高频事项“全</w:t>
      </w:r>
      <w:r>
        <w:rPr>
          <w:rFonts w:hint="eastAsia" w:ascii="华文仿宋" w:hAnsi="华文仿宋" w:eastAsia="华文仿宋"/>
          <w:color w:val="000000" w:themeColor="text1"/>
          <w:sz w:val="28"/>
          <w:szCs w:val="28"/>
          <w14:textFill>
            <w14:solidFill>
              <w14:schemeClr w14:val="tx1"/>
            </w14:solidFill>
          </w14:textFill>
        </w:rPr>
        <w:t>市</w:t>
      </w:r>
      <w:r>
        <w:rPr>
          <w:rFonts w:ascii="华文仿宋" w:hAnsi="华文仿宋" w:eastAsia="华文仿宋"/>
          <w:color w:val="000000" w:themeColor="text1"/>
          <w:sz w:val="28"/>
          <w:szCs w:val="28"/>
          <w14:textFill>
            <w14:solidFill>
              <w14:schemeClr w14:val="tx1"/>
            </w14:solidFill>
          </w14:textFill>
        </w:rPr>
        <w:t>通办”</w:t>
      </w:r>
      <w:r>
        <w:rPr>
          <w:rFonts w:hint="eastAsia" w:ascii="华文仿宋" w:hAnsi="华文仿宋" w:eastAsia="华文仿宋"/>
          <w:color w:val="000000" w:themeColor="text1"/>
          <w:sz w:val="28"/>
          <w:szCs w:val="28"/>
          <w14:textFill>
            <w14:solidFill>
              <w14:schemeClr w14:val="tx1"/>
            </w14:solidFill>
          </w14:textFill>
        </w:rPr>
        <w:t>，对接“全省通办”“跨省通办”，推动</w:t>
      </w:r>
      <w:r>
        <w:rPr>
          <w:rFonts w:ascii="华文仿宋" w:hAnsi="华文仿宋" w:eastAsia="华文仿宋"/>
          <w:color w:val="000000" w:themeColor="text1"/>
          <w:sz w:val="28"/>
          <w:szCs w:val="28"/>
          <w14:textFill>
            <w14:solidFill>
              <w14:schemeClr w14:val="tx1"/>
            </w14:solidFill>
          </w14:textFill>
        </w:rPr>
        <w:t>“跨</w:t>
      </w:r>
      <w:r>
        <w:rPr>
          <w:rFonts w:hint="eastAsia" w:ascii="华文仿宋" w:hAnsi="华文仿宋" w:eastAsia="华文仿宋"/>
          <w:color w:val="000000" w:themeColor="text1"/>
          <w:sz w:val="28"/>
          <w:szCs w:val="28"/>
          <w14:textFill>
            <w14:solidFill>
              <w14:schemeClr w14:val="tx1"/>
            </w14:solidFill>
          </w14:textFill>
        </w:rPr>
        <w:t>市</w:t>
      </w:r>
      <w:r>
        <w:rPr>
          <w:rFonts w:ascii="华文仿宋" w:hAnsi="华文仿宋" w:eastAsia="华文仿宋"/>
          <w:color w:val="000000" w:themeColor="text1"/>
          <w:sz w:val="28"/>
          <w:szCs w:val="28"/>
          <w14:textFill>
            <w14:solidFill>
              <w14:schemeClr w14:val="tx1"/>
            </w14:solidFill>
          </w14:textFill>
        </w:rPr>
        <w:t>通办”</w:t>
      </w:r>
      <w:r>
        <w:rPr>
          <w:rFonts w:hint="eastAsia" w:ascii="华文仿宋" w:hAnsi="华文仿宋" w:eastAsia="华文仿宋"/>
          <w:color w:val="000000" w:themeColor="text1"/>
          <w:sz w:val="28"/>
          <w:szCs w:val="28"/>
          <w14:textFill>
            <w14:solidFill>
              <w14:schemeClr w14:val="tx1"/>
            </w14:solidFill>
          </w14:textFill>
        </w:rPr>
        <w:t>，开展“跨省通办”。到2021年高频次事项基本实现全市通办，2025年基本实现政务服务高频事项跨市通办。</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11. </w:t>
      </w:r>
      <w:r>
        <w:rPr>
          <w:rFonts w:hint="eastAsia" w:ascii="仿宋" w:hAnsi="仿宋" w:eastAsia="仿宋"/>
          <w:b/>
          <w:bCs/>
          <w:color w:val="000000" w:themeColor="text1"/>
          <w:sz w:val="28"/>
          <w:szCs w:val="28"/>
          <w14:textFill>
            <w14:solidFill>
              <w14:schemeClr w14:val="tx1"/>
            </w14:solidFill>
          </w14:textFill>
        </w:rPr>
        <w:t>持续推进“并联审批”</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用好一体化政务服务平台中的工程建设项目联合审批平台，全面推行住建、规划、自然资源、水务、气象、交通等审批事项“联合审批”“联合验收”，不断缩减所有手续办理的总时间和总费用；对企业开办、不动产登记、办理施工许可、水电气暖接入等审批事项，实现集成服务“一窗办”。积极推动“一张蓝图”制定。强化质量控制和安全机制、责任与保险制度、执业资格等政策的落实见效。</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12. </w:t>
      </w:r>
      <w:r>
        <w:rPr>
          <w:rFonts w:hint="eastAsia" w:ascii="仿宋" w:hAnsi="仿宋" w:eastAsia="仿宋"/>
          <w:b/>
          <w:bCs/>
          <w:color w:val="000000" w:themeColor="text1"/>
          <w:sz w:val="28"/>
          <w:szCs w:val="28"/>
          <w14:textFill>
            <w14:solidFill>
              <w14:schemeClr w14:val="tx1"/>
            </w14:solidFill>
          </w14:textFill>
        </w:rPr>
        <w:t>建立企业诉求直达立办机制</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依托12345政务服务热线，建立全市统一的市场主体服务平台，线上开辟诉求反映窗口，线下</w:t>
      </w:r>
      <w:r>
        <w:rPr>
          <w:rFonts w:hint="eastAsia" w:ascii="华文仿宋" w:hAnsi="华文仿宋" w:eastAsia="华文仿宋"/>
          <w:color w:val="000000" w:themeColor="text1"/>
          <w:sz w:val="28"/>
          <w:szCs w:val="28"/>
          <w:lang w:val="en-US" w:eastAsia="zh-CN"/>
          <w14:textFill>
            <w14:solidFill>
              <w14:schemeClr w14:val="tx1"/>
            </w14:solidFill>
          </w14:textFill>
        </w:rPr>
        <w:t>健全完善与纪委监委、督查室、媒体问政等诉求处理协调机制，</w:t>
      </w:r>
      <w:r>
        <w:rPr>
          <w:rFonts w:hint="eastAsia" w:ascii="华文仿宋" w:hAnsi="华文仿宋" w:eastAsia="华文仿宋"/>
          <w:color w:val="000000" w:themeColor="text1"/>
          <w:sz w:val="28"/>
          <w:szCs w:val="28"/>
          <w14:textFill>
            <w14:solidFill>
              <w14:schemeClr w14:val="tx1"/>
            </w14:solidFill>
          </w14:textFill>
        </w:rPr>
        <w:t>统筹协调各级各部门及行业协会、公共服务机构为市场主体提供全方位服务。及时发布涉及市场主体的政策措施，提供政策咨询服务，倾听企业诉求，反映解决企业疑难问题。对通过市场主体服务平台举报投诉损害营商环境的行为，相关部门依法受理，并及时向举报投诉人反馈处理结果，实现企业诉求直达，政府马上就办。</w:t>
      </w:r>
    </w:p>
    <w:p>
      <w:pPr>
        <w:pStyle w:val="4"/>
        <w:ind w:left="0" w:leftChars="0" w:firstLine="560" w:firstLineChars="200"/>
        <w:rPr>
          <w:rFonts w:ascii="楷体" w:hAnsi="楷体" w:eastAsia="楷体"/>
          <w:b w:val="0"/>
          <w:bCs w:val="0"/>
          <w:color w:val="000000" w:themeColor="text1"/>
          <w:szCs w:val="28"/>
          <w14:textFill>
            <w14:solidFill>
              <w14:schemeClr w14:val="tx1"/>
            </w14:solidFill>
          </w14:textFill>
        </w:rPr>
      </w:pPr>
      <w:bookmarkStart w:id="36" w:name="_Toc72943029"/>
      <w:bookmarkStart w:id="37" w:name="_Toc72943027"/>
      <w:r>
        <w:rPr>
          <w:rFonts w:hint="eastAsia" w:ascii="楷体" w:hAnsi="楷体" w:eastAsia="楷体"/>
          <w:b w:val="0"/>
          <w:bCs w:val="0"/>
          <w:color w:val="000000" w:themeColor="text1"/>
          <w:szCs w:val="28"/>
          <w:lang w:val="en-US" w:eastAsia="zh-CN"/>
          <w14:textFill>
            <w14:solidFill>
              <w14:schemeClr w14:val="tx1"/>
            </w14:solidFill>
          </w14:textFill>
        </w:rPr>
        <w:t>(二)</w:t>
      </w:r>
      <w:r>
        <w:rPr>
          <w:rFonts w:hint="eastAsia" w:ascii="楷体" w:hAnsi="楷体" w:eastAsia="楷体"/>
          <w:b w:val="0"/>
          <w:bCs w:val="0"/>
          <w:color w:val="000000" w:themeColor="text1"/>
          <w:szCs w:val="28"/>
          <w:lang w:eastAsia="zh-CN"/>
          <w14:textFill>
            <w14:solidFill>
              <w14:schemeClr w14:val="tx1"/>
            </w14:solidFill>
          </w14:textFill>
        </w:rPr>
        <w:t>以</w:t>
      </w:r>
      <w:r>
        <w:rPr>
          <w:rFonts w:hint="eastAsia" w:ascii="楷体" w:hAnsi="楷体" w:eastAsia="楷体"/>
          <w:b w:val="0"/>
          <w:bCs w:val="0"/>
          <w:color w:val="000000" w:themeColor="text1"/>
          <w:szCs w:val="28"/>
          <w14:textFill>
            <w14:solidFill>
              <w14:schemeClr w14:val="tx1"/>
            </w14:solidFill>
          </w14:textFill>
        </w:rPr>
        <w:t>“</w:t>
      </w:r>
      <w:r>
        <w:rPr>
          <w:rFonts w:hint="eastAsia" w:ascii="楷体" w:hAnsi="楷体" w:eastAsia="楷体"/>
          <w:b w:val="0"/>
          <w:bCs w:val="0"/>
          <w:color w:val="000000" w:themeColor="text1"/>
          <w:szCs w:val="28"/>
          <w:lang w:eastAsia="zh-CN"/>
          <w14:textFill>
            <w14:solidFill>
              <w14:schemeClr w14:val="tx1"/>
            </w14:solidFill>
          </w14:textFill>
        </w:rPr>
        <w:t>政务服务精细化</w:t>
      </w:r>
      <w:r>
        <w:rPr>
          <w:rFonts w:hint="eastAsia" w:ascii="楷体" w:hAnsi="楷体" w:eastAsia="楷体"/>
          <w:b w:val="0"/>
          <w:bCs w:val="0"/>
          <w:color w:val="000000" w:themeColor="text1"/>
          <w:szCs w:val="28"/>
          <w14:textFill>
            <w14:solidFill>
              <w14:schemeClr w14:val="tx1"/>
            </w14:solidFill>
          </w14:textFill>
        </w:rPr>
        <w:t>”</w:t>
      </w:r>
      <w:r>
        <w:rPr>
          <w:rFonts w:hint="eastAsia" w:ascii="楷体" w:hAnsi="楷体" w:eastAsia="楷体"/>
          <w:b w:val="0"/>
          <w:bCs w:val="0"/>
          <w:color w:val="000000" w:themeColor="text1"/>
          <w:szCs w:val="28"/>
          <w:lang w:eastAsia="zh-CN"/>
          <w14:textFill>
            <w14:solidFill>
              <w14:schemeClr w14:val="tx1"/>
            </w14:solidFill>
          </w14:textFill>
        </w:rPr>
        <w:t>为</w:t>
      </w:r>
      <w:r>
        <w:rPr>
          <w:rFonts w:hint="eastAsia" w:ascii="楷体" w:hAnsi="楷体" w:eastAsia="楷体"/>
          <w:b w:val="0"/>
          <w:bCs w:val="0"/>
          <w:color w:val="000000" w:themeColor="text1"/>
          <w:szCs w:val="28"/>
          <w14:textFill>
            <w14:solidFill>
              <w14:schemeClr w14:val="tx1"/>
            </w14:solidFill>
          </w14:textFill>
        </w:rPr>
        <w:t>目标，在</w:t>
      </w:r>
      <w:r>
        <w:rPr>
          <w:rFonts w:hint="eastAsia" w:ascii="楷体" w:hAnsi="楷体" w:eastAsia="楷体"/>
          <w:b w:val="0"/>
          <w:bCs w:val="0"/>
          <w:color w:val="000000" w:themeColor="text1"/>
          <w:szCs w:val="28"/>
          <w:lang w:eastAsia="zh-CN"/>
          <w14:textFill>
            <w14:solidFill>
              <w14:schemeClr w14:val="tx1"/>
            </w14:solidFill>
          </w14:textFill>
        </w:rPr>
        <w:t>行政效能提升上取得</w:t>
      </w:r>
      <w:r>
        <w:rPr>
          <w:rFonts w:hint="eastAsia" w:ascii="楷体" w:hAnsi="楷体" w:eastAsia="楷体"/>
          <w:b w:val="0"/>
          <w:bCs w:val="0"/>
          <w:color w:val="000000" w:themeColor="text1"/>
          <w:szCs w:val="28"/>
          <w14:textFill>
            <w14:solidFill>
              <w14:schemeClr w14:val="tx1"/>
            </w14:solidFill>
          </w14:textFill>
        </w:rPr>
        <w:t>新</w:t>
      </w:r>
      <w:r>
        <w:rPr>
          <w:rFonts w:hint="eastAsia" w:ascii="楷体" w:hAnsi="楷体" w:eastAsia="楷体"/>
          <w:b w:val="0"/>
          <w:bCs w:val="0"/>
          <w:color w:val="000000" w:themeColor="text1"/>
          <w:szCs w:val="28"/>
          <w:lang w:eastAsia="zh-CN"/>
          <w14:textFill>
            <w14:solidFill>
              <w14:schemeClr w14:val="tx1"/>
            </w14:solidFill>
          </w14:textFill>
        </w:rPr>
        <w:t>成效</w:t>
      </w:r>
      <w:bookmarkEnd w:id="36"/>
    </w:p>
    <w:p>
      <w:pPr>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13. 着力实施“降成本”工程。</w:t>
      </w:r>
      <w:r>
        <w:rPr>
          <w:rFonts w:hint="eastAsia" w:ascii="华文仿宋" w:hAnsi="华文仿宋" w:eastAsia="华文仿宋"/>
          <w:color w:val="000000" w:themeColor="text1"/>
          <w:sz w:val="28"/>
          <w:szCs w:val="28"/>
          <w14:textFill>
            <w14:solidFill>
              <w14:schemeClr w14:val="tx1"/>
            </w14:solidFill>
          </w14:textFill>
        </w:rPr>
        <w:t>节约企业开办时间，减并市场监管、税务、刻章、社保等办理流程，</w:t>
      </w:r>
      <w:r>
        <w:rPr>
          <w:rFonts w:hint="eastAsia" w:ascii="华文仿宋" w:hAnsi="华文仿宋" w:eastAsia="华文仿宋"/>
          <w:color w:val="000000" w:themeColor="text1"/>
          <w:sz w:val="28"/>
          <w:szCs w:val="28"/>
          <w:lang w:val="en-US" w:eastAsia="zh-CN"/>
          <w14:textFill>
            <w14:solidFill>
              <w14:schemeClr w14:val="tx1"/>
            </w14:solidFill>
          </w14:textFill>
        </w:rPr>
        <w:t>全面推行</w:t>
      </w:r>
      <w:r>
        <w:rPr>
          <w:rFonts w:hint="eastAsia" w:ascii="华文仿宋" w:hAnsi="华文仿宋" w:eastAsia="华文仿宋"/>
          <w:color w:val="000000" w:themeColor="text1"/>
          <w:sz w:val="28"/>
          <w:szCs w:val="28"/>
          <w14:textFill>
            <w14:solidFill>
              <w14:schemeClr w14:val="tx1"/>
            </w14:solidFill>
          </w14:textFill>
        </w:rPr>
        <w:t>新开办企业“0.5天”“零成本”。降低企业用能成本，全面上线“转供电费码”大数据服务产品，减轻一般工商业用户电费负担。降低企业物流成本，加快推动实现货车年审、年检和尾气排放检验“三检合一”。简并货运车辆认证许可，取消</w:t>
      </w:r>
      <w:r>
        <w:rPr>
          <w:rFonts w:ascii="华文仿宋" w:hAnsi="华文仿宋" w:eastAsia="华文仿宋"/>
          <w:color w:val="000000" w:themeColor="text1"/>
          <w:sz w:val="28"/>
          <w:szCs w:val="28"/>
          <w14:textFill>
            <w14:solidFill>
              <w14:schemeClr w14:val="tx1"/>
            </w14:solidFill>
          </w14:textFill>
        </w:rPr>
        <w:t>4.5吨及以下普通货运从业资格证和车辆营运证，对货运车辆推行跨省异地检验。继续推进网络提速降费。</w:t>
      </w:r>
      <w:r>
        <w:rPr>
          <w:rFonts w:hint="eastAsia" w:ascii="华文仿宋" w:hAnsi="华文仿宋" w:eastAsia="华文仿宋"/>
          <w:color w:val="000000" w:themeColor="text1"/>
          <w:sz w:val="28"/>
          <w:szCs w:val="28"/>
          <w14:textFill>
            <w14:solidFill>
              <w14:schemeClr w14:val="tx1"/>
            </w14:solidFill>
          </w14:textFill>
        </w:rPr>
        <w:t>到2025年实现企业开办全类型、全区域、全流程无人工干预智能审核、即时审批。</w:t>
      </w:r>
    </w:p>
    <w:p>
      <w:pPr>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14. 持续提升企业融资便利度。</w:t>
      </w:r>
      <w:r>
        <w:rPr>
          <w:rFonts w:ascii="华文仿宋" w:hAnsi="华文仿宋" w:eastAsia="华文仿宋"/>
          <w:color w:val="000000" w:themeColor="text1"/>
          <w:sz w:val="28"/>
          <w:szCs w:val="28"/>
          <w14:textFill>
            <w14:solidFill>
              <w14:schemeClr w14:val="tx1"/>
            </w14:solidFill>
          </w14:textFill>
        </w:rPr>
        <w:t>优化企业银行开户服务，降低企业融资成本，督促金融机构落实深化</w:t>
      </w:r>
      <w:r>
        <w:rPr>
          <w:rFonts w:hint="eastAsia" w:ascii="华文仿宋" w:hAnsi="华文仿宋" w:eastAsia="华文仿宋"/>
          <w:color w:val="000000" w:themeColor="text1"/>
          <w:sz w:val="28"/>
          <w:szCs w:val="28"/>
          <w14:textFill>
            <w14:solidFill>
              <w14:schemeClr w14:val="tx1"/>
            </w14:solidFill>
          </w14:textFill>
        </w:rPr>
        <w:t>中</w:t>
      </w:r>
      <w:r>
        <w:rPr>
          <w:rFonts w:ascii="华文仿宋" w:hAnsi="华文仿宋" w:eastAsia="华文仿宋"/>
          <w:color w:val="000000" w:themeColor="text1"/>
          <w:sz w:val="28"/>
          <w:szCs w:val="28"/>
          <w14:textFill>
            <w14:solidFill>
              <w14:schemeClr w14:val="tx1"/>
            </w14:solidFill>
          </w14:textFill>
        </w:rPr>
        <w:t>小微企业金融服务政策措施，确保小微企业贷款规模有所上升、融资成本有所下降。督促银行业金融机构清理</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规范收费项目。指导督促银行简化手续、优化服务，组织开展银行业金融机构消费权益保护工作考核评价。</w:t>
      </w:r>
      <w:r>
        <w:rPr>
          <w:rFonts w:hint="eastAsia" w:ascii="华文仿宋" w:hAnsi="华文仿宋" w:eastAsia="华文仿宋"/>
          <w:color w:val="000000" w:themeColor="text1"/>
          <w:sz w:val="28"/>
          <w:szCs w:val="28"/>
          <w14:textFill>
            <w14:solidFill>
              <w14:schemeClr w14:val="tx1"/>
            </w14:solidFill>
          </w14:textFill>
        </w:rPr>
        <w:t>深化政银企有效对接，强化与省级央行、银监、商业银行主管部门的联系，推动多种形式的高层战略合作，争取对我市在授信、产品、服务等方面更大的金融支持。分区域、分行业组织开展不同形式的银企对接活动。鼓励银行深入了解民营经济需求，主动将金融产品送到一线，实现银企合作“常态化”，充分发挥银行融资主渠道作用。促进“银”“担”全面合作，加大财政支持力度，提升融资担保能力。积极引入社会资本，设立产业转型、城市建设等各类基金，创新投融资体制机制，充分发挥政府投资基金作用。完善地方金融业态，补齐金融要素市场、基金业和风投创投短板。发挥融资担保、保险增信、资本市场直接融资功能，提升金融产品供给质量。</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15. </w:t>
      </w:r>
      <w:r>
        <w:rPr>
          <w:rFonts w:hint="eastAsia" w:ascii="仿宋" w:hAnsi="仿宋" w:eastAsia="仿宋"/>
          <w:b/>
          <w:bCs/>
          <w:color w:val="000000" w:themeColor="text1"/>
          <w:sz w:val="28"/>
          <w:szCs w:val="28"/>
          <w14:textFill>
            <w14:solidFill>
              <w14:schemeClr w14:val="tx1"/>
            </w14:solidFill>
          </w14:textFill>
        </w:rPr>
        <w:t>继续优化税务营商环境</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以智慧税务建设为引导，充分应用</w:t>
      </w:r>
      <w:r>
        <w:rPr>
          <w:rFonts w:ascii="华文仿宋" w:hAnsi="华文仿宋" w:eastAsia="华文仿宋"/>
          <w:color w:val="000000" w:themeColor="text1"/>
          <w:sz w:val="28"/>
          <w:szCs w:val="28"/>
          <w14:textFill>
            <w14:solidFill>
              <w14:schemeClr w14:val="tx1"/>
            </w14:solidFill>
          </w14:textFill>
        </w:rPr>
        <w:t>便利化办税的电子税务局，实现日常业务“网上办”，咨询辅导“在线办”，单一业务“掌上办”、关联业务“一键办”。持续推进出口退税“无纸化”申报，一、二类出口企业和新旧动能转换企业退税审批时间控制在5天内。</w:t>
      </w:r>
      <w:r>
        <w:rPr>
          <w:rFonts w:hint="eastAsia" w:ascii="华文仿宋" w:hAnsi="华文仿宋" w:eastAsia="华文仿宋"/>
          <w:color w:val="000000" w:themeColor="text1"/>
          <w:sz w:val="28"/>
          <w:szCs w:val="28"/>
          <w14:textFill>
            <w14:solidFill>
              <w14:schemeClr w14:val="tx1"/>
            </w14:solidFill>
          </w14:textFill>
        </w:rPr>
        <w:t>落细落实、用足用好减税降费政策，</w:t>
      </w:r>
      <w:r>
        <w:rPr>
          <w:rFonts w:ascii="华文仿宋" w:hAnsi="华文仿宋" w:eastAsia="华文仿宋"/>
          <w:color w:val="000000" w:themeColor="text1"/>
          <w:sz w:val="28"/>
          <w:szCs w:val="28"/>
          <w14:textFill>
            <w14:solidFill>
              <w14:schemeClr w14:val="tx1"/>
            </w14:solidFill>
          </w14:textFill>
        </w:rPr>
        <w:t>确保</w:t>
      </w:r>
      <w:r>
        <w:rPr>
          <w:rFonts w:hint="eastAsia" w:ascii="华文仿宋" w:hAnsi="华文仿宋" w:eastAsia="华文仿宋"/>
          <w:color w:val="000000" w:themeColor="text1"/>
          <w:sz w:val="28"/>
          <w:szCs w:val="28"/>
          <w14:textFill>
            <w14:solidFill>
              <w14:schemeClr w14:val="tx1"/>
            </w14:solidFill>
          </w14:textFill>
        </w:rPr>
        <w:t>税收优惠政策“应享尽享”“</w:t>
      </w:r>
      <w:r>
        <w:rPr>
          <w:rFonts w:hint="eastAsia" w:ascii="华文仿宋" w:hAnsi="华文仿宋" w:eastAsia="华文仿宋"/>
          <w:color w:val="000000" w:themeColor="text1"/>
          <w:sz w:val="28"/>
          <w:szCs w:val="28"/>
          <w:lang w:val="en-US" w:eastAsia="zh-CN"/>
          <w14:textFill>
            <w14:solidFill>
              <w14:schemeClr w14:val="tx1"/>
            </w14:solidFill>
          </w14:textFill>
        </w:rPr>
        <w:t>不来即享</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。到2023年，纳税次数压缩到5次，纳税时间压缩到49个小时内</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到2025年，纳税次数压缩到3次，纳税时间压缩到35小时内。</w:t>
      </w:r>
    </w:p>
    <w:p>
      <w:pPr>
        <w:spacing w:before="156" w:beforeLines="50" w:after="156" w:afterLines="50"/>
        <w:ind w:firstLine="562" w:firstLineChars="200"/>
        <w:rPr>
          <w:b w:val="0"/>
          <w:color w:val="000000" w:themeColor="text1"/>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16. </w:t>
      </w:r>
      <w:r>
        <w:rPr>
          <w:rFonts w:hint="eastAsia" w:ascii="仿宋" w:hAnsi="仿宋" w:eastAsia="仿宋"/>
          <w:b/>
          <w:bCs/>
          <w:color w:val="000000" w:themeColor="text1"/>
          <w:sz w:val="28"/>
          <w:szCs w:val="28"/>
          <w14:textFill>
            <w14:solidFill>
              <w14:schemeClr w14:val="tx1"/>
            </w14:solidFill>
          </w14:textFill>
        </w:rPr>
        <w:t>加力提速“互联网</w:t>
      </w:r>
      <w:r>
        <w:rPr>
          <w:rFonts w:ascii="仿宋" w:hAnsi="仿宋" w:eastAsia="仿宋"/>
          <w:b/>
          <w:bCs/>
          <w:color w:val="000000" w:themeColor="text1"/>
          <w:sz w:val="28"/>
          <w:szCs w:val="28"/>
          <w14:textFill>
            <w14:solidFill>
              <w14:schemeClr w14:val="tx1"/>
            </w14:solidFill>
          </w14:textFill>
        </w:rPr>
        <w:t>+不动产登记”</w:t>
      </w:r>
      <w:r>
        <w:rPr>
          <w:rFonts w:hint="eastAsia" w:ascii="仿宋" w:hAnsi="仿宋" w:eastAsia="仿宋"/>
          <w:b/>
          <w:bCs/>
          <w:color w:val="000000" w:themeColor="text1"/>
          <w:sz w:val="28"/>
          <w:szCs w:val="28"/>
          <w14:textFill>
            <w14:solidFill>
              <w14:schemeClr w14:val="tx1"/>
            </w14:solidFill>
          </w14:textFill>
        </w:rPr>
        <w:t>改革</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b w:val="0"/>
          <w:color w:val="000000" w:themeColor="text1"/>
          <w:sz w:val="28"/>
          <w:szCs w:val="28"/>
          <w14:textFill>
            <w14:solidFill>
              <w14:schemeClr w14:val="tx1"/>
            </w14:solidFill>
          </w14:textFill>
        </w:rPr>
        <w:t>加快公安、市场监管、住房城乡建设、税务、司法、民政等部门信息与不动产登记信息共享集成。对涉及多个部门交叉办理的事项，通过信息化整合集成业务流程，由“一窗受理”升级为“一窗办理”，推广不动产登记电子证照。涉企存量房交易登记在要件齐全、核税纳税完毕的前提下，全面实行现场办结。</w:t>
      </w:r>
      <w:r>
        <w:rPr>
          <w:rFonts w:ascii="华文仿宋" w:hAnsi="华文仿宋" w:eastAsia="华文仿宋"/>
          <w:b w:val="0"/>
          <w:color w:val="000000" w:themeColor="text1"/>
          <w:sz w:val="28"/>
          <w:szCs w:val="28"/>
          <w14:textFill>
            <w14:solidFill>
              <w14:schemeClr w14:val="tx1"/>
            </w14:solidFill>
          </w14:textFill>
        </w:rPr>
        <w:t>继续深化、完善、推广“交地即</w:t>
      </w:r>
      <w:r>
        <w:rPr>
          <w:rFonts w:hint="eastAsia" w:ascii="华文仿宋" w:hAnsi="华文仿宋" w:eastAsia="华文仿宋"/>
          <w:b w:val="0"/>
          <w:color w:val="000000" w:themeColor="text1"/>
          <w:sz w:val="28"/>
          <w:szCs w:val="28"/>
          <w14:textFill>
            <w14:solidFill>
              <w14:schemeClr w14:val="tx1"/>
            </w14:solidFill>
          </w14:textFill>
        </w:rPr>
        <w:t>交</w:t>
      </w:r>
      <w:r>
        <w:rPr>
          <w:rFonts w:ascii="华文仿宋" w:hAnsi="华文仿宋" w:eastAsia="华文仿宋"/>
          <w:b w:val="0"/>
          <w:color w:val="000000" w:themeColor="text1"/>
          <w:sz w:val="28"/>
          <w:szCs w:val="28"/>
          <w14:textFill>
            <w14:solidFill>
              <w14:schemeClr w14:val="tx1"/>
            </w14:solidFill>
          </w14:textFill>
        </w:rPr>
        <w:t>证”“交房即交证”新举措，</w:t>
      </w:r>
      <w:r>
        <w:rPr>
          <w:rFonts w:hint="eastAsia" w:ascii="华文仿宋" w:hAnsi="华文仿宋" w:eastAsia="华文仿宋"/>
          <w:b w:val="0"/>
          <w:color w:val="000000" w:themeColor="text1"/>
          <w:sz w:val="28"/>
          <w:szCs w:val="28"/>
          <w14:textFill>
            <w14:solidFill>
              <w14:schemeClr w14:val="tx1"/>
            </w14:solidFill>
          </w14:textFill>
        </w:rPr>
        <w:t>加速</w:t>
      </w:r>
      <w:r>
        <w:rPr>
          <w:rFonts w:ascii="华文仿宋" w:hAnsi="华文仿宋" w:eastAsia="华文仿宋"/>
          <w:b w:val="0"/>
          <w:color w:val="000000" w:themeColor="text1"/>
          <w:sz w:val="28"/>
          <w:szCs w:val="28"/>
          <w14:textFill>
            <w14:solidFill>
              <w14:schemeClr w14:val="tx1"/>
            </w14:solidFill>
          </w14:textFill>
        </w:rPr>
        <w:t>实现流程化、标准化、规范化、固态化。</w:t>
      </w:r>
      <w:r>
        <w:rPr>
          <w:rFonts w:hint="eastAsia" w:ascii="华文仿宋" w:hAnsi="华文仿宋" w:eastAsia="华文仿宋"/>
          <w:b w:val="0"/>
          <w:color w:val="000000" w:themeColor="text1"/>
          <w:sz w:val="28"/>
          <w:szCs w:val="28"/>
          <w14:textFill>
            <w14:solidFill>
              <w14:schemeClr w14:val="tx1"/>
            </w14:solidFill>
          </w14:textFill>
        </w:rPr>
        <w:t>到</w:t>
      </w:r>
      <w:r>
        <w:rPr>
          <w:rFonts w:ascii="华文仿宋" w:hAnsi="华文仿宋" w:eastAsia="华文仿宋"/>
          <w:b w:val="0"/>
          <w:color w:val="000000" w:themeColor="text1"/>
          <w:sz w:val="28"/>
          <w:szCs w:val="28"/>
          <w14:textFill>
            <w14:solidFill>
              <w14:schemeClr w14:val="tx1"/>
            </w14:solidFill>
          </w14:textFill>
        </w:rPr>
        <w:t>2021年末，全</w:t>
      </w:r>
      <w:r>
        <w:rPr>
          <w:rFonts w:hint="eastAsia" w:ascii="华文仿宋" w:hAnsi="华文仿宋" w:eastAsia="华文仿宋"/>
          <w:b w:val="0"/>
          <w:color w:val="000000" w:themeColor="text1"/>
          <w:sz w:val="28"/>
          <w:szCs w:val="28"/>
          <w14:textFill>
            <w14:solidFill>
              <w14:schemeClr w14:val="tx1"/>
            </w14:solidFill>
          </w14:textFill>
        </w:rPr>
        <w:t>市</w:t>
      </w:r>
      <w:r>
        <w:rPr>
          <w:rFonts w:ascii="华文仿宋" w:hAnsi="华文仿宋" w:eastAsia="华文仿宋"/>
          <w:b w:val="0"/>
          <w:color w:val="000000" w:themeColor="text1"/>
          <w:sz w:val="28"/>
          <w:szCs w:val="28"/>
          <w14:textFill>
            <w14:solidFill>
              <w14:schemeClr w14:val="tx1"/>
            </w14:solidFill>
          </w14:textFill>
        </w:rPr>
        <w:t>“互联网+不动产登记”全面实施，所有</w:t>
      </w:r>
      <w:r>
        <w:rPr>
          <w:rFonts w:hint="eastAsia" w:ascii="华文仿宋" w:hAnsi="华文仿宋" w:eastAsia="华文仿宋"/>
          <w:b w:val="0"/>
          <w:color w:val="000000" w:themeColor="text1"/>
          <w:sz w:val="28"/>
          <w:szCs w:val="28"/>
          <w14:textFill>
            <w14:solidFill>
              <w14:schemeClr w14:val="tx1"/>
            </w14:solidFill>
          </w14:textFill>
        </w:rPr>
        <w:t>区</w:t>
      </w:r>
      <w:r>
        <w:rPr>
          <w:rFonts w:ascii="华文仿宋" w:hAnsi="华文仿宋" w:eastAsia="华文仿宋"/>
          <w:b w:val="0"/>
          <w:color w:val="000000" w:themeColor="text1"/>
          <w:sz w:val="28"/>
          <w:szCs w:val="28"/>
          <w14:textFill>
            <w14:solidFill>
              <w14:schemeClr w14:val="tx1"/>
            </w14:solidFill>
          </w14:textFill>
        </w:rPr>
        <w:t>县查封、异议、注销登记即来即办，抵押登记压缩至1天，一般登记压缩至5天，复杂登记压缩至7天</w:t>
      </w:r>
      <w:r>
        <w:rPr>
          <w:rFonts w:hint="eastAsia" w:ascii="华文仿宋" w:hAnsi="华文仿宋" w:eastAsia="华文仿宋"/>
          <w:b w:val="0"/>
          <w:color w:val="000000" w:themeColor="text1"/>
          <w:sz w:val="28"/>
          <w:szCs w:val="28"/>
          <w:lang w:eastAsia="zh-CN"/>
          <w14:textFill>
            <w14:solidFill>
              <w14:schemeClr w14:val="tx1"/>
            </w14:solidFill>
          </w14:textFill>
        </w:rPr>
        <w:t>；</w:t>
      </w:r>
      <w:r>
        <w:rPr>
          <w:rFonts w:ascii="华文仿宋" w:hAnsi="华文仿宋" w:eastAsia="华文仿宋"/>
          <w:b w:val="0"/>
          <w:color w:val="000000" w:themeColor="text1"/>
          <w:sz w:val="28"/>
          <w:szCs w:val="28"/>
          <w14:textFill>
            <w14:solidFill>
              <w14:schemeClr w14:val="tx1"/>
            </w14:solidFill>
          </w14:textFill>
        </w:rPr>
        <w:t>到2023年</w:t>
      </w:r>
      <w:r>
        <w:rPr>
          <w:rFonts w:hint="eastAsia" w:ascii="华文仿宋" w:hAnsi="华文仿宋" w:eastAsia="华文仿宋"/>
          <w:b w:val="0"/>
          <w:color w:val="000000" w:themeColor="text1"/>
          <w:sz w:val="28"/>
          <w:szCs w:val="28"/>
          <w14:textFill>
            <w14:solidFill>
              <w14:schemeClr w14:val="tx1"/>
            </w14:solidFill>
          </w14:textFill>
        </w:rPr>
        <w:t>，</w:t>
      </w:r>
      <w:r>
        <w:rPr>
          <w:rFonts w:ascii="华文仿宋" w:hAnsi="华文仿宋" w:eastAsia="华文仿宋"/>
          <w:b w:val="0"/>
          <w:color w:val="000000" w:themeColor="text1"/>
          <w:sz w:val="28"/>
          <w:szCs w:val="28"/>
          <w14:textFill>
            <w14:solidFill>
              <w14:schemeClr w14:val="tx1"/>
            </w14:solidFill>
          </w14:textFill>
        </w:rPr>
        <w:t>全</w:t>
      </w:r>
      <w:r>
        <w:rPr>
          <w:rFonts w:hint="eastAsia" w:ascii="华文仿宋" w:hAnsi="华文仿宋" w:eastAsia="华文仿宋"/>
          <w:b w:val="0"/>
          <w:color w:val="000000" w:themeColor="text1"/>
          <w:sz w:val="28"/>
          <w:szCs w:val="28"/>
          <w14:textFill>
            <w14:solidFill>
              <w14:schemeClr w14:val="tx1"/>
            </w14:solidFill>
          </w14:textFill>
        </w:rPr>
        <w:t>市</w:t>
      </w:r>
      <w:r>
        <w:rPr>
          <w:rFonts w:ascii="华文仿宋" w:hAnsi="华文仿宋" w:eastAsia="华文仿宋"/>
          <w:b w:val="0"/>
          <w:color w:val="000000" w:themeColor="text1"/>
          <w:sz w:val="28"/>
          <w:szCs w:val="28"/>
          <w14:textFill>
            <w14:solidFill>
              <w14:schemeClr w14:val="tx1"/>
            </w14:solidFill>
          </w14:textFill>
        </w:rPr>
        <w:t>基本建立并实施不动产登记责任保险制度</w:t>
      </w:r>
      <w:r>
        <w:rPr>
          <w:rFonts w:hint="eastAsia" w:ascii="华文仿宋" w:hAnsi="华文仿宋" w:eastAsia="华文仿宋"/>
          <w:b w:val="0"/>
          <w:color w:val="000000" w:themeColor="text1"/>
          <w:sz w:val="28"/>
          <w:szCs w:val="28"/>
          <w14:textFill>
            <w14:solidFill>
              <w14:schemeClr w14:val="tx1"/>
            </w14:solidFill>
          </w14:textFill>
        </w:rPr>
        <w:t>；</w:t>
      </w:r>
      <w:r>
        <w:rPr>
          <w:rFonts w:ascii="华文仿宋" w:hAnsi="华文仿宋" w:eastAsia="华文仿宋"/>
          <w:b w:val="0"/>
          <w:color w:val="000000" w:themeColor="text1"/>
          <w:sz w:val="28"/>
          <w:szCs w:val="28"/>
          <w14:textFill>
            <w14:solidFill>
              <w14:schemeClr w14:val="tx1"/>
            </w14:solidFill>
          </w14:textFill>
        </w:rPr>
        <w:t>到2025年，不动产登记更加便利，一般登记全部压缩至2天。</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17. </w:t>
      </w:r>
      <w:r>
        <w:rPr>
          <w:rFonts w:hint="eastAsia" w:ascii="仿宋" w:hAnsi="仿宋" w:eastAsia="仿宋"/>
          <w:b/>
          <w:bCs/>
          <w:color w:val="000000" w:themeColor="text1"/>
          <w:sz w:val="28"/>
          <w:szCs w:val="28"/>
          <w14:textFill>
            <w14:solidFill>
              <w14:schemeClr w14:val="tx1"/>
            </w14:solidFill>
          </w14:textFill>
        </w:rPr>
        <w:t>着力提高</w:t>
      </w:r>
      <w:r>
        <w:rPr>
          <w:rFonts w:ascii="仿宋" w:hAnsi="仿宋" w:eastAsia="仿宋"/>
          <w:b/>
          <w:bCs/>
          <w:color w:val="000000" w:themeColor="text1"/>
          <w:sz w:val="28"/>
          <w:szCs w:val="28"/>
          <w14:textFill>
            <w14:solidFill>
              <w14:schemeClr w14:val="tx1"/>
            </w14:solidFill>
          </w14:textFill>
        </w:rPr>
        <w:t>市政公</w:t>
      </w:r>
      <w:r>
        <w:rPr>
          <w:rFonts w:hint="eastAsia" w:ascii="仿宋" w:hAnsi="仿宋" w:eastAsia="仿宋"/>
          <w:b/>
          <w:bCs/>
          <w:color w:val="000000" w:themeColor="text1"/>
          <w:sz w:val="28"/>
          <w:szCs w:val="28"/>
          <w14:textFill>
            <w14:solidFill>
              <w14:schemeClr w14:val="tx1"/>
            </w14:solidFill>
          </w14:textFill>
        </w:rPr>
        <w:t>共</w:t>
      </w:r>
      <w:r>
        <w:rPr>
          <w:rFonts w:ascii="仿宋" w:hAnsi="仿宋" w:eastAsia="仿宋"/>
          <w:b/>
          <w:bCs/>
          <w:color w:val="000000" w:themeColor="text1"/>
          <w:sz w:val="28"/>
          <w:szCs w:val="28"/>
          <w14:textFill>
            <w14:solidFill>
              <w14:schemeClr w14:val="tx1"/>
            </w14:solidFill>
          </w14:textFill>
        </w:rPr>
        <w:t>服务水平</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将水电气热等市政设施统一接入政务服务一体化平台办理。</w:t>
      </w:r>
      <w:r>
        <w:rPr>
          <w:rFonts w:hint="eastAsia" w:ascii="华文仿宋" w:hAnsi="华文仿宋" w:eastAsia="华文仿宋"/>
          <w:color w:val="000000" w:themeColor="text1"/>
          <w:sz w:val="28"/>
          <w:szCs w:val="28"/>
          <w14:textFill>
            <w14:solidFill>
              <w14:schemeClr w14:val="tx1"/>
            </w14:solidFill>
          </w14:textFill>
        </w:rPr>
        <w:t>强化行业监管和社会监督，解决办事手续繁、效率低问题，提高服务质量。最大限度压缩报装时限、优化办理事项、简化资料查验，明确事项办结时间表。将供水、供电、燃气、热力、排水、通信、有线等市政公用基础设施报装提</w:t>
      </w:r>
      <w:r>
        <w:rPr>
          <w:rFonts w:hint="eastAsia" w:ascii="华文仿宋" w:hAnsi="华文仿宋" w:eastAsia="华文仿宋"/>
          <w:color w:val="000000" w:themeColor="text1"/>
          <w:sz w:val="28"/>
          <w:szCs w:val="28"/>
          <w:lang w:val="en-US" w:eastAsia="zh-CN"/>
          <w14:textFill>
            <w14:solidFill>
              <w14:schemeClr w14:val="tx1"/>
            </w14:solidFill>
          </w14:textFill>
        </w:rPr>
        <w:t>前</w:t>
      </w:r>
      <w:r>
        <w:rPr>
          <w:rFonts w:hint="eastAsia" w:ascii="华文仿宋" w:hAnsi="华文仿宋" w:eastAsia="华文仿宋"/>
          <w:color w:val="000000" w:themeColor="text1"/>
          <w:sz w:val="28"/>
          <w:szCs w:val="28"/>
          <w14:textFill>
            <w14:solidFill>
              <w14:schemeClr w14:val="tx1"/>
            </w14:solidFill>
          </w14:textFill>
        </w:rPr>
        <w:t>到开工前办理，在工程施工阶段完成相关设施建设，竣工验收后直接办理接入事宜。整合优化水电气暖通信等企业内部办理流程，企业自由选择工程设计、施工、设备材料供应单位，自主组织施工，坚决杜绝违规重复收费。到</w:t>
      </w:r>
      <w:r>
        <w:rPr>
          <w:rFonts w:ascii="华文仿宋" w:hAnsi="华文仿宋" w:eastAsia="华文仿宋"/>
          <w:color w:val="000000" w:themeColor="text1"/>
          <w:sz w:val="28"/>
          <w:szCs w:val="28"/>
          <w14:textFill>
            <w14:solidFill>
              <w14:schemeClr w14:val="tx1"/>
            </w14:solidFill>
          </w14:textFill>
        </w:rPr>
        <w:t>202</w:t>
      </w:r>
      <w:r>
        <w:rPr>
          <w:rFonts w:hint="eastAsia" w:ascii="华文仿宋" w:hAnsi="华文仿宋" w:eastAsia="华文仿宋"/>
          <w:color w:val="000000" w:themeColor="text1"/>
          <w:sz w:val="28"/>
          <w:szCs w:val="28"/>
          <w:lang w:val="en-US" w:eastAsia="zh-CN"/>
          <w14:textFill>
            <w14:solidFill>
              <w14:schemeClr w14:val="tx1"/>
            </w14:solidFill>
          </w14:textFill>
        </w:rPr>
        <w:t>2</w:t>
      </w:r>
      <w:r>
        <w:rPr>
          <w:rFonts w:ascii="华文仿宋" w:hAnsi="华文仿宋" w:eastAsia="华文仿宋"/>
          <w:color w:val="000000" w:themeColor="text1"/>
          <w:sz w:val="28"/>
          <w:szCs w:val="28"/>
          <w14:textFill>
            <w14:solidFill>
              <w14:schemeClr w14:val="tx1"/>
            </w14:solidFill>
          </w14:textFill>
        </w:rPr>
        <w:t>年末，实现全</w:t>
      </w:r>
      <w:r>
        <w:rPr>
          <w:rFonts w:hint="eastAsia" w:ascii="华文仿宋" w:hAnsi="华文仿宋" w:eastAsia="华文仿宋"/>
          <w:color w:val="000000" w:themeColor="text1"/>
          <w:sz w:val="28"/>
          <w:szCs w:val="28"/>
          <w14:textFill>
            <w14:solidFill>
              <w14:schemeClr w14:val="tx1"/>
            </w14:solidFill>
          </w14:textFill>
        </w:rPr>
        <w:t>市</w:t>
      </w:r>
      <w:r>
        <w:rPr>
          <w:rFonts w:ascii="华文仿宋" w:hAnsi="华文仿宋" w:eastAsia="华文仿宋"/>
          <w:color w:val="000000" w:themeColor="text1"/>
          <w:sz w:val="28"/>
          <w:szCs w:val="28"/>
          <w14:textFill>
            <w14:solidFill>
              <w14:schemeClr w14:val="tx1"/>
            </w14:solidFill>
          </w14:textFill>
        </w:rPr>
        <w:t>范围内160千瓦及以下的小微企业用电报装“零投资”，接电时间不超过3天，高压单电源用户接电时间不超过20天，高压双电源用户不超过30天</w:t>
      </w:r>
      <w:r>
        <w:rPr>
          <w:rFonts w:hint="eastAsia" w:ascii="华文仿宋" w:hAnsi="华文仿宋" w:eastAsia="华文仿宋"/>
          <w:color w:val="000000" w:themeColor="text1"/>
          <w:sz w:val="28"/>
          <w:szCs w:val="28"/>
          <w:lang w:eastAsia="zh-CN"/>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到2023年，水气热接入时间分别控制在3天、4天、5天内，接入成本控制在全国较低水平</w:t>
      </w:r>
      <w:r>
        <w:rPr>
          <w:rFonts w:hint="eastAsia" w:ascii="华文仿宋" w:hAnsi="华文仿宋" w:eastAsia="华文仿宋"/>
          <w:color w:val="000000" w:themeColor="text1"/>
          <w:sz w:val="28"/>
          <w:szCs w:val="28"/>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到2025年，电力接入整体达到国内先进、国际一流水平。</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18. </w:t>
      </w:r>
      <w:r>
        <w:rPr>
          <w:rFonts w:hint="eastAsia" w:ascii="仿宋" w:hAnsi="仿宋" w:eastAsia="仿宋"/>
          <w:b/>
          <w:bCs/>
          <w:color w:val="000000" w:themeColor="text1"/>
          <w:sz w:val="28"/>
          <w:szCs w:val="28"/>
          <w14:textFill>
            <w14:solidFill>
              <w14:schemeClr w14:val="tx1"/>
            </w14:solidFill>
          </w14:textFill>
        </w:rPr>
        <w:t>大力提升建筑许可办理质效</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实施工程建设项目审批线上线下“一站式”办理，</w:t>
      </w:r>
      <w:r>
        <w:rPr>
          <w:rFonts w:ascii="华文仿宋" w:hAnsi="华文仿宋" w:eastAsia="华文仿宋"/>
          <w:color w:val="000000" w:themeColor="text1"/>
          <w:sz w:val="28"/>
          <w:szCs w:val="28"/>
          <w14:textFill>
            <w14:solidFill>
              <w14:schemeClr w14:val="tx1"/>
            </w14:solidFill>
          </w14:textFill>
        </w:rPr>
        <w:t>推进社会投资类简易低风险(或建筑面积1万平米以下)建设项目审批服务专项改革。进一步加强工程建设项目审批监管规范化建设，提高建筑质量控制指数(质量控制与安全机制、责任与保险制度等)。最大限度减少中介服务事项，持续降低工程建设项目审批全过程办理成本，减免小微企业不动产登记费。到2023年，工程建设项目从立项到竣工验收全流程</w:t>
      </w:r>
      <w:r>
        <w:rPr>
          <w:rFonts w:hint="eastAsia" w:ascii="华文仿宋" w:hAnsi="华文仿宋" w:eastAsia="华文仿宋"/>
          <w:color w:val="000000" w:themeColor="text1"/>
          <w:sz w:val="28"/>
          <w:szCs w:val="28"/>
          <w:lang w:val="en-US" w:eastAsia="zh-CN"/>
          <w14:textFill>
            <w14:solidFill>
              <w14:schemeClr w14:val="tx1"/>
            </w14:solidFill>
          </w14:textFill>
        </w:rPr>
        <w:t>平均</w:t>
      </w:r>
      <w:r>
        <w:rPr>
          <w:rFonts w:ascii="华文仿宋" w:hAnsi="华文仿宋" w:eastAsia="华文仿宋"/>
          <w:color w:val="000000" w:themeColor="text1"/>
          <w:sz w:val="28"/>
          <w:szCs w:val="28"/>
          <w14:textFill>
            <w14:solidFill>
              <w14:schemeClr w14:val="tx1"/>
            </w14:solidFill>
          </w14:textFill>
        </w:rPr>
        <w:t>审批时限压缩至</w:t>
      </w:r>
      <w:r>
        <w:rPr>
          <w:rFonts w:hint="eastAsia" w:ascii="华文仿宋" w:hAnsi="华文仿宋" w:eastAsia="华文仿宋"/>
          <w:color w:val="000000" w:themeColor="text1"/>
          <w:sz w:val="28"/>
          <w:szCs w:val="28"/>
          <w:lang w:val="en-US" w:eastAsia="zh-CN"/>
          <w14:textFill>
            <w14:solidFill>
              <w14:schemeClr w14:val="tx1"/>
            </w14:solidFill>
          </w14:textFill>
        </w:rPr>
        <w:t>60</w:t>
      </w:r>
      <w:r>
        <w:rPr>
          <w:rFonts w:hint="eastAsia" w:ascii="华文仿宋" w:hAnsi="华文仿宋" w:eastAsia="华文仿宋"/>
          <w:color w:val="000000" w:themeColor="text1"/>
          <w:sz w:val="28"/>
          <w:szCs w:val="28"/>
          <w14:textFill>
            <w14:solidFill>
              <w14:schemeClr w14:val="tx1"/>
            </w14:solidFill>
          </w14:textFill>
        </w:rPr>
        <w:t>天内</w:t>
      </w:r>
      <w:r>
        <w:rPr>
          <w:rFonts w:hint="eastAsia" w:ascii="华文仿宋" w:hAnsi="华文仿宋" w:eastAsia="华文仿宋"/>
          <w:color w:val="000000" w:themeColor="text1"/>
          <w:sz w:val="28"/>
          <w:szCs w:val="28"/>
          <w:lang w:val="en-US" w:eastAsia="zh-CN"/>
          <w14:textFill>
            <w14:solidFill>
              <w14:schemeClr w14:val="tx1"/>
            </w14:solidFill>
          </w14:textFill>
        </w:rPr>
        <w:t>并持续优化</w:t>
      </w:r>
      <w:r>
        <w:rPr>
          <w:rFonts w:hint="eastAsia" w:ascii="华文仿宋" w:hAnsi="华文仿宋" w:eastAsia="华文仿宋"/>
          <w:color w:val="000000" w:themeColor="text1"/>
          <w:sz w:val="28"/>
          <w:szCs w:val="28"/>
          <w14:textFill>
            <w14:solidFill>
              <w14:schemeClr w14:val="tx1"/>
            </w14:solidFill>
          </w14:textFill>
        </w:rPr>
        <w:t>，社会投资类简易低风险项目全流程审批时限</w:t>
      </w:r>
      <w:r>
        <w:rPr>
          <w:rFonts w:ascii="华文仿宋" w:hAnsi="华文仿宋" w:eastAsia="华文仿宋"/>
          <w:color w:val="000000" w:themeColor="text1"/>
          <w:sz w:val="28"/>
          <w:szCs w:val="28"/>
          <w14:textFill>
            <w14:solidFill>
              <w14:schemeClr w14:val="tx1"/>
            </w14:solidFill>
          </w14:textFill>
        </w:rPr>
        <w:t>压缩至10天内。到2025年，办理建筑许可质量和效率实现双提升，基本达到全</w:t>
      </w:r>
      <w:r>
        <w:rPr>
          <w:rFonts w:hint="eastAsia" w:ascii="华文仿宋" w:hAnsi="华文仿宋" w:eastAsia="华文仿宋"/>
          <w:color w:val="000000" w:themeColor="text1"/>
          <w:sz w:val="28"/>
          <w:szCs w:val="28"/>
          <w14:textFill>
            <w14:solidFill>
              <w14:schemeClr w14:val="tx1"/>
            </w14:solidFill>
          </w14:textFill>
        </w:rPr>
        <w:t>省</w:t>
      </w:r>
      <w:r>
        <w:rPr>
          <w:rFonts w:ascii="华文仿宋" w:hAnsi="华文仿宋" w:eastAsia="华文仿宋"/>
          <w:color w:val="000000" w:themeColor="text1"/>
          <w:sz w:val="28"/>
          <w:szCs w:val="28"/>
          <w14:textFill>
            <w14:solidFill>
              <w14:schemeClr w14:val="tx1"/>
            </w14:solidFill>
          </w14:textFill>
        </w:rPr>
        <w:t>一流水平。</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19. </w:t>
      </w:r>
      <w:r>
        <w:rPr>
          <w:rFonts w:hint="eastAsia" w:ascii="仿宋" w:hAnsi="仿宋" w:eastAsia="仿宋"/>
          <w:b/>
          <w:bCs/>
          <w:color w:val="000000" w:themeColor="text1"/>
          <w:sz w:val="28"/>
          <w:szCs w:val="28"/>
          <w14:textFill>
            <w14:solidFill>
              <w14:schemeClr w14:val="tx1"/>
            </w14:solidFill>
          </w14:textFill>
        </w:rPr>
        <w:t>持续阳光化政府采购和招投标</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依托政务服务一体化平台</w:t>
      </w:r>
      <w:r>
        <w:rPr>
          <w:rFonts w:hint="eastAsia" w:ascii="华文仿宋" w:hAnsi="华文仿宋" w:eastAsia="华文仿宋"/>
          <w:color w:val="000000" w:themeColor="text1"/>
          <w:sz w:val="28"/>
          <w:szCs w:val="28"/>
          <w14:textFill>
            <w14:solidFill>
              <w14:schemeClr w14:val="tx1"/>
            </w14:solidFill>
          </w14:textFill>
        </w:rPr>
        <w:t>，完善政府采购（含工程招投标）信息公开机制，试行在部门预算批复后60日内公开本部门政府采购意向。规范和细化招标需求编制、资格预审等工作环节，规范和优化招投标过程、标后管理、投诉等监督管理制度。整合完善政府采购平台和工程招投标平台功能，实现线上缴纳招投标保证金、履约保证金及线上支付等功能全流程电子化。推动政府采购平台与国库支付系统对接，通过政府采购平台向供应商及时反馈款项支付情况。推动“不见面开标”方式常态化，探索线上政府采购项目不见面开标和远程异地电子评标。加快供应商诚信体系大数据建设，利用电商数据建立大数据价格比对、预警机制，提升政府采购现代化监管水平。</w:t>
      </w:r>
    </w:p>
    <w:p>
      <w:pPr>
        <w:spacing w:before="156" w:beforeLines="50" w:after="156" w:afterLines="50"/>
        <w:ind w:firstLine="562" w:firstLineChars="200"/>
        <w:rPr>
          <w:rFonts w:ascii="华文仿宋" w:hAnsi="华文仿宋" w:eastAsia="华文仿宋"/>
          <w:b w:val="0"/>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20. </w:t>
      </w:r>
      <w:r>
        <w:rPr>
          <w:rFonts w:hint="eastAsia" w:ascii="仿宋" w:hAnsi="仿宋" w:eastAsia="仿宋"/>
          <w:b/>
          <w:bCs/>
          <w:color w:val="000000" w:themeColor="text1"/>
          <w:sz w:val="28"/>
          <w:szCs w:val="28"/>
          <w14:textFill>
            <w14:solidFill>
              <w14:schemeClr w14:val="tx1"/>
            </w14:solidFill>
          </w14:textFill>
        </w:rPr>
        <w:t>加快完善企业迁移和退出机制</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stheme="minorBidi"/>
          <w:b w:val="0"/>
          <w:bCs w:val="0"/>
          <w:color w:val="000000" w:themeColor="text1"/>
          <w:sz w:val="28"/>
          <w:szCs w:val="28"/>
          <w14:textFill>
            <w14:solidFill>
              <w14:schemeClr w14:val="tx1"/>
            </w14:solidFill>
          </w14:textFill>
        </w:rPr>
        <w:t>支持企业</w:t>
      </w:r>
      <w:r>
        <w:rPr>
          <w:rFonts w:ascii="华文仿宋" w:hAnsi="华文仿宋" w:eastAsia="华文仿宋" w:cstheme="minorBidi"/>
          <w:b w:val="0"/>
          <w:bCs w:val="0"/>
          <w:color w:val="000000" w:themeColor="text1"/>
          <w:sz w:val="28"/>
          <w:szCs w:val="28"/>
          <w14:textFill>
            <w14:solidFill>
              <w14:schemeClr w14:val="tx1"/>
            </w14:solidFill>
          </w14:textFill>
        </w:rPr>
        <w:t>合理迁移行为，对不存在未办结事项且属于正常户的纳税人在</w:t>
      </w:r>
      <w:r>
        <w:rPr>
          <w:rFonts w:hint="eastAsia" w:ascii="华文仿宋" w:hAnsi="华文仿宋" w:eastAsia="华文仿宋" w:cstheme="minorBidi"/>
          <w:b w:val="0"/>
          <w:bCs w:val="0"/>
          <w:color w:val="000000" w:themeColor="text1"/>
          <w:sz w:val="28"/>
          <w:szCs w:val="28"/>
          <w14:textFill>
            <w14:solidFill>
              <w14:schemeClr w14:val="tx1"/>
            </w14:solidFill>
          </w14:textFill>
        </w:rPr>
        <w:t>市</w:t>
      </w:r>
      <w:r>
        <w:rPr>
          <w:rFonts w:ascii="华文仿宋" w:hAnsi="华文仿宋" w:eastAsia="华文仿宋" w:cstheme="minorBidi"/>
          <w:b w:val="0"/>
          <w:bCs w:val="0"/>
          <w:color w:val="000000" w:themeColor="text1"/>
          <w:sz w:val="28"/>
          <w:szCs w:val="28"/>
          <w14:textFill>
            <w14:solidFill>
              <w14:schemeClr w14:val="tx1"/>
            </w14:solidFill>
          </w14:textFill>
        </w:rPr>
        <w:t>内跨区迁移即时办结</w:t>
      </w:r>
      <w:r>
        <w:rPr>
          <w:rFonts w:hint="eastAsia" w:ascii="华文仿宋" w:hAnsi="华文仿宋" w:eastAsia="华文仿宋" w:cstheme="minorBidi"/>
          <w:b w:val="0"/>
          <w:bCs w:val="0"/>
          <w:color w:val="000000" w:themeColor="text1"/>
          <w:sz w:val="28"/>
          <w:szCs w:val="28"/>
          <w14:textFill>
            <w14:solidFill>
              <w14:schemeClr w14:val="tx1"/>
            </w14:solidFill>
          </w14:textFill>
        </w:rPr>
        <w:t>；</w:t>
      </w:r>
      <w:r>
        <w:rPr>
          <w:rFonts w:ascii="华文仿宋" w:hAnsi="华文仿宋" w:eastAsia="华文仿宋" w:cstheme="minorBidi"/>
          <w:b w:val="0"/>
          <w:bCs w:val="0"/>
          <w:color w:val="000000" w:themeColor="text1"/>
          <w:sz w:val="28"/>
          <w:szCs w:val="28"/>
          <w14:textFill>
            <w14:solidFill>
              <w14:schemeClr w14:val="tx1"/>
            </w14:solidFill>
          </w14:textFill>
        </w:rPr>
        <w:t>符合正常迁移条件的，5天内办妥相关迁出手续。</w:t>
      </w:r>
      <w:r>
        <w:rPr>
          <w:rFonts w:ascii="华文仿宋" w:hAnsi="华文仿宋" w:eastAsia="华文仿宋"/>
          <w:b w:val="0"/>
          <w:color w:val="000000" w:themeColor="text1"/>
          <w:sz w:val="28"/>
          <w:szCs w:val="28"/>
          <w14:textFill>
            <w14:solidFill>
              <w14:schemeClr w14:val="tx1"/>
            </w14:solidFill>
          </w14:textFill>
        </w:rPr>
        <w:t>拓展企业简易注销适用范围，</w:t>
      </w:r>
      <w:r>
        <w:rPr>
          <w:rFonts w:hint="eastAsia" w:ascii="华文仿宋" w:hAnsi="华文仿宋" w:eastAsia="华文仿宋"/>
          <w:b w:val="0"/>
          <w:color w:val="000000" w:themeColor="text1"/>
          <w:sz w:val="28"/>
          <w:szCs w:val="28"/>
          <w:lang w:val="en-US" w:eastAsia="zh-CN"/>
          <w14:textFill>
            <w14:solidFill>
              <w14:schemeClr w14:val="tx1"/>
            </w14:solidFill>
          </w14:textFill>
        </w:rPr>
        <w:t>探索</w:t>
      </w:r>
      <w:r>
        <w:rPr>
          <w:rFonts w:ascii="华文仿宋" w:hAnsi="华文仿宋" w:eastAsia="华文仿宋"/>
          <w:b w:val="0"/>
          <w:color w:val="000000" w:themeColor="text1"/>
          <w:sz w:val="28"/>
          <w:szCs w:val="28"/>
          <w14:textFill>
            <w14:solidFill>
              <w14:schemeClr w14:val="tx1"/>
            </w14:solidFill>
          </w14:textFill>
        </w:rPr>
        <w:t>压缩简易注销公告时间</w:t>
      </w:r>
      <w:r>
        <w:rPr>
          <w:rFonts w:hint="eastAsia" w:ascii="华文仿宋" w:hAnsi="华文仿宋" w:eastAsia="华文仿宋"/>
          <w:b w:val="0"/>
          <w:color w:val="000000" w:themeColor="text1"/>
          <w:sz w:val="28"/>
          <w:szCs w:val="28"/>
          <w:lang w:eastAsia="zh-CN"/>
          <w14:textFill>
            <w14:solidFill>
              <w14:schemeClr w14:val="tx1"/>
            </w14:solidFill>
          </w14:textFill>
        </w:rPr>
        <w:t>、</w:t>
      </w:r>
      <w:r>
        <w:rPr>
          <w:rFonts w:ascii="华文仿宋" w:hAnsi="华文仿宋" w:eastAsia="华文仿宋"/>
          <w:b w:val="0"/>
          <w:color w:val="000000" w:themeColor="text1"/>
          <w:sz w:val="28"/>
          <w:szCs w:val="28"/>
          <w14:textFill>
            <w14:solidFill>
              <w14:schemeClr w14:val="tx1"/>
            </w14:solidFill>
          </w14:textFill>
        </w:rPr>
        <w:t>简化优化注销业务流程</w:t>
      </w:r>
      <w:r>
        <w:rPr>
          <w:rFonts w:hint="eastAsia" w:ascii="华文仿宋" w:hAnsi="华文仿宋" w:eastAsia="华文仿宋"/>
          <w:b w:val="0"/>
          <w:color w:val="000000" w:themeColor="text1"/>
          <w:sz w:val="28"/>
          <w:szCs w:val="28"/>
          <w14:textFill>
            <w14:solidFill>
              <w14:schemeClr w14:val="tx1"/>
            </w14:solidFill>
          </w14:textFill>
        </w:rPr>
        <w:t>，</w:t>
      </w:r>
      <w:r>
        <w:rPr>
          <w:rFonts w:ascii="华文仿宋" w:hAnsi="华文仿宋" w:eastAsia="华文仿宋"/>
          <w:b w:val="0"/>
          <w:color w:val="000000" w:themeColor="text1"/>
          <w:sz w:val="28"/>
          <w:szCs w:val="28"/>
          <w14:textFill>
            <w14:solidFill>
              <w14:schemeClr w14:val="tx1"/>
            </w14:solidFill>
          </w14:textFill>
        </w:rPr>
        <w:t>简易注销公告期届满无异议的，3天内作出准予简易注</w:t>
      </w:r>
      <w:r>
        <w:rPr>
          <w:rFonts w:hint="eastAsia" w:ascii="华文仿宋" w:hAnsi="华文仿宋" w:eastAsia="华文仿宋"/>
          <w:b w:val="0"/>
          <w:color w:val="000000" w:themeColor="text1"/>
          <w:sz w:val="28"/>
          <w:szCs w:val="28"/>
          <w14:textFill>
            <w14:solidFill>
              <w14:schemeClr w14:val="tx1"/>
            </w14:solidFill>
          </w14:textFill>
        </w:rPr>
        <w:t>销决定。加强同社保部门、税务部门的业务协同，同步进行社会保险登记注销，推动税务清税注销便利化。在取消清算组备案、优化公告方式、简化提交材料、搭建一网注销服务平台等方面持续优化普通注销登记。完善破产程序启动机制和破产企业识别机制，探索重整识别</w:t>
      </w:r>
      <w:r>
        <w:rPr>
          <w:rFonts w:hint="eastAsia" w:ascii="华文仿宋" w:hAnsi="华文仿宋" w:eastAsia="华文仿宋"/>
          <w:b w:val="0"/>
          <w:color w:val="000000" w:themeColor="text1"/>
          <w:sz w:val="28"/>
          <w:szCs w:val="28"/>
          <w:lang w:eastAsia="zh-CN"/>
          <w14:textFill>
            <w14:solidFill>
              <w14:schemeClr w14:val="tx1"/>
            </w14:solidFill>
          </w14:textFill>
        </w:rPr>
        <w:t>、</w:t>
      </w:r>
      <w:r>
        <w:rPr>
          <w:rFonts w:hint="eastAsia" w:ascii="华文仿宋" w:hAnsi="华文仿宋" w:eastAsia="华文仿宋"/>
          <w:b w:val="0"/>
          <w:color w:val="000000" w:themeColor="text1"/>
          <w:sz w:val="28"/>
          <w:szCs w:val="28"/>
          <w14:textFill>
            <w14:solidFill>
              <w14:schemeClr w14:val="tx1"/>
            </w14:solidFill>
          </w14:textFill>
        </w:rPr>
        <w:t>预重整快速审理，建立常态化处置“僵尸企业”政府法院联席会议机制，系统性推进破产审判提速增效，降低企业退出成本。条件允许则设立区域破产法庭，依法促进市场出清，实现从企业“出生”到“死亡”全生命周期办事体验的再提升。2025年无产可破案件和适用简易程序审理的案件，压缩在4个月内办结。</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21. </w:t>
      </w:r>
      <w:r>
        <w:rPr>
          <w:rFonts w:hint="eastAsia" w:ascii="仿宋" w:hAnsi="仿宋" w:eastAsia="仿宋"/>
          <w:b/>
          <w:bCs/>
          <w:color w:val="000000" w:themeColor="text1"/>
          <w:sz w:val="28"/>
          <w:szCs w:val="28"/>
          <w14:textFill>
            <w14:solidFill>
              <w14:schemeClr w14:val="tx1"/>
            </w14:solidFill>
          </w14:textFill>
        </w:rPr>
        <w:t>打造高等级政务服务品牌</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以“泉好办”品牌建设为统领，坚持政务服务“上网是原则、不上网是例外”的原则，推动更多政务服务事项入驻网上政务平台，做到“能上尽上、应上必上”。加快“泉好办”政务平台项目的开发建设步伐，推动政务服务向“两微一端”拓展，推进“掌上办”“指尖办”“一网办”，创新打造全年无休、一站办理的“泉好办”政务服务特色品牌。整合各级各类政务服务资源和网上服务，政务服务事项原则上全部纳入“泉好办”平台办理，优先实施与企业注册登记、生产经营、商标专利、资质认定、税费办理、安全生产等密切相关的服务事项和与居民教育医疗、户籍住房、社保就业等密切相关的服务事项的网上办理，逐步实现各类政务服务事项“全程在线”。</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22. </w:t>
      </w:r>
      <w:r>
        <w:rPr>
          <w:rFonts w:hint="eastAsia" w:ascii="仿宋" w:hAnsi="仿宋" w:eastAsia="仿宋"/>
          <w:b/>
          <w:bCs/>
          <w:color w:val="000000" w:themeColor="text1"/>
          <w:sz w:val="28"/>
          <w:szCs w:val="28"/>
          <w14:textFill>
            <w14:solidFill>
              <w14:schemeClr w14:val="tx1"/>
            </w14:solidFill>
          </w14:textFill>
        </w:rPr>
        <w:t>探索无人工干预智慧审批</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梳理智慧审批事项清单，</w:t>
      </w:r>
      <w:r>
        <w:rPr>
          <w:rFonts w:hint="eastAsia" w:ascii="华文仿宋" w:hAnsi="华文仿宋" w:eastAsia="华文仿宋"/>
          <w:color w:val="000000" w:themeColor="text1"/>
          <w:sz w:val="28"/>
          <w:szCs w:val="28"/>
          <w:lang w:val="en-US" w:eastAsia="zh-CN"/>
          <w14:textFill>
            <w14:solidFill>
              <w14:schemeClr w14:val="tx1"/>
            </w14:solidFill>
          </w14:textFill>
        </w:rPr>
        <w:t>利用大数据、人工智能等技术，整合多部门数据信息共享应用，</w:t>
      </w:r>
      <w:r>
        <w:rPr>
          <w:rFonts w:hint="eastAsia" w:ascii="华文仿宋" w:hAnsi="华文仿宋" w:eastAsia="华文仿宋"/>
          <w:color w:val="000000" w:themeColor="text1"/>
          <w:sz w:val="28"/>
          <w:szCs w:val="28"/>
          <w14:textFill>
            <w14:solidFill>
              <w14:schemeClr w14:val="tx1"/>
            </w14:solidFill>
          </w14:textFill>
        </w:rPr>
        <w:t>实现申请人办事信息零填写，申请材料少提交</w:t>
      </w:r>
      <w:r>
        <w:rPr>
          <w:rFonts w:hint="eastAsia" w:ascii="华文仿宋" w:hAnsi="华文仿宋" w:eastAsia="华文仿宋"/>
          <w:color w:val="000000" w:themeColor="text1"/>
          <w:sz w:val="28"/>
          <w:szCs w:val="28"/>
          <w:lang w:val="en-US" w:eastAsia="zh-CN"/>
          <w14:textFill>
            <w14:solidFill>
              <w14:schemeClr w14:val="tx1"/>
            </w14:solidFill>
          </w14:textFill>
        </w:rPr>
        <w:t>或不提交的</w:t>
      </w:r>
      <w:r>
        <w:rPr>
          <w:rFonts w:hint="eastAsia" w:ascii="华文仿宋" w:hAnsi="华文仿宋" w:eastAsia="华文仿宋"/>
          <w:color w:val="000000" w:themeColor="text1"/>
          <w:sz w:val="28"/>
          <w:szCs w:val="28"/>
          <w14:textFill>
            <w14:solidFill>
              <w14:schemeClr w14:val="tx1"/>
            </w14:solidFill>
          </w14:textFill>
        </w:rPr>
        <w:t>审批模式。从涉企服务申报高频事项入手，</w:t>
      </w:r>
      <w:r>
        <w:rPr>
          <w:rFonts w:hint="eastAsia" w:ascii="华文仿宋" w:hAnsi="华文仿宋" w:eastAsia="华文仿宋"/>
          <w:color w:val="000000" w:themeColor="text1"/>
          <w:sz w:val="28"/>
          <w:szCs w:val="28"/>
          <w:lang w:val="en-US" w:eastAsia="zh-CN"/>
          <w14:textFill>
            <w14:solidFill>
              <w14:schemeClr w14:val="tx1"/>
            </w14:solidFill>
          </w14:textFill>
        </w:rPr>
        <w:t>加快</w:t>
      </w:r>
      <w:r>
        <w:rPr>
          <w:rFonts w:hint="eastAsia" w:ascii="华文仿宋" w:hAnsi="华文仿宋" w:eastAsia="华文仿宋"/>
          <w:color w:val="000000" w:themeColor="text1"/>
          <w:sz w:val="28"/>
          <w:szCs w:val="28"/>
          <w14:textFill>
            <w14:solidFill>
              <w14:schemeClr w14:val="tx1"/>
            </w14:solidFill>
          </w14:textFill>
        </w:rPr>
        <w:t>申请材料结构化、业务流程标准化、审批要素指标化</w:t>
      </w:r>
      <w:r>
        <w:rPr>
          <w:rFonts w:hint="eastAsia" w:ascii="华文仿宋" w:hAnsi="华文仿宋" w:eastAsia="华文仿宋"/>
          <w:color w:val="000000" w:themeColor="text1"/>
          <w:sz w:val="28"/>
          <w:szCs w:val="28"/>
          <w:lang w:val="en-US" w:eastAsia="zh-CN"/>
          <w14:textFill>
            <w14:solidFill>
              <w14:schemeClr w14:val="tx1"/>
            </w14:solidFill>
          </w14:textFill>
        </w:rPr>
        <w:t>建设</w:t>
      </w:r>
      <w:r>
        <w:rPr>
          <w:rFonts w:hint="eastAsia" w:ascii="华文仿宋" w:hAnsi="华文仿宋" w:eastAsia="华文仿宋"/>
          <w:color w:val="000000" w:themeColor="text1"/>
          <w:sz w:val="28"/>
          <w:szCs w:val="28"/>
          <w14:textFill>
            <w14:solidFill>
              <w14:schemeClr w14:val="tx1"/>
            </w14:solidFill>
          </w14:textFill>
        </w:rPr>
        <w:t>，强化电子证照</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电子材料共享应用，</w:t>
      </w:r>
      <w:r>
        <w:rPr>
          <w:rFonts w:hint="eastAsia" w:ascii="华文仿宋" w:hAnsi="华文仿宋" w:eastAsia="华文仿宋"/>
          <w:color w:val="000000" w:themeColor="text1"/>
          <w:sz w:val="28"/>
          <w:szCs w:val="28"/>
          <w:lang w:val="en-US" w:eastAsia="zh-CN"/>
          <w14:textFill>
            <w14:solidFill>
              <w14:schemeClr w14:val="tx1"/>
            </w14:solidFill>
          </w14:textFill>
        </w:rPr>
        <w:t>通过自动填充、比对、审批，</w:t>
      </w:r>
      <w:r>
        <w:rPr>
          <w:rFonts w:hint="eastAsia" w:ascii="华文仿宋" w:hAnsi="华文仿宋" w:eastAsia="华文仿宋"/>
          <w:color w:val="000000" w:themeColor="text1"/>
          <w:sz w:val="28"/>
          <w:szCs w:val="28"/>
          <w14:textFill>
            <w14:solidFill>
              <w14:schemeClr w14:val="tx1"/>
            </w14:solidFill>
          </w14:textFill>
        </w:rPr>
        <w:t>逐步拓展“秒报”“秒批”服务事项范围，使更多事项实现系统无人工干预智慧审批。</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23. </w:t>
      </w:r>
      <w:r>
        <w:rPr>
          <w:rFonts w:hint="eastAsia" w:ascii="仿宋" w:hAnsi="仿宋" w:eastAsia="仿宋"/>
          <w:b/>
          <w:bCs/>
          <w:color w:val="000000" w:themeColor="text1"/>
          <w:sz w:val="28"/>
          <w:szCs w:val="28"/>
          <w14:textFill>
            <w14:solidFill>
              <w14:schemeClr w14:val="tx1"/>
            </w14:solidFill>
          </w14:textFill>
        </w:rPr>
        <w:t>引导中介服务市场化</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建立完善“网上中介超市”，</w:t>
      </w:r>
      <w:r>
        <w:rPr>
          <w:rFonts w:hint="eastAsia" w:ascii="华文仿宋" w:hAnsi="华文仿宋" w:eastAsia="华文仿宋"/>
          <w:color w:val="000000" w:themeColor="text1"/>
          <w:sz w:val="28"/>
          <w:szCs w:val="28"/>
          <w14:textFill>
            <w14:solidFill>
              <w14:schemeClr w14:val="tx1"/>
            </w14:solidFill>
          </w14:textFill>
        </w:rPr>
        <w:t>加快中介服务事项梳理，实行中介服务机构“零门槛、零限制”入驻。推进中介服务机构信用信息公示公开，实现网上展示、网上竞价、网上中标、网上评价。</w:t>
      </w:r>
      <w:r>
        <w:rPr>
          <w:rFonts w:hint="eastAsia" w:ascii="华文仿宋" w:hAnsi="华文仿宋" w:eastAsia="华文仿宋"/>
          <w:color w:val="000000" w:themeColor="text1"/>
          <w:sz w:val="28"/>
          <w:szCs w:val="28"/>
          <w:lang w:val="en-US" w:eastAsia="zh-CN"/>
          <w14:textFill>
            <w14:solidFill>
              <w14:schemeClr w14:val="tx1"/>
            </w14:solidFill>
          </w14:textFill>
        </w:rPr>
        <w:t>切实做到</w:t>
      </w:r>
      <w:r>
        <w:rPr>
          <w:rFonts w:hint="eastAsia" w:ascii="华文仿宋" w:hAnsi="华文仿宋" w:eastAsia="华文仿宋"/>
          <w:color w:val="000000" w:themeColor="text1"/>
          <w:sz w:val="28"/>
          <w:szCs w:val="28"/>
          <w14:textFill>
            <w14:solidFill>
              <w14:schemeClr w14:val="tx1"/>
            </w14:solidFill>
          </w14:textFill>
        </w:rPr>
        <w:t>除法律明确规定外，由市场主体自主选择中介服务。建立健全“市场主导、行业自律、政府监管”三位一体的中介服务质量评价体系，研究制定中介服务机构退出机制。支持行业协会、商会等为企业生产经营活动提供发展规划、风险规避指引等专业服务。</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24. </w:t>
      </w:r>
      <w:r>
        <w:rPr>
          <w:rFonts w:hint="eastAsia" w:ascii="仿宋" w:hAnsi="仿宋" w:eastAsia="仿宋"/>
          <w:b/>
          <w:bCs/>
          <w:color w:val="000000" w:themeColor="text1"/>
          <w:sz w:val="28"/>
          <w:szCs w:val="28"/>
          <w14:textFill>
            <w14:solidFill>
              <w14:schemeClr w14:val="tx1"/>
            </w14:solidFill>
          </w14:textFill>
        </w:rPr>
        <w:t>更新政务大厅服务功能</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加快构建以网上政务服务为主、实体政务大厅为辅的服务模式，充分利用网络信息技术，拓展网络平台服务功能，实现平台事项“限时办”。普及完善</w:t>
      </w:r>
      <w:r>
        <w:rPr>
          <w:rFonts w:hint="eastAsia" w:ascii="华文仿宋" w:hAnsi="华文仿宋" w:eastAsia="华文仿宋"/>
          <w:color w:val="000000" w:themeColor="text1"/>
          <w:sz w:val="28"/>
          <w:szCs w:val="28"/>
          <w:lang w:val="en-US" w:eastAsia="zh-CN"/>
          <w14:textFill>
            <w14:solidFill>
              <w14:schemeClr w14:val="tx1"/>
            </w14:solidFill>
          </w14:textFill>
        </w:rPr>
        <w:t>全</w:t>
      </w:r>
      <w:r>
        <w:rPr>
          <w:rFonts w:hint="eastAsia" w:ascii="华文仿宋" w:hAnsi="华文仿宋" w:eastAsia="华文仿宋"/>
          <w:color w:val="000000" w:themeColor="text1"/>
          <w:sz w:val="28"/>
          <w:szCs w:val="28"/>
          <w14:textFill>
            <w14:solidFill>
              <w14:schemeClr w14:val="tx1"/>
            </w14:solidFill>
          </w14:textFill>
        </w:rPr>
        <w:t>代办服务标准，制定全市统一的</w:t>
      </w:r>
      <w:r>
        <w:rPr>
          <w:rFonts w:hint="eastAsia" w:ascii="华文仿宋" w:hAnsi="华文仿宋" w:eastAsia="华文仿宋"/>
          <w:color w:val="000000" w:themeColor="text1"/>
          <w:sz w:val="28"/>
          <w:szCs w:val="28"/>
          <w:lang w:val="en-US" w:eastAsia="zh-CN"/>
          <w14:textFill>
            <w14:solidFill>
              <w14:schemeClr w14:val="tx1"/>
            </w14:solidFill>
          </w14:textFill>
        </w:rPr>
        <w:t>全代</w:t>
      </w:r>
      <w:r>
        <w:rPr>
          <w:rFonts w:hint="eastAsia" w:ascii="华文仿宋" w:hAnsi="华文仿宋" w:eastAsia="华文仿宋"/>
          <w:color w:val="000000" w:themeColor="text1"/>
          <w:sz w:val="28"/>
          <w:szCs w:val="28"/>
          <w14:textFill>
            <w14:solidFill>
              <w14:schemeClr w14:val="tx1"/>
            </w14:solidFill>
          </w14:textFill>
        </w:rPr>
        <w:t>办制度、指导手册、工作流程，实施“一窗受理、一表填报、专人负责”的帮办代办服务举措全覆盖。对重点审批事项开展“手把手”辅导，对重大产业项目开展“肩并肩”对接，真正做到为企业、群众解难题、办实事。建立重点投资项目“项目长责任制”，升级重大项目审批全程代办服务制度，项目落地提供从立项到竣工验收的全流程高质量服务。</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25. </w:t>
      </w:r>
      <w:r>
        <w:rPr>
          <w:rFonts w:hint="eastAsia" w:ascii="仿宋" w:hAnsi="仿宋" w:eastAsia="仿宋"/>
          <w:b/>
          <w:bCs/>
          <w:color w:val="000000" w:themeColor="text1"/>
          <w:sz w:val="28"/>
          <w:szCs w:val="28"/>
          <w14:textFill>
            <w14:solidFill>
              <w14:schemeClr w14:val="tx1"/>
            </w14:solidFill>
          </w14:textFill>
        </w:rPr>
        <w:t>推进政务服务向基层延伸</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结合“政银合作”，借助银行网点、工作人员、设施设备，</w:t>
      </w:r>
      <w:r>
        <w:rPr>
          <w:rFonts w:hint="eastAsia" w:ascii="华文仿宋" w:hAnsi="华文仿宋" w:eastAsia="华文仿宋"/>
          <w:color w:val="000000" w:themeColor="text1"/>
          <w:sz w:val="28"/>
          <w:szCs w:val="28"/>
          <w14:textFill>
            <w14:solidFill>
              <w14:schemeClr w14:val="tx1"/>
            </w14:solidFill>
          </w14:textFill>
        </w:rPr>
        <w:t>优化便民服务网点</w:t>
      </w:r>
      <w:r>
        <w:rPr>
          <w:rFonts w:hint="eastAsia" w:ascii="华文仿宋" w:hAnsi="华文仿宋" w:eastAsia="华文仿宋"/>
          <w:color w:val="000000" w:themeColor="text1"/>
          <w:sz w:val="28"/>
          <w:szCs w:val="28"/>
          <w:lang w:val="en-US" w:eastAsia="zh-CN"/>
          <w14:textFill>
            <w14:solidFill>
              <w14:schemeClr w14:val="tx1"/>
            </w14:solidFill>
          </w14:textFill>
        </w:rPr>
        <w:t>设置</w:t>
      </w:r>
      <w:r>
        <w:rPr>
          <w:rFonts w:hint="eastAsia"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加强人员业务培训，推动业务协同办理</w:t>
      </w:r>
      <w:r>
        <w:rPr>
          <w:rFonts w:hint="eastAsia" w:ascii="华文仿宋" w:hAnsi="华文仿宋" w:eastAsia="华文仿宋"/>
          <w:color w:val="000000" w:themeColor="text1"/>
          <w:sz w:val="28"/>
          <w:szCs w:val="28"/>
          <w14:textFill>
            <w14:solidFill>
              <w14:schemeClr w14:val="tx1"/>
            </w14:solidFill>
          </w14:textFill>
        </w:rPr>
        <w:t>。推进“泉好办”政务服务平台和便民服务站点向乡村延伸，推进“一窗受理”改革向基层延伸</w:t>
      </w:r>
      <w:r>
        <w:rPr>
          <w:rFonts w:hint="eastAsia" w:ascii="华文仿宋" w:hAnsi="华文仿宋" w:eastAsia="华文仿宋"/>
          <w:color w:val="000000" w:themeColor="text1"/>
          <w:sz w:val="28"/>
          <w:szCs w:val="28"/>
          <w:lang w:eastAsia="zh-CN"/>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实现审批服务“自助办”、便民服务“就近办”</w:t>
      </w:r>
      <w:r>
        <w:rPr>
          <w:rFonts w:hint="eastAsia" w:ascii="华文仿宋" w:hAnsi="华文仿宋" w:eastAsia="华文仿宋"/>
          <w:color w:val="000000" w:themeColor="text1"/>
          <w:sz w:val="28"/>
          <w:szCs w:val="28"/>
          <w14:textFill>
            <w14:solidFill>
              <w14:schemeClr w14:val="tx1"/>
            </w14:solidFill>
          </w14:textFill>
        </w:rPr>
        <w:t>。县（区）政府加大财政投入，推动基于互联网、自助终端、移动终端的政务服务入口全面向基层延伸，打造基层一站式“泉好办”政务便民服务平台</w:t>
      </w:r>
      <w:r>
        <w:rPr>
          <w:rFonts w:hint="eastAsia" w:ascii="华文仿宋" w:hAnsi="华文仿宋" w:eastAsia="华文仿宋"/>
          <w:color w:val="000000" w:themeColor="text1"/>
          <w:sz w:val="28"/>
          <w:szCs w:val="28"/>
          <w:lang w:eastAsia="zh-CN"/>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到2025年，实现“</w:t>
      </w:r>
      <w:r>
        <w:rPr>
          <w:rFonts w:hint="eastAsia" w:ascii="华文仿宋" w:hAnsi="华文仿宋" w:eastAsia="华文仿宋"/>
          <w:color w:val="000000" w:themeColor="text1"/>
          <w:sz w:val="28"/>
          <w:szCs w:val="28"/>
          <w14:textFill>
            <w14:solidFill>
              <w14:schemeClr w14:val="tx1"/>
            </w14:solidFill>
          </w14:textFill>
        </w:rPr>
        <w:t>便民服务中心</w:t>
      </w:r>
      <w:r>
        <w:rPr>
          <w:rFonts w:ascii="华文仿宋" w:hAnsi="华文仿宋" w:eastAsia="华文仿宋"/>
          <w:color w:val="000000" w:themeColor="text1"/>
          <w:sz w:val="28"/>
          <w:szCs w:val="28"/>
          <w14:textFill>
            <w14:solidFill>
              <w14:schemeClr w14:val="tx1"/>
            </w14:solidFill>
          </w14:textFill>
        </w:rPr>
        <w:t>”覆盖全</w:t>
      </w:r>
      <w:r>
        <w:rPr>
          <w:rFonts w:hint="eastAsia" w:ascii="华文仿宋" w:hAnsi="华文仿宋" w:eastAsia="华文仿宋"/>
          <w:color w:val="000000" w:themeColor="text1"/>
          <w:sz w:val="28"/>
          <w:szCs w:val="28"/>
          <w14:textFill>
            <w14:solidFill>
              <w14:schemeClr w14:val="tx1"/>
            </w14:solidFill>
          </w14:textFill>
        </w:rPr>
        <w:t>市</w:t>
      </w:r>
      <w:r>
        <w:rPr>
          <w:rFonts w:ascii="华文仿宋" w:hAnsi="华文仿宋" w:eastAsia="华文仿宋"/>
          <w:color w:val="000000" w:themeColor="text1"/>
          <w:sz w:val="28"/>
          <w:szCs w:val="28"/>
          <w14:textFill>
            <w14:solidFill>
              <w14:schemeClr w14:val="tx1"/>
            </w14:solidFill>
          </w14:textFill>
        </w:rPr>
        <w:t>50%</w:t>
      </w:r>
      <w:r>
        <w:rPr>
          <w:rFonts w:hint="eastAsia" w:ascii="华文仿宋" w:hAnsi="华文仿宋" w:eastAsia="华文仿宋"/>
          <w:color w:val="000000" w:themeColor="text1"/>
          <w:sz w:val="28"/>
          <w:szCs w:val="28"/>
          <w:lang w:val="en-US" w:eastAsia="zh-CN"/>
          <w14:textFill>
            <w14:solidFill>
              <w14:schemeClr w14:val="tx1"/>
            </w14:solidFill>
          </w14:textFill>
        </w:rPr>
        <w:t>以上</w:t>
      </w:r>
      <w:r>
        <w:rPr>
          <w:rFonts w:ascii="华文仿宋" w:hAnsi="华文仿宋" w:eastAsia="华文仿宋"/>
          <w:color w:val="000000" w:themeColor="text1"/>
          <w:sz w:val="28"/>
          <w:szCs w:val="28"/>
          <w14:textFill>
            <w14:solidFill>
              <w14:schemeClr w14:val="tx1"/>
            </w14:solidFill>
          </w14:textFill>
        </w:rPr>
        <w:t>的村。</w:t>
      </w:r>
    </w:p>
    <w:p>
      <w:pPr>
        <w:spacing w:before="156" w:beforeLines="50" w:after="156" w:afterLines="50"/>
        <w:ind w:firstLine="562" w:firstLineChars="200"/>
        <w:rPr>
          <w:rFonts w:hint="eastAsia" w:ascii="华文仿宋" w:hAnsi="华文仿宋" w:eastAsia="华文仿宋" w:cstheme="minorBidi"/>
          <w:b w:val="0"/>
          <w:bCs w:val="0"/>
          <w:color w:val="000000" w:themeColor="text1"/>
          <w:kern w:val="2"/>
          <w:sz w:val="28"/>
          <w:szCs w:val="28"/>
          <w:lang w:val="en-US" w:eastAsia="zh-CN" w:bidi="ar-SA"/>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26. 聚焦解决突出问题。</w:t>
      </w:r>
      <w:r>
        <w:rPr>
          <w:rFonts w:hint="eastAsia" w:ascii="华文仿宋" w:hAnsi="华文仿宋" w:eastAsia="华文仿宋" w:cstheme="minorBidi"/>
          <w:b w:val="0"/>
          <w:bCs w:val="0"/>
          <w:color w:val="000000" w:themeColor="text1"/>
          <w:kern w:val="2"/>
          <w:sz w:val="28"/>
          <w:szCs w:val="28"/>
          <w:lang w:val="en-US" w:eastAsia="zh-CN" w:bidi="ar-SA"/>
          <w14:textFill>
            <w14:solidFill>
              <w14:schemeClr w14:val="tx1"/>
            </w14:solidFill>
          </w14:textFill>
        </w:rPr>
        <w:t>认真梳理企业和群众办事最烦最难的领域和环节，聚焦需要反复跑、窗口排队长的事项，通报一批企业和群众办事难、办事繁的典型案例。吸收全国百家办事大厅暗访督查和改进提升窗口服务水平专题调研发现问题的经验，推动各县区、各部门加快整改，持续提升窗口服务质量和效率。完成百项堵点疏解，回应企业群众关切，除受限于法律法规约束等特殊情况外，原则上2023年完成50项以上，2025年完成所有100项堵点疏解任务。</w:t>
      </w:r>
    </w:p>
    <w:bookmarkEnd w:id="37"/>
    <w:p>
      <w:pPr>
        <w:pStyle w:val="4"/>
        <w:spacing w:line="415" w:lineRule="auto"/>
        <w:ind w:left="0" w:leftChars="0" w:firstLine="560" w:firstLineChars="200"/>
        <w:jc w:val="both"/>
        <w:rPr>
          <w:rFonts w:ascii="楷体" w:hAnsi="楷体" w:eastAsia="楷体"/>
          <w:b w:val="0"/>
          <w:bCs w:val="0"/>
          <w:color w:val="000000" w:themeColor="text1"/>
          <w:szCs w:val="28"/>
          <w14:textFill>
            <w14:solidFill>
              <w14:schemeClr w14:val="tx1"/>
            </w14:solidFill>
          </w14:textFill>
        </w:rPr>
      </w:pPr>
      <w:bookmarkStart w:id="38" w:name="_Toc72943028"/>
      <w:r>
        <w:rPr>
          <w:rFonts w:hint="eastAsia" w:ascii="楷体" w:hAnsi="楷体" w:eastAsia="楷体"/>
          <w:b w:val="0"/>
          <w:bCs w:val="0"/>
          <w:color w:val="000000" w:themeColor="text1"/>
          <w:szCs w:val="28"/>
          <w:lang w:val="en-US" w:eastAsia="zh-CN"/>
          <w14:textFill>
            <w14:solidFill>
              <w14:schemeClr w14:val="tx1"/>
            </w14:solidFill>
          </w14:textFill>
        </w:rPr>
        <w:t>(三)</w:t>
      </w:r>
      <w:r>
        <w:rPr>
          <w:rFonts w:hint="eastAsia" w:ascii="楷体" w:hAnsi="楷体" w:eastAsia="楷体"/>
          <w:b w:val="0"/>
          <w:bCs w:val="0"/>
          <w:color w:val="000000" w:themeColor="text1"/>
          <w:szCs w:val="28"/>
          <w:lang w:eastAsia="zh-CN"/>
          <w14:textFill>
            <w14:solidFill>
              <w14:schemeClr w14:val="tx1"/>
            </w14:solidFill>
          </w14:textFill>
        </w:rPr>
        <w:t>以</w:t>
      </w:r>
      <w:r>
        <w:rPr>
          <w:rFonts w:hint="eastAsia" w:ascii="楷体" w:hAnsi="楷体" w:eastAsia="楷体"/>
          <w:b w:val="0"/>
          <w:bCs w:val="0"/>
          <w:color w:val="000000" w:themeColor="text1"/>
          <w:szCs w:val="28"/>
          <w14:textFill>
            <w14:solidFill>
              <w14:schemeClr w14:val="tx1"/>
            </w14:solidFill>
          </w14:textFill>
        </w:rPr>
        <w:t>“</w:t>
      </w:r>
      <w:r>
        <w:rPr>
          <w:rFonts w:hint="eastAsia" w:ascii="楷体" w:hAnsi="楷体" w:eastAsia="楷体"/>
          <w:b w:val="0"/>
          <w:bCs w:val="0"/>
          <w:color w:val="000000" w:themeColor="text1"/>
          <w:szCs w:val="28"/>
          <w:lang w:eastAsia="zh-CN"/>
          <w14:textFill>
            <w14:solidFill>
              <w14:schemeClr w14:val="tx1"/>
            </w14:solidFill>
          </w14:textFill>
        </w:rPr>
        <w:t>监管执法标准化</w:t>
      </w:r>
      <w:r>
        <w:rPr>
          <w:rFonts w:hint="eastAsia" w:ascii="楷体" w:hAnsi="楷体" w:eastAsia="楷体"/>
          <w:b w:val="0"/>
          <w:bCs w:val="0"/>
          <w:color w:val="000000" w:themeColor="text1"/>
          <w:szCs w:val="28"/>
          <w14:textFill>
            <w14:solidFill>
              <w14:schemeClr w14:val="tx1"/>
            </w14:solidFill>
          </w14:textFill>
        </w:rPr>
        <w:t>”</w:t>
      </w:r>
      <w:r>
        <w:rPr>
          <w:rFonts w:hint="eastAsia" w:ascii="楷体" w:hAnsi="楷体" w:eastAsia="楷体"/>
          <w:b w:val="0"/>
          <w:bCs w:val="0"/>
          <w:color w:val="000000" w:themeColor="text1"/>
          <w:szCs w:val="28"/>
          <w:lang w:eastAsia="zh-CN"/>
          <w14:textFill>
            <w14:solidFill>
              <w14:schemeClr w14:val="tx1"/>
            </w14:solidFill>
          </w14:textFill>
        </w:rPr>
        <w:t>为</w:t>
      </w:r>
      <w:r>
        <w:rPr>
          <w:rFonts w:hint="eastAsia" w:ascii="楷体" w:hAnsi="楷体" w:eastAsia="楷体"/>
          <w:b w:val="0"/>
          <w:bCs w:val="0"/>
          <w:color w:val="000000" w:themeColor="text1"/>
          <w:szCs w:val="28"/>
          <w14:textFill>
            <w14:solidFill>
              <w14:schemeClr w14:val="tx1"/>
            </w14:solidFill>
          </w14:textFill>
        </w:rPr>
        <w:t>目标，在</w:t>
      </w:r>
      <w:r>
        <w:rPr>
          <w:rFonts w:hint="eastAsia" w:ascii="楷体" w:hAnsi="楷体" w:eastAsia="楷体"/>
          <w:b w:val="0"/>
          <w:bCs w:val="0"/>
          <w:color w:val="000000" w:themeColor="text1"/>
          <w:szCs w:val="28"/>
          <w:lang w:eastAsia="zh-CN"/>
          <w14:textFill>
            <w14:solidFill>
              <w14:schemeClr w14:val="tx1"/>
            </w14:solidFill>
          </w14:textFill>
        </w:rPr>
        <w:t>法治政府建设</w:t>
      </w:r>
      <w:r>
        <w:rPr>
          <w:rFonts w:hint="eastAsia" w:ascii="楷体" w:hAnsi="楷体" w:eastAsia="楷体"/>
          <w:b w:val="0"/>
          <w:bCs w:val="0"/>
          <w:color w:val="000000" w:themeColor="text1"/>
          <w:szCs w:val="28"/>
          <w14:textFill>
            <w14:solidFill>
              <w14:schemeClr w14:val="tx1"/>
            </w14:solidFill>
          </w14:textFill>
        </w:rPr>
        <w:t>上再上新台阶</w:t>
      </w:r>
      <w:bookmarkEnd w:id="38"/>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27. </w:t>
      </w:r>
      <w:r>
        <w:rPr>
          <w:rFonts w:hint="eastAsia" w:ascii="仿宋" w:hAnsi="仿宋" w:eastAsia="仿宋"/>
          <w:b/>
          <w:bCs/>
          <w:color w:val="000000" w:themeColor="text1"/>
          <w:sz w:val="28"/>
          <w:szCs w:val="28"/>
          <w14:textFill>
            <w14:solidFill>
              <w14:schemeClr w14:val="tx1"/>
            </w14:solidFill>
          </w14:textFill>
        </w:rPr>
        <w:t>重推“</w:t>
      </w:r>
      <w:r>
        <w:rPr>
          <w:rFonts w:ascii="仿宋" w:hAnsi="仿宋" w:eastAsia="仿宋"/>
          <w:b/>
          <w:bCs/>
          <w:color w:val="000000" w:themeColor="text1"/>
          <w:sz w:val="28"/>
          <w:szCs w:val="28"/>
          <w14:textFill>
            <w14:solidFill>
              <w14:schemeClr w14:val="tx1"/>
            </w14:solidFill>
          </w14:textFill>
        </w:rPr>
        <w:t>承诺制</w:t>
      </w:r>
      <w:r>
        <w:rPr>
          <w:rFonts w:hint="eastAsia" w:ascii="仿宋" w:hAnsi="仿宋" w:eastAsia="仿宋"/>
          <w:b/>
          <w:bCs/>
          <w:color w:val="000000" w:themeColor="text1"/>
          <w:sz w:val="28"/>
          <w:szCs w:val="28"/>
          <w:lang w:val="en-US" w:eastAsia="zh-CN"/>
          <w14:textFill>
            <w14:solidFill>
              <w14:schemeClr w14:val="tx1"/>
            </w14:solidFill>
          </w14:textFill>
        </w:rPr>
        <w:t>+标准地</w:t>
      </w:r>
      <w:r>
        <w:rPr>
          <w:rFonts w:hint="eastAsia" w:ascii="仿宋" w:hAnsi="仿宋" w:eastAsia="仿宋"/>
          <w:b/>
          <w:bCs/>
          <w:color w:val="000000" w:themeColor="text1"/>
          <w:sz w:val="28"/>
          <w:szCs w:val="28"/>
          <w14:textFill>
            <w14:solidFill>
              <w14:schemeClr w14:val="tx1"/>
            </w14:solidFill>
          </w14:textFill>
        </w:rPr>
        <w:t>”</w:t>
      </w:r>
      <w:r>
        <w:rPr>
          <w:rFonts w:ascii="仿宋" w:hAnsi="仿宋" w:eastAsia="仿宋"/>
          <w:b/>
          <w:bCs/>
          <w:color w:val="000000" w:themeColor="text1"/>
          <w:sz w:val="28"/>
          <w:szCs w:val="28"/>
          <w14:textFill>
            <w14:solidFill>
              <w14:schemeClr w14:val="tx1"/>
            </w14:solidFill>
          </w14:textFill>
        </w:rPr>
        <w:t>改革</w:t>
      </w:r>
      <w:r>
        <w:rPr>
          <w:rFonts w:hint="eastAsia" w:ascii="仿宋" w:hAnsi="仿宋" w:eastAsia="仿宋"/>
          <w:b/>
          <w:bCs/>
          <w:color w:val="000000" w:themeColor="text1"/>
          <w:sz w:val="28"/>
          <w:szCs w:val="28"/>
          <w:lang w:eastAsia="zh-CN"/>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企业投资项目按照政府统一服务、企业承诺的方式对报建审批事项进行流程再造，推动项目审批全面提速。</w:t>
      </w:r>
      <w:r>
        <w:rPr>
          <w:rFonts w:hint="eastAsia" w:ascii="华文仿宋" w:hAnsi="华文仿宋" w:eastAsia="华文仿宋"/>
          <w:color w:val="000000" w:themeColor="text1"/>
          <w:sz w:val="28"/>
          <w:szCs w:val="28"/>
          <w14:textFill>
            <w14:solidFill>
              <w14:schemeClr w14:val="tx1"/>
            </w14:solidFill>
          </w14:textFill>
        </w:rPr>
        <w:t>持续</w:t>
      </w:r>
      <w:r>
        <w:rPr>
          <w:rFonts w:ascii="华文仿宋" w:hAnsi="华文仿宋" w:eastAsia="华文仿宋"/>
          <w:color w:val="000000" w:themeColor="text1"/>
          <w:sz w:val="28"/>
          <w:szCs w:val="28"/>
          <w14:textFill>
            <w14:solidFill>
              <w14:schemeClr w14:val="tx1"/>
            </w14:solidFill>
          </w14:textFill>
        </w:rPr>
        <w:t>推进“</w:t>
      </w:r>
      <w:r>
        <w:rPr>
          <w:rFonts w:hint="eastAsia" w:ascii="华文仿宋" w:hAnsi="华文仿宋" w:eastAsia="华文仿宋"/>
          <w:color w:val="000000" w:themeColor="text1"/>
          <w:sz w:val="28"/>
          <w:szCs w:val="28"/>
          <w14:textFill>
            <w14:solidFill>
              <w14:schemeClr w14:val="tx1"/>
            </w14:solidFill>
          </w14:textFill>
        </w:rPr>
        <w:t>承诺制+标准地</w:t>
      </w:r>
      <w:r>
        <w:rPr>
          <w:rFonts w:ascii="华文仿宋" w:hAnsi="华文仿宋" w:eastAsia="华文仿宋"/>
          <w:color w:val="000000" w:themeColor="text1"/>
          <w:sz w:val="28"/>
          <w:szCs w:val="28"/>
          <w14:textFill>
            <w14:solidFill>
              <w14:schemeClr w14:val="tx1"/>
            </w14:solidFill>
          </w14:textFill>
        </w:rPr>
        <w:t>”改革，明确建设用地规划、能耗、污染排放、单位产出等标准，积极稳妥将承诺制改革试点范围拓展到核准类投资项目。</w:t>
      </w:r>
      <w:r>
        <w:rPr>
          <w:rFonts w:hint="eastAsia" w:ascii="华文仿宋" w:hAnsi="华文仿宋" w:eastAsia="华文仿宋"/>
          <w:color w:val="000000" w:themeColor="text1"/>
          <w:sz w:val="28"/>
          <w:szCs w:val="28"/>
          <w14:textFill>
            <w14:solidFill>
              <w14:schemeClr w14:val="tx1"/>
            </w14:solidFill>
          </w14:textFill>
        </w:rPr>
        <w:t>推动政府统一服务事项全面落实，到2023年，基本实现经开区范围内产业类项目实现“全承诺、无审批、拿地即开工”；到2025年，全市区域评估完成率不低于95%，区域评估成果100%应用，企业投资从项目立项（备案、核准）到开工建设各环节，审批时限平均缩短三分之二以上，力争“承诺制+标准地”改革居全省前列。</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28. </w:t>
      </w:r>
      <w:r>
        <w:rPr>
          <w:rFonts w:hint="eastAsia" w:ascii="仿宋" w:hAnsi="仿宋" w:eastAsia="仿宋"/>
          <w:b/>
          <w:bCs/>
          <w:color w:val="000000" w:themeColor="text1"/>
          <w:sz w:val="28"/>
          <w:szCs w:val="28"/>
          <w14:textFill>
            <w14:solidFill>
              <w14:schemeClr w14:val="tx1"/>
            </w14:solidFill>
          </w14:textFill>
        </w:rPr>
        <w:t>引深“一枚印章管审批”改革</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贯彻落实《山西省一枚印章管审批条例》，完善相对集中行政许可权改革配套制度，以整体性政府的服务理念、服务路径和服务方式，强化系统、业务、数据、技术、人员“五个融合”，推动审批服务由“碎片化”向“集约化”转变，释放审批服务改革“物理集中”到“化学反应”的集成效应。继续加强相对集中行政许可的探索研究，建立健全审批服务部门与同级监管部门、上下业务部门间的工作协调配合机制。</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29. </w:t>
      </w:r>
      <w:r>
        <w:rPr>
          <w:rFonts w:hint="eastAsia" w:ascii="仿宋" w:hAnsi="仿宋" w:eastAsia="仿宋"/>
          <w:b/>
          <w:bCs/>
          <w:color w:val="000000" w:themeColor="text1"/>
          <w:sz w:val="28"/>
          <w:szCs w:val="28"/>
          <w14:textFill>
            <w14:solidFill>
              <w14:schemeClr w14:val="tx1"/>
            </w14:solidFill>
          </w14:textFill>
        </w:rPr>
        <w:t>完善“一个系统管监管”改革</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完善以“互联网+监管”为核心，“双随机、一公开”监督为基本手段，信用监管为支撑，重点监管为补充，包容审慎监管为辅助的新型综合监管制度。形成规范的检查程序，健全投诉举报和查处机制。实施综合监管、“智慧监管”，做到“进一次门，查多项事”。健全与事中事后监管体系相对应的综合评价指标体系，提高对政府部门履行监管职责情况进行效能评估的能力，强化监管的“再监管”，实现监管效能最大化、监管成本最优化、对市场主体干扰最小化。</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30. </w:t>
      </w:r>
      <w:r>
        <w:rPr>
          <w:rFonts w:hint="eastAsia" w:ascii="仿宋" w:hAnsi="仿宋" w:eastAsia="仿宋"/>
          <w:b/>
          <w:bCs/>
          <w:color w:val="000000" w:themeColor="text1"/>
          <w:sz w:val="28"/>
          <w:szCs w:val="28"/>
          <w14:textFill>
            <w14:solidFill>
              <w14:schemeClr w14:val="tx1"/>
            </w14:solidFill>
          </w14:textFill>
        </w:rPr>
        <w:t>推进“一个平台管交易”改革</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持续深化公共资源交易平台整合共享，不断拓展平台覆盖范围，推进适合以市场化方式配置的公共资源，逐步纳入公共资源交易平台进行交易</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并</w:t>
      </w:r>
      <w:r>
        <w:rPr>
          <w:rFonts w:hint="eastAsia" w:ascii="华文仿宋" w:hAnsi="华文仿宋" w:eastAsia="华文仿宋"/>
          <w:color w:val="000000" w:themeColor="text1"/>
          <w:sz w:val="28"/>
          <w:szCs w:val="28"/>
          <w14:textFill>
            <w14:solidFill>
              <w14:schemeClr w14:val="tx1"/>
            </w14:solidFill>
          </w14:textFill>
        </w:rPr>
        <w:t>实行目录清单管理制度</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加快</w:t>
      </w:r>
      <w:r>
        <w:rPr>
          <w:rFonts w:hint="eastAsia" w:ascii="华文仿宋" w:hAnsi="华文仿宋" w:eastAsia="华文仿宋"/>
          <w:color w:val="000000" w:themeColor="text1"/>
          <w:sz w:val="28"/>
          <w:szCs w:val="28"/>
          <w14:textFill>
            <w14:solidFill>
              <w14:schemeClr w14:val="tx1"/>
            </w14:solidFill>
          </w14:textFill>
        </w:rPr>
        <w:t>电子化交易全面实施</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推动</w:t>
      </w:r>
      <w:r>
        <w:rPr>
          <w:rFonts w:hint="eastAsia" w:ascii="华文仿宋" w:hAnsi="华文仿宋" w:eastAsia="华文仿宋"/>
          <w:color w:val="000000" w:themeColor="text1"/>
          <w:sz w:val="28"/>
          <w:szCs w:val="28"/>
          <w:lang w:val="en-US" w:eastAsia="zh-CN"/>
          <w14:textFill>
            <w14:solidFill>
              <w14:schemeClr w14:val="tx1"/>
            </w14:solidFill>
          </w14:textFill>
        </w:rPr>
        <w:t>交易系统“一张网”运行，实现信息发布、资源共享、交易目录、交易规则“四统一”目标，</w:t>
      </w:r>
      <w:r>
        <w:rPr>
          <w:rFonts w:hint="eastAsia" w:ascii="华文仿宋" w:hAnsi="华文仿宋" w:eastAsia="华文仿宋"/>
          <w:color w:val="000000" w:themeColor="text1"/>
          <w:sz w:val="28"/>
          <w:szCs w:val="28"/>
          <w14:textFill>
            <w14:solidFill>
              <w14:schemeClr w14:val="tx1"/>
            </w14:solidFill>
          </w14:textFill>
        </w:rPr>
        <w:t>推进公共资源配置决策、执行、管理、服务、结果全过程信息“五公开”，</w:t>
      </w:r>
      <w:r>
        <w:rPr>
          <w:rFonts w:hint="eastAsia" w:ascii="华文仿宋" w:hAnsi="华文仿宋" w:eastAsia="华文仿宋"/>
          <w:color w:val="000000" w:themeColor="text1"/>
          <w:sz w:val="28"/>
          <w:szCs w:val="28"/>
          <w:lang w:val="en-US" w:eastAsia="zh-CN"/>
          <w14:textFill>
            <w14:solidFill>
              <w14:schemeClr w14:val="tx1"/>
            </w14:solidFill>
          </w14:textFill>
        </w:rPr>
        <w:t>创新</w:t>
      </w:r>
      <w:r>
        <w:rPr>
          <w:rFonts w:hint="eastAsia" w:ascii="华文仿宋" w:hAnsi="华文仿宋" w:eastAsia="华文仿宋"/>
          <w:color w:val="000000" w:themeColor="text1"/>
          <w:sz w:val="28"/>
          <w:szCs w:val="28"/>
          <w14:textFill>
            <w14:solidFill>
              <w14:schemeClr w14:val="tx1"/>
            </w14:solidFill>
          </w14:textFill>
        </w:rPr>
        <w:t>公共资源交易综合监管机制，构建统一开放、竞争有序的公共资源交易市场。</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31. </w:t>
      </w:r>
      <w:r>
        <w:rPr>
          <w:rFonts w:hint="eastAsia" w:ascii="仿宋" w:hAnsi="仿宋" w:eastAsia="仿宋"/>
          <w:b/>
          <w:bCs/>
          <w:color w:val="000000" w:themeColor="text1"/>
          <w:sz w:val="28"/>
          <w:szCs w:val="28"/>
          <w14:textFill>
            <w14:solidFill>
              <w14:schemeClr w14:val="tx1"/>
            </w14:solidFill>
          </w14:textFill>
        </w:rPr>
        <w:t>优化“一条热线管便民”功能</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制定出台《阳泉市12345政务服务</w:t>
      </w:r>
      <w:r>
        <w:rPr>
          <w:rFonts w:hint="eastAsia" w:ascii="华文仿宋" w:hAnsi="华文仿宋" w:eastAsia="华文仿宋"/>
          <w:color w:val="000000" w:themeColor="text1"/>
          <w:sz w:val="28"/>
          <w:szCs w:val="28"/>
          <w:lang w:val="en-US" w:eastAsia="zh-CN"/>
          <w14:textFill>
            <w14:solidFill>
              <w14:schemeClr w14:val="tx1"/>
            </w14:solidFill>
          </w14:textFill>
        </w:rPr>
        <w:t>便民</w:t>
      </w:r>
      <w:r>
        <w:rPr>
          <w:rFonts w:hint="eastAsia" w:ascii="华文仿宋" w:hAnsi="华文仿宋" w:eastAsia="华文仿宋"/>
          <w:color w:val="000000" w:themeColor="text1"/>
          <w:sz w:val="28"/>
          <w:szCs w:val="28"/>
          <w14:textFill>
            <w14:solidFill>
              <w14:schemeClr w14:val="tx1"/>
            </w14:solidFill>
          </w14:textFill>
        </w:rPr>
        <w:t>热线条例》，推进政务服务</w:t>
      </w:r>
      <w:r>
        <w:rPr>
          <w:rFonts w:hint="eastAsia" w:ascii="华文仿宋" w:hAnsi="华文仿宋" w:eastAsia="华文仿宋"/>
          <w:color w:val="000000" w:themeColor="text1"/>
          <w:sz w:val="28"/>
          <w:szCs w:val="28"/>
          <w:lang w:val="en-US" w:eastAsia="zh-CN"/>
          <w14:textFill>
            <w14:solidFill>
              <w14:schemeClr w14:val="tx1"/>
            </w14:solidFill>
          </w14:textFill>
        </w:rPr>
        <w:t>便民</w:t>
      </w:r>
      <w:r>
        <w:rPr>
          <w:rFonts w:hint="eastAsia" w:ascii="华文仿宋" w:hAnsi="华文仿宋" w:eastAsia="华文仿宋"/>
          <w:color w:val="000000" w:themeColor="text1"/>
          <w:sz w:val="28"/>
          <w:szCs w:val="28"/>
          <w14:textFill>
            <w14:solidFill>
              <w14:schemeClr w14:val="tx1"/>
            </w14:solidFill>
          </w14:textFill>
        </w:rPr>
        <w:t>热线建设与管理法制化、规范化、标准化。继续</w:t>
      </w:r>
      <w:r>
        <w:rPr>
          <w:rFonts w:ascii="华文仿宋" w:hAnsi="华文仿宋" w:eastAsia="华文仿宋"/>
          <w:color w:val="000000" w:themeColor="text1"/>
          <w:sz w:val="28"/>
          <w:szCs w:val="28"/>
          <w14:textFill>
            <w14:solidFill>
              <w14:schemeClr w14:val="tx1"/>
            </w14:solidFill>
          </w14:textFill>
        </w:rPr>
        <w:t>整合</w:t>
      </w:r>
      <w:r>
        <w:rPr>
          <w:rFonts w:hint="eastAsia" w:ascii="华文仿宋" w:hAnsi="华文仿宋" w:eastAsia="华文仿宋"/>
          <w:color w:val="000000" w:themeColor="text1"/>
          <w:sz w:val="28"/>
          <w:szCs w:val="28"/>
          <w14:textFill>
            <w14:solidFill>
              <w14:schemeClr w14:val="tx1"/>
            </w14:solidFill>
          </w14:textFill>
        </w:rPr>
        <w:t>市县（区）</w:t>
      </w:r>
      <w:r>
        <w:rPr>
          <w:rFonts w:ascii="华文仿宋" w:hAnsi="华文仿宋" w:eastAsia="华文仿宋"/>
          <w:color w:val="000000" w:themeColor="text1"/>
          <w:sz w:val="28"/>
          <w:szCs w:val="28"/>
          <w14:textFill>
            <w14:solidFill>
              <w14:schemeClr w14:val="tx1"/>
            </w14:solidFill>
          </w14:textFill>
        </w:rPr>
        <w:t>各类非紧急类热线，构建一号对外、</w:t>
      </w:r>
      <w:r>
        <w:rPr>
          <w:rFonts w:hint="eastAsia" w:ascii="华文仿宋" w:hAnsi="华文仿宋" w:eastAsia="华文仿宋"/>
          <w:color w:val="000000" w:themeColor="text1"/>
          <w:sz w:val="28"/>
          <w:szCs w:val="28"/>
          <w14:textFill>
            <w14:solidFill>
              <w14:schemeClr w14:val="tx1"/>
            </w14:solidFill>
          </w14:textFill>
        </w:rPr>
        <w:t>统一受理、</w:t>
      </w:r>
      <w:r>
        <w:rPr>
          <w:rFonts w:ascii="华文仿宋" w:hAnsi="华文仿宋" w:eastAsia="华文仿宋"/>
          <w:color w:val="000000" w:themeColor="text1"/>
          <w:sz w:val="28"/>
          <w:szCs w:val="28"/>
          <w14:textFill>
            <w14:solidFill>
              <w14:schemeClr w14:val="tx1"/>
            </w14:solidFill>
          </w14:textFill>
        </w:rPr>
        <w:t>分类处置、</w:t>
      </w:r>
      <w:r>
        <w:rPr>
          <w:rFonts w:hint="eastAsia" w:ascii="华文仿宋" w:hAnsi="华文仿宋" w:eastAsia="华文仿宋"/>
          <w:color w:val="000000" w:themeColor="text1"/>
          <w:sz w:val="28"/>
          <w:szCs w:val="28"/>
          <w14:textFill>
            <w14:solidFill>
              <w14:schemeClr w14:val="tx1"/>
            </w14:solidFill>
          </w14:textFill>
        </w:rPr>
        <w:t>限时办结</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统一督办、评价反馈、绩效管理、分析研判的业务闭环，将12345热线建设成集咨询、投诉、求助、建议、举报等功能为一体的，涵盖电话、网站、微信、移动客户端等多渠道的全市政务服务“总客服”。</w:t>
      </w:r>
    </w:p>
    <w:p>
      <w:pPr>
        <w:pStyle w:val="4"/>
        <w:spacing w:line="415" w:lineRule="auto"/>
        <w:ind w:left="0" w:leftChars="0" w:firstLine="560" w:firstLineChars="200"/>
        <w:jc w:val="both"/>
        <w:rPr>
          <w:rFonts w:ascii="楷体" w:hAnsi="楷体" w:eastAsia="楷体"/>
          <w:b w:val="0"/>
          <w:bCs w:val="0"/>
          <w:color w:val="000000" w:themeColor="text1"/>
          <w:szCs w:val="28"/>
          <w14:textFill>
            <w14:solidFill>
              <w14:schemeClr w14:val="tx1"/>
            </w14:solidFill>
          </w14:textFill>
        </w:rPr>
      </w:pPr>
      <w:r>
        <w:rPr>
          <w:rFonts w:hint="eastAsia" w:ascii="楷体" w:hAnsi="楷体" w:eastAsia="楷体"/>
          <w:b w:val="0"/>
          <w:bCs w:val="0"/>
          <w:color w:val="000000" w:themeColor="text1"/>
          <w:szCs w:val="28"/>
          <w:lang w:eastAsia="zh-CN"/>
          <w14:textFill>
            <w14:solidFill>
              <w14:schemeClr w14:val="tx1"/>
            </w14:solidFill>
          </w14:textFill>
        </w:rPr>
        <w:t>（</w:t>
      </w:r>
      <w:r>
        <w:rPr>
          <w:rFonts w:hint="eastAsia" w:ascii="楷体" w:hAnsi="楷体" w:eastAsia="楷体"/>
          <w:b w:val="0"/>
          <w:bCs w:val="0"/>
          <w:color w:val="000000" w:themeColor="text1"/>
          <w:szCs w:val="28"/>
          <w:lang w:val="en-US" w:eastAsia="zh-CN"/>
          <w14:textFill>
            <w14:solidFill>
              <w14:schemeClr w14:val="tx1"/>
            </w14:solidFill>
          </w14:textFill>
        </w:rPr>
        <w:t>四</w:t>
      </w:r>
      <w:r>
        <w:rPr>
          <w:rFonts w:hint="eastAsia" w:ascii="楷体" w:hAnsi="楷体" w:eastAsia="楷体"/>
          <w:b w:val="0"/>
          <w:bCs w:val="0"/>
          <w:color w:val="000000" w:themeColor="text1"/>
          <w:szCs w:val="28"/>
          <w:lang w:eastAsia="zh-CN"/>
          <w14:textFill>
            <w14:solidFill>
              <w14:schemeClr w14:val="tx1"/>
            </w14:solidFill>
          </w14:textFill>
        </w:rPr>
        <w:t>）以</w:t>
      </w:r>
      <w:r>
        <w:rPr>
          <w:rFonts w:hint="eastAsia" w:ascii="楷体" w:hAnsi="楷体" w:eastAsia="楷体"/>
          <w:b w:val="0"/>
          <w:bCs w:val="0"/>
          <w:color w:val="000000" w:themeColor="text1"/>
          <w:szCs w:val="28"/>
          <w14:textFill>
            <w14:solidFill>
              <w14:schemeClr w14:val="tx1"/>
            </w14:solidFill>
          </w14:textFill>
        </w:rPr>
        <w:t>“</w:t>
      </w:r>
      <w:r>
        <w:rPr>
          <w:rFonts w:hint="eastAsia" w:ascii="楷体" w:hAnsi="楷体" w:eastAsia="楷体"/>
          <w:b w:val="0"/>
          <w:bCs w:val="0"/>
          <w:color w:val="000000" w:themeColor="text1"/>
          <w:szCs w:val="28"/>
          <w:lang w:eastAsia="zh-CN"/>
          <w14:textFill>
            <w14:solidFill>
              <w14:schemeClr w14:val="tx1"/>
            </w14:solidFill>
          </w14:textFill>
        </w:rPr>
        <w:t>制度保障法治化</w:t>
      </w:r>
      <w:r>
        <w:rPr>
          <w:rFonts w:hint="eastAsia" w:ascii="楷体" w:hAnsi="楷体" w:eastAsia="楷体"/>
          <w:b w:val="0"/>
          <w:bCs w:val="0"/>
          <w:color w:val="000000" w:themeColor="text1"/>
          <w:szCs w:val="28"/>
          <w14:textFill>
            <w14:solidFill>
              <w14:schemeClr w14:val="tx1"/>
            </w14:solidFill>
          </w14:textFill>
        </w:rPr>
        <w:t>”</w:t>
      </w:r>
      <w:r>
        <w:rPr>
          <w:rFonts w:hint="eastAsia" w:ascii="楷体" w:hAnsi="楷体" w:eastAsia="楷体"/>
          <w:b w:val="0"/>
          <w:bCs w:val="0"/>
          <w:color w:val="000000" w:themeColor="text1"/>
          <w:szCs w:val="28"/>
          <w:lang w:eastAsia="zh-CN"/>
          <w14:textFill>
            <w14:solidFill>
              <w14:schemeClr w14:val="tx1"/>
            </w14:solidFill>
          </w14:textFill>
        </w:rPr>
        <w:t>为</w:t>
      </w:r>
      <w:r>
        <w:rPr>
          <w:rFonts w:hint="eastAsia" w:ascii="楷体" w:hAnsi="楷体" w:eastAsia="楷体"/>
          <w:b w:val="0"/>
          <w:bCs w:val="0"/>
          <w:color w:val="000000" w:themeColor="text1"/>
          <w:szCs w:val="28"/>
          <w14:textFill>
            <w14:solidFill>
              <w14:schemeClr w14:val="tx1"/>
            </w14:solidFill>
          </w14:textFill>
        </w:rPr>
        <w:t>目标，在体制</w:t>
      </w:r>
      <w:r>
        <w:rPr>
          <w:rFonts w:hint="eastAsia" w:ascii="楷体" w:hAnsi="楷体" w:eastAsia="楷体"/>
          <w:b w:val="0"/>
          <w:bCs w:val="0"/>
          <w:color w:val="000000" w:themeColor="text1"/>
          <w:szCs w:val="28"/>
          <w:lang w:eastAsia="zh-CN"/>
          <w14:textFill>
            <w14:solidFill>
              <w14:schemeClr w14:val="tx1"/>
            </w14:solidFill>
          </w14:textFill>
        </w:rPr>
        <w:t>机制</w:t>
      </w:r>
      <w:r>
        <w:rPr>
          <w:rFonts w:hint="eastAsia" w:ascii="楷体" w:hAnsi="楷体" w:eastAsia="楷体"/>
          <w:b w:val="0"/>
          <w:bCs w:val="0"/>
          <w:color w:val="000000" w:themeColor="text1"/>
          <w:szCs w:val="28"/>
          <w14:textFill>
            <w14:solidFill>
              <w14:schemeClr w14:val="tx1"/>
            </w14:solidFill>
          </w14:textFill>
        </w:rPr>
        <w:t>创新上迈出新步伐</w:t>
      </w:r>
    </w:p>
    <w:p>
      <w:pPr>
        <w:spacing w:before="156" w:beforeLines="50" w:after="156" w:afterLines="50"/>
        <w:ind w:firstLine="562" w:firstLineChars="200"/>
        <w:rPr>
          <w:rFonts w:ascii="华文仿宋" w:hAnsi="华文仿宋" w:eastAsia="华文仿宋" w:cs="Arial"/>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32. </w:t>
      </w:r>
      <w:r>
        <w:rPr>
          <w:rFonts w:hint="eastAsia" w:ascii="仿宋" w:hAnsi="仿宋" w:eastAsia="仿宋"/>
          <w:b/>
          <w:bCs/>
          <w:color w:val="000000" w:themeColor="text1"/>
          <w:sz w:val="28"/>
          <w:szCs w:val="28"/>
          <w14:textFill>
            <w14:solidFill>
              <w14:schemeClr w14:val="tx1"/>
            </w14:solidFill>
          </w14:textFill>
        </w:rPr>
        <w:t>持续优化行政运行机制</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s="Arial"/>
          <w:bCs/>
          <w:color w:val="000000" w:themeColor="text1"/>
          <w:sz w:val="28"/>
          <w:szCs w:val="28"/>
          <w14:textFill>
            <w14:solidFill>
              <w14:schemeClr w14:val="tx1"/>
            </w14:solidFill>
          </w14:textFill>
        </w:rPr>
        <w:t>坚持</w:t>
      </w:r>
      <w:r>
        <w:rPr>
          <w:rFonts w:ascii="华文仿宋" w:hAnsi="华文仿宋" w:eastAsia="华文仿宋" w:cs="Arial"/>
          <w:bCs/>
          <w:color w:val="000000" w:themeColor="text1"/>
          <w:sz w:val="28"/>
          <w:szCs w:val="28"/>
          <w14:textFill>
            <w14:solidFill>
              <w14:schemeClr w14:val="tx1"/>
            </w14:solidFill>
          </w14:textFill>
        </w:rPr>
        <w:t>优化</w:t>
      </w:r>
      <w:r>
        <w:rPr>
          <w:rFonts w:hint="eastAsia" w:ascii="华文仿宋" w:hAnsi="华文仿宋" w:eastAsia="华文仿宋" w:cs="Arial"/>
          <w:bCs/>
          <w:color w:val="000000" w:themeColor="text1"/>
          <w:sz w:val="28"/>
          <w:szCs w:val="28"/>
          <w:lang w:eastAsia="zh-CN"/>
          <w14:textFill>
            <w14:solidFill>
              <w14:schemeClr w14:val="tx1"/>
            </w14:solidFill>
          </w14:textFill>
        </w:rPr>
        <w:t>、</w:t>
      </w:r>
      <w:r>
        <w:rPr>
          <w:rFonts w:ascii="华文仿宋" w:hAnsi="华文仿宋" w:eastAsia="华文仿宋" w:cs="Arial"/>
          <w:bCs/>
          <w:color w:val="000000" w:themeColor="text1"/>
          <w:sz w:val="28"/>
          <w:szCs w:val="28"/>
          <w14:textFill>
            <w14:solidFill>
              <w14:schemeClr w14:val="tx1"/>
            </w14:solidFill>
          </w14:textFill>
        </w:rPr>
        <w:t>协同</w:t>
      </w:r>
      <w:r>
        <w:rPr>
          <w:rFonts w:hint="eastAsia" w:ascii="华文仿宋" w:hAnsi="华文仿宋" w:eastAsia="华文仿宋" w:cs="Arial"/>
          <w:bCs/>
          <w:color w:val="000000" w:themeColor="text1"/>
          <w:sz w:val="28"/>
          <w:szCs w:val="28"/>
          <w:lang w:eastAsia="zh-CN"/>
          <w14:textFill>
            <w14:solidFill>
              <w14:schemeClr w14:val="tx1"/>
            </w14:solidFill>
          </w14:textFill>
        </w:rPr>
        <w:t>、</w:t>
      </w:r>
      <w:r>
        <w:rPr>
          <w:rFonts w:ascii="华文仿宋" w:hAnsi="华文仿宋" w:eastAsia="华文仿宋" w:cs="Arial"/>
          <w:bCs/>
          <w:color w:val="000000" w:themeColor="text1"/>
          <w:sz w:val="28"/>
          <w:szCs w:val="28"/>
          <w14:textFill>
            <w14:solidFill>
              <w14:schemeClr w14:val="tx1"/>
            </w14:solidFill>
          </w14:textFill>
        </w:rPr>
        <w:t>高效原则，推进机构、职能、权限、程序、责任法定化，构建系统完备、科学规范、运行高效的政府职责体系，进一步厘</w:t>
      </w:r>
      <w:r>
        <w:rPr>
          <w:rFonts w:hint="eastAsia" w:ascii="华文仿宋" w:hAnsi="华文仿宋" w:eastAsia="华文仿宋" w:cs="Arial"/>
          <w:bCs/>
          <w:color w:val="000000" w:themeColor="text1"/>
          <w:sz w:val="28"/>
          <w:szCs w:val="28"/>
          <w14:textFill>
            <w14:solidFill>
              <w14:schemeClr w14:val="tx1"/>
            </w14:solidFill>
          </w14:textFill>
        </w:rPr>
        <w:t>清和理顺政府与市场、政府与社会的关系，更好发挥政府作用。完善行政管理体制，优化行政决策、行政执行、行政组织、行政</w:t>
      </w:r>
      <w:r>
        <w:rPr>
          <w:rFonts w:ascii="华文仿宋" w:hAnsi="华文仿宋" w:eastAsia="华文仿宋" w:cs="Arial"/>
          <w:bCs/>
          <w:color w:val="000000" w:themeColor="text1"/>
          <w:sz w:val="28"/>
          <w:szCs w:val="28"/>
          <w14:textFill>
            <w14:solidFill>
              <w14:schemeClr w14:val="tx1"/>
            </w14:solidFill>
          </w14:textFill>
        </w:rPr>
        <w:t>监督程序，强化政府部门间协同配合、流程衔接、信息共享、高效运转的联动机制。健全政府绩效管理制度，完善行政决策执行实施、评价、问责和改进机制。深化法治政府、数字政府建设，促进政务公开、政务大数据管理和应用科学化规范化制度化，提高政府执行力和公信力，提升政府数字治理水平。</w:t>
      </w:r>
    </w:p>
    <w:p>
      <w:pPr>
        <w:spacing w:before="156" w:beforeLines="50" w:after="156" w:afterLines="50"/>
        <w:ind w:firstLine="562" w:firstLineChars="200"/>
        <w:rPr>
          <w:rFonts w:ascii="华文仿宋" w:hAnsi="华文仿宋" w:eastAsia="华文仿宋"/>
          <w:b w:val="0"/>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33. </w:t>
      </w:r>
      <w:r>
        <w:rPr>
          <w:rFonts w:hint="eastAsia" w:ascii="仿宋" w:hAnsi="仿宋" w:eastAsia="仿宋"/>
          <w:b/>
          <w:bCs/>
          <w:color w:val="000000" w:themeColor="text1"/>
          <w:sz w:val="28"/>
          <w:szCs w:val="28"/>
          <w14:textFill>
            <w14:solidFill>
              <w14:schemeClr w14:val="tx1"/>
            </w14:solidFill>
          </w14:textFill>
        </w:rPr>
        <w:t>构建一流</w:t>
      </w:r>
      <w:bookmarkStart w:id="39" w:name="_Hlk60819290"/>
      <w:r>
        <w:rPr>
          <w:rFonts w:hint="eastAsia" w:ascii="仿宋" w:hAnsi="仿宋" w:eastAsia="仿宋"/>
          <w:b/>
          <w:bCs/>
          <w:color w:val="000000" w:themeColor="text1"/>
          <w:sz w:val="28"/>
          <w:szCs w:val="28"/>
          <w14:textFill>
            <w14:solidFill>
              <w14:schemeClr w14:val="tx1"/>
            </w14:solidFill>
          </w14:textFill>
        </w:rPr>
        <w:t>创新创业</w:t>
      </w:r>
      <w:bookmarkEnd w:id="39"/>
      <w:r>
        <w:rPr>
          <w:rFonts w:hint="eastAsia" w:ascii="仿宋" w:hAnsi="仿宋" w:eastAsia="仿宋"/>
          <w:b/>
          <w:bCs/>
          <w:color w:val="000000" w:themeColor="text1"/>
          <w:sz w:val="28"/>
          <w:szCs w:val="28"/>
          <w14:textFill>
            <w14:solidFill>
              <w14:schemeClr w14:val="tx1"/>
            </w14:solidFill>
          </w14:textFill>
        </w:rPr>
        <w:t>生态</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b w:val="0"/>
          <w:color w:val="000000" w:themeColor="text1"/>
          <w:sz w:val="28"/>
          <w:szCs w:val="28"/>
          <w:lang w:val="en-US" w:eastAsia="zh-CN"/>
          <w14:textFill>
            <w14:solidFill>
              <w14:schemeClr w14:val="tx1"/>
            </w14:solidFill>
          </w14:textFill>
        </w:rPr>
        <w:t>着力扶持</w:t>
      </w:r>
      <w:r>
        <w:rPr>
          <w:rFonts w:hint="eastAsia" w:ascii="华文仿宋" w:hAnsi="华文仿宋" w:eastAsia="华文仿宋"/>
          <w:b w:val="0"/>
          <w:color w:val="000000" w:themeColor="text1"/>
          <w:sz w:val="28"/>
          <w:szCs w:val="28"/>
          <w14:textFill>
            <w14:solidFill>
              <w14:schemeClr w14:val="tx1"/>
            </w14:solidFill>
          </w14:textFill>
        </w:rPr>
        <w:t>创新创业型企业，坚持包容审慎监管，着力破解“准入不准营”难题。</w:t>
      </w:r>
      <w:r>
        <w:rPr>
          <w:rFonts w:ascii="华文仿宋" w:hAnsi="华文仿宋" w:eastAsia="华文仿宋"/>
          <w:b w:val="0"/>
          <w:color w:val="000000" w:themeColor="text1"/>
          <w:sz w:val="28"/>
          <w:szCs w:val="28"/>
          <w14:textFill>
            <w14:solidFill>
              <w14:schemeClr w14:val="tx1"/>
            </w14:solidFill>
          </w14:textFill>
        </w:rPr>
        <w:t>推动形成一批服务实体经济、促进技术应用的创新创业支撑平台，在更大范围、更高层次、更深程度推动大中小企业融通发展。</w:t>
      </w:r>
      <w:r>
        <w:rPr>
          <w:rFonts w:hint="eastAsia" w:ascii="华文仿宋" w:hAnsi="华文仿宋" w:eastAsia="华文仿宋"/>
          <w:b w:val="0"/>
          <w:color w:val="000000" w:themeColor="text1"/>
          <w:sz w:val="28"/>
          <w:szCs w:val="28"/>
          <w14:textFill>
            <w14:solidFill>
              <w14:schemeClr w14:val="tx1"/>
            </w14:solidFill>
          </w14:textFill>
        </w:rPr>
        <w:t>鼓励企业开展创新活动，加大对企业研发投入的政策支持。</w:t>
      </w:r>
      <w:r>
        <w:rPr>
          <w:rFonts w:ascii="华文仿宋" w:hAnsi="华文仿宋" w:eastAsia="华文仿宋"/>
          <w:b w:val="0"/>
          <w:color w:val="000000" w:themeColor="text1"/>
          <w:sz w:val="28"/>
          <w:szCs w:val="28"/>
          <w14:textFill>
            <w14:solidFill>
              <w14:schemeClr w14:val="tx1"/>
            </w14:solidFill>
          </w14:textFill>
        </w:rPr>
        <w:t>鼓励支持新技术、新模式、新产品在智慧城市建设、农商文旅体融合、绿色低碳发展等场景中广泛应用，</w:t>
      </w:r>
      <w:r>
        <w:rPr>
          <w:rFonts w:hint="eastAsia" w:ascii="华文仿宋" w:hAnsi="华文仿宋" w:eastAsia="华文仿宋"/>
          <w:b w:val="0"/>
          <w:color w:val="000000" w:themeColor="text1"/>
          <w:sz w:val="28"/>
          <w:szCs w:val="28"/>
          <w14:textFill>
            <w14:solidFill>
              <w14:schemeClr w14:val="tx1"/>
            </w14:solidFill>
          </w14:textFill>
        </w:rPr>
        <w:t>积极</w:t>
      </w:r>
      <w:r>
        <w:rPr>
          <w:rFonts w:ascii="华文仿宋" w:hAnsi="华文仿宋" w:eastAsia="华文仿宋"/>
          <w:b w:val="0"/>
          <w:color w:val="000000" w:themeColor="text1"/>
          <w:sz w:val="28"/>
          <w:szCs w:val="28"/>
          <w14:textFill>
            <w14:solidFill>
              <w14:schemeClr w14:val="tx1"/>
            </w14:solidFill>
          </w14:textFill>
        </w:rPr>
        <w:t>建设示范工程。</w:t>
      </w:r>
      <w:r>
        <w:rPr>
          <w:rFonts w:hint="eastAsia" w:ascii="华文仿宋" w:hAnsi="华文仿宋" w:eastAsia="华文仿宋"/>
          <w:b w:val="0"/>
          <w:color w:val="000000" w:themeColor="text1"/>
          <w:sz w:val="28"/>
          <w:szCs w:val="28"/>
          <w14:textFill>
            <w14:solidFill>
              <w14:schemeClr w14:val="tx1"/>
            </w14:solidFill>
          </w14:textFill>
        </w:rPr>
        <w:t>加强金融要素支持，发挥好“双阳”产业转型基金、股权投资基金、科创贷等金融平台作用，积极引进天使基金、风险投资基金、私募股权基金，构建“创投引导基金+天使引导基金”的风投体系。明晰创新主体和</w:t>
      </w:r>
      <w:r>
        <w:rPr>
          <w:rFonts w:ascii="华文仿宋" w:hAnsi="华文仿宋" w:eastAsia="华文仿宋"/>
          <w:b w:val="0"/>
          <w:color w:val="000000" w:themeColor="text1"/>
          <w:sz w:val="28"/>
          <w:szCs w:val="28"/>
          <w14:textFill>
            <w14:solidFill>
              <w14:schemeClr w14:val="tx1"/>
            </w14:solidFill>
          </w14:textFill>
        </w:rPr>
        <w:t>市场主体间产权关系，推进科研院所、高等院校和企业科研力量优化配置和资源共享，推动更多创新成果进入市场。</w:t>
      </w:r>
      <w:r>
        <w:rPr>
          <w:rFonts w:hint="eastAsia" w:ascii="华文仿宋" w:hAnsi="华文仿宋" w:eastAsia="华文仿宋"/>
          <w:b w:val="0"/>
          <w:bCs w:val="0"/>
          <w:color w:val="000000" w:themeColor="text1"/>
          <w:sz w:val="28"/>
          <w:szCs w:val="28"/>
          <w14:textFill>
            <w14:solidFill>
              <w14:schemeClr w14:val="tx1"/>
            </w14:solidFill>
          </w14:textFill>
        </w:rPr>
        <w:t>到2025年，力争研究与开发经费、科技企业创新补贴支出占地区生产总值比重达到全省先进水平。</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34. </w:t>
      </w:r>
      <w:r>
        <w:rPr>
          <w:rFonts w:hint="eastAsia" w:ascii="仿宋" w:hAnsi="仿宋" w:eastAsia="仿宋"/>
          <w:b/>
          <w:bCs/>
          <w:color w:val="000000" w:themeColor="text1"/>
          <w:sz w:val="28"/>
          <w:szCs w:val="28"/>
          <w14:textFill>
            <w14:solidFill>
              <w14:schemeClr w14:val="tx1"/>
            </w14:solidFill>
          </w14:textFill>
        </w:rPr>
        <w:t>健全知识产权管理体系</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建立主体多元化、服务专业化、覆盖全链条的科技成果转化服务体系，持续提升知识产权运用转化能力。探索开展专利权质押融资</w:t>
      </w:r>
      <w:r>
        <w:rPr>
          <w:rFonts w:ascii="华文仿宋" w:hAnsi="华文仿宋" w:eastAsia="华文仿宋"/>
          <w:color w:val="000000" w:themeColor="text1"/>
          <w:sz w:val="28"/>
          <w:szCs w:val="28"/>
          <w14:textFill>
            <w14:solidFill>
              <w14:schemeClr w14:val="tx1"/>
            </w14:solidFill>
          </w14:textFill>
        </w:rPr>
        <w:t>保险促进工作，提升企业知识产权运用转化能力。深化商标注册、专利申请等便利化改革，扩大专利代理开放，提高知识产权管理水平，推进知识产权服务业发展。</w:t>
      </w:r>
      <w:r>
        <w:rPr>
          <w:rFonts w:hint="eastAsia" w:ascii="华文仿宋" w:hAnsi="华文仿宋" w:eastAsia="华文仿宋"/>
          <w:color w:val="000000" w:themeColor="text1"/>
          <w:sz w:val="28"/>
          <w:szCs w:val="28"/>
          <w14:textFill>
            <w14:solidFill>
              <w14:schemeClr w14:val="tx1"/>
            </w14:solidFill>
          </w14:textFill>
        </w:rPr>
        <w:t>对恶意侵犯各类知识产权权利的，</w:t>
      </w:r>
      <w:r>
        <w:rPr>
          <w:rFonts w:hint="eastAsia" w:ascii="华文仿宋" w:hAnsi="华文仿宋" w:eastAsia="华文仿宋"/>
          <w:color w:val="000000" w:themeColor="text1"/>
          <w:sz w:val="28"/>
          <w:szCs w:val="28"/>
          <w:lang w:val="en-US" w:eastAsia="zh-CN"/>
          <w14:textFill>
            <w14:solidFill>
              <w14:schemeClr w14:val="tx1"/>
            </w14:solidFill>
          </w14:textFill>
        </w:rPr>
        <w:t>严格适用</w:t>
      </w:r>
      <w:r>
        <w:rPr>
          <w:rFonts w:hint="eastAsia" w:ascii="华文仿宋" w:hAnsi="华文仿宋" w:eastAsia="华文仿宋"/>
          <w:color w:val="000000" w:themeColor="text1"/>
          <w:sz w:val="28"/>
          <w:szCs w:val="28"/>
          <w14:textFill>
            <w14:solidFill>
              <w14:schemeClr w14:val="tx1"/>
            </w14:solidFill>
          </w14:textFill>
        </w:rPr>
        <w:t>惩罚性赔偿标准，降低权利人维权成本。推进知识产权案件繁简分流，实行要素式审判，实现类案专审、简案快审，建设“一站式”诉讼平台提升诉讼效率。</w:t>
      </w:r>
    </w:p>
    <w:p>
      <w:pPr>
        <w:spacing w:before="156" w:beforeLines="50" w:after="156" w:afterLines="50"/>
        <w:ind w:firstLine="562" w:firstLineChars="200"/>
        <w:rPr>
          <w:rFonts w:ascii="华文仿宋" w:hAnsi="华文仿宋" w:eastAsia="华文仿宋" w:cstheme="minorBidi"/>
          <w:b w:val="0"/>
          <w:bCs w:val="0"/>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35. </w:t>
      </w:r>
      <w:r>
        <w:rPr>
          <w:rFonts w:ascii="仿宋" w:hAnsi="仿宋" w:eastAsia="仿宋"/>
          <w:b/>
          <w:bCs/>
          <w:color w:val="000000" w:themeColor="text1"/>
          <w:sz w:val="28"/>
          <w:szCs w:val="28"/>
          <w14:textFill>
            <w14:solidFill>
              <w14:schemeClr w14:val="tx1"/>
            </w14:solidFill>
          </w14:textFill>
        </w:rPr>
        <w:t>完善人才引育和评价激励体系</w:t>
      </w:r>
      <w:r>
        <w:rPr>
          <w:rFonts w:hint="eastAsia" w:ascii="仿宋" w:hAnsi="仿宋" w:eastAsia="仿宋"/>
          <w:b/>
          <w:bCs/>
          <w:color w:val="000000" w:themeColor="text1"/>
          <w:sz w:val="28"/>
          <w:szCs w:val="28"/>
          <w:lang w:eastAsia="zh-CN"/>
          <w14:textFill>
            <w14:solidFill>
              <w14:schemeClr w14:val="tx1"/>
            </w14:solidFill>
          </w14:textFill>
        </w:rPr>
        <w:t>。</w:t>
      </w:r>
      <w:r>
        <w:rPr>
          <w:rFonts w:ascii="华文仿宋" w:hAnsi="华文仿宋" w:eastAsia="华文仿宋" w:cstheme="minorBidi"/>
          <w:b w:val="0"/>
          <w:bCs w:val="0"/>
          <w:color w:val="000000" w:themeColor="text1"/>
          <w:sz w:val="28"/>
          <w:szCs w:val="28"/>
          <w14:textFill>
            <w14:solidFill>
              <w14:schemeClr w14:val="tx1"/>
            </w14:solidFill>
          </w14:textFill>
        </w:rPr>
        <w:t>坚持把结果导向贯穿人才引育留用全链条，完善识才用才“好机制”，打造引才聚才“好平台”，营造育才成才“好环境”。为高层次人才设立服务窗口，提供“一站式”服务。支持引导各类人才合理流动，增加流动渠道，完善柔性流动政策。做好人才安居服务保障，健全以创新能力、质量、实效、贡献为导向的科技人才评价体系。探索“互联网+人才”服务模式，优化</w:t>
      </w:r>
      <w:r>
        <w:rPr>
          <w:rFonts w:hint="eastAsia" w:ascii="华文仿宋" w:hAnsi="华文仿宋" w:eastAsia="华文仿宋" w:cstheme="minorBidi"/>
          <w:b w:val="0"/>
          <w:bCs w:val="0"/>
          <w:color w:val="000000" w:themeColor="text1"/>
          <w:sz w:val="28"/>
          <w:szCs w:val="28"/>
          <w14:textFill>
            <w14:solidFill>
              <w14:schemeClr w14:val="tx1"/>
            </w14:solidFill>
          </w14:textFill>
        </w:rPr>
        <w:t>市级</w:t>
      </w:r>
      <w:r>
        <w:rPr>
          <w:rFonts w:ascii="华文仿宋" w:hAnsi="华文仿宋" w:eastAsia="华文仿宋" w:cstheme="minorBidi"/>
          <w:b w:val="0"/>
          <w:bCs w:val="0"/>
          <w:color w:val="000000" w:themeColor="text1"/>
          <w:sz w:val="28"/>
          <w:szCs w:val="28"/>
          <w14:textFill>
            <w14:solidFill>
              <w14:schemeClr w14:val="tx1"/>
            </w14:solidFill>
          </w14:textFill>
        </w:rPr>
        <w:t>人才管理服务，实现人才服务事项网上申报办理，提高服务水平和效率。强化人力资源市场监管，有效维护各类人才合法权益。</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36. </w:t>
      </w:r>
      <w:r>
        <w:rPr>
          <w:rFonts w:hint="eastAsia" w:ascii="仿宋" w:hAnsi="仿宋" w:eastAsia="仿宋"/>
          <w:b/>
          <w:bCs/>
          <w:color w:val="000000" w:themeColor="text1"/>
          <w:sz w:val="28"/>
          <w:szCs w:val="28"/>
          <w14:textFill>
            <w14:solidFill>
              <w14:schemeClr w14:val="tx1"/>
            </w14:solidFill>
          </w14:textFill>
        </w:rPr>
        <w:t>加强中小企业权利司法保障</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依法妥善快速处理公司决议效力、股东知情权、利润分配权、优先购买权、股东代表诉讼等股东起诉管理层及董事行为不当案件，破解股东诉讼难问题，加强对中小股东依法享有的表决权、知情权、利润分配请求权、监督权等权利的司法保护。在双方提供的证据充分的情况下，一审案件3个月内审结率达到90%，二审案件85%的1个半月内结案。</w:t>
      </w:r>
    </w:p>
    <w:p>
      <w:pPr>
        <w:spacing w:before="156" w:beforeLines="50" w:after="156" w:afterLines="50"/>
        <w:ind w:firstLine="562"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37. </w:t>
      </w:r>
      <w:r>
        <w:rPr>
          <w:rFonts w:hint="eastAsia" w:ascii="仿宋" w:hAnsi="仿宋" w:eastAsia="仿宋"/>
          <w:b/>
          <w:bCs/>
          <w:color w:val="000000" w:themeColor="text1"/>
          <w:sz w:val="28"/>
          <w:szCs w:val="28"/>
          <w14:textFill>
            <w14:solidFill>
              <w14:schemeClr w14:val="tx1"/>
            </w14:solidFill>
          </w14:textFill>
        </w:rPr>
        <w:t>优化</w:t>
      </w:r>
      <w:r>
        <w:rPr>
          <w:rFonts w:ascii="仿宋" w:hAnsi="仿宋" w:eastAsia="仿宋"/>
          <w:b/>
          <w:bCs/>
          <w:color w:val="000000" w:themeColor="text1"/>
          <w:sz w:val="28"/>
          <w:szCs w:val="28"/>
          <w14:textFill>
            <w14:solidFill>
              <w14:schemeClr w14:val="tx1"/>
            </w14:solidFill>
          </w14:textFill>
        </w:rPr>
        <w:t>就业</w:t>
      </w:r>
      <w:r>
        <w:rPr>
          <w:rFonts w:hint="eastAsia" w:ascii="仿宋" w:hAnsi="仿宋" w:eastAsia="仿宋"/>
          <w:b/>
          <w:bCs/>
          <w:color w:val="000000" w:themeColor="text1"/>
          <w:sz w:val="28"/>
          <w:szCs w:val="28"/>
          <w14:textFill>
            <w14:solidFill>
              <w14:schemeClr w14:val="tx1"/>
            </w14:solidFill>
          </w14:textFill>
        </w:rPr>
        <w:t>保障环境</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支持多渠道灵活就业，优化就业参保登记流程，合理设定无固定经营场所摊贩管理模式。帮助民企缓解“招聘难”问题，畅通民营企业专业技术职称评审渠道。全面开放线上失业登记、就业服务和补贴申领。启动就业岗位调查，制定化解失业风险的政策储备和应对预案。完善和谐劳动关系创建标准体系，对创建达标企业正向激励。开展劳动力市场监管提升专项行动，形成线上线下融合，服务衔接有序、规范安全高效的“互联网+就业”“互联网+调解”等服务格局，在法定时限内提速增效。</w:t>
      </w:r>
      <w:bookmarkStart w:id="40" w:name="_Toc72943031"/>
    </w:p>
    <w:p>
      <w:pPr>
        <w:spacing w:before="156" w:beforeLines="50" w:after="156" w:afterLines="50"/>
        <w:ind w:firstLine="560" w:firstLineChars="200"/>
        <w:rPr>
          <w:rFonts w:ascii="黑体" w:hAnsi="黑体" w:eastAsia="黑体"/>
          <w:b w:val="0"/>
          <w:bCs w:val="0"/>
          <w:color w:val="000000" w:themeColor="text1"/>
          <w:sz w:val="28"/>
          <w:szCs w:val="28"/>
          <w14:textFill>
            <w14:solidFill>
              <w14:schemeClr w14:val="tx1"/>
            </w14:solidFill>
          </w14:textFill>
        </w:rPr>
      </w:pPr>
      <w:r>
        <w:rPr>
          <w:rFonts w:hint="eastAsia" w:ascii="黑体" w:hAnsi="黑体" w:eastAsia="黑体"/>
          <w:b w:val="0"/>
          <w:bCs w:val="0"/>
          <w:color w:val="000000" w:themeColor="text1"/>
          <w:sz w:val="28"/>
          <w:szCs w:val="28"/>
          <w14:textFill>
            <w14:solidFill>
              <w14:schemeClr w14:val="tx1"/>
            </w14:solidFill>
          </w14:textFill>
        </w:rPr>
        <w:t>四</w:t>
      </w:r>
      <w:r>
        <w:rPr>
          <w:rFonts w:hint="eastAsia" w:ascii="黑体" w:hAnsi="黑体" w:eastAsia="黑体"/>
          <w:b w:val="0"/>
          <w:bCs w:val="0"/>
          <w:color w:val="000000" w:themeColor="text1"/>
          <w:sz w:val="28"/>
          <w:szCs w:val="28"/>
          <w:lang w:eastAsia="zh-CN"/>
          <w14:textFill>
            <w14:solidFill>
              <w14:schemeClr w14:val="tx1"/>
            </w14:solidFill>
          </w14:textFill>
        </w:rPr>
        <w:t>、</w:t>
      </w:r>
      <w:r>
        <w:rPr>
          <w:rFonts w:hint="eastAsia" w:ascii="黑体" w:hAnsi="黑体" w:eastAsia="黑体"/>
          <w:b w:val="0"/>
          <w:bCs w:val="0"/>
          <w:color w:val="000000" w:themeColor="text1"/>
          <w:sz w:val="28"/>
          <w:szCs w:val="28"/>
          <w14:textFill>
            <w14:solidFill>
              <w14:schemeClr w14:val="tx1"/>
            </w14:solidFill>
          </w14:textFill>
        </w:rPr>
        <w:t>制度体系支撑</w:t>
      </w:r>
      <w:bookmarkEnd w:id="40"/>
    </w:p>
    <w:p>
      <w:pPr>
        <w:pStyle w:val="4"/>
        <w:spacing w:line="415" w:lineRule="auto"/>
        <w:ind w:left="0" w:leftChars="0" w:firstLine="560" w:firstLineChars="200"/>
        <w:jc w:val="left"/>
        <w:rPr>
          <w:rFonts w:ascii="楷体" w:hAnsi="楷体" w:eastAsia="楷体"/>
          <w:b w:val="0"/>
          <w:bCs w:val="0"/>
          <w:color w:val="000000" w:themeColor="text1"/>
          <w:szCs w:val="28"/>
          <w14:textFill>
            <w14:solidFill>
              <w14:schemeClr w14:val="tx1"/>
            </w14:solidFill>
          </w14:textFill>
        </w:rPr>
      </w:pPr>
      <w:bookmarkStart w:id="41" w:name="_Toc72943032"/>
      <w:r>
        <w:rPr>
          <w:rFonts w:hint="eastAsia" w:ascii="楷体" w:hAnsi="楷体" w:eastAsia="楷体"/>
          <w:b w:val="0"/>
          <w:bCs w:val="0"/>
          <w:color w:val="000000" w:themeColor="text1"/>
          <w:szCs w:val="28"/>
          <w:lang w:val="en-US" w:eastAsia="zh-CN"/>
          <w14:textFill>
            <w14:solidFill>
              <w14:schemeClr w14:val="tx1"/>
            </w14:solidFill>
          </w14:textFill>
        </w:rPr>
        <w:t>(一)</w:t>
      </w:r>
      <w:r>
        <w:rPr>
          <w:rFonts w:hint="eastAsia" w:ascii="楷体" w:hAnsi="楷体" w:eastAsia="楷体"/>
          <w:b w:val="0"/>
          <w:bCs w:val="0"/>
          <w:color w:val="000000" w:themeColor="text1"/>
          <w:szCs w:val="28"/>
          <w14:textFill>
            <w14:solidFill>
              <w14:schemeClr w14:val="tx1"/>
            </w14:solidFill>
          </w14:textFill>
        </w:rPr>
        <w:t>构建以高效为目标的政务服务体系</w:t>
      </w:r>
      <w:bookmarkEnd w:id="41"/>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39. </w:t>
      </w:r>
      <w:r>
        <w:rPr>
          <w:rFonts w:hint="eastAsia" w:ascii="仿宋" w:hAnsi="仿宋" w:eastAsia="仿宋"/>
          <w:b/>
          <w:bCs/>
          <w:color w:val="000000" w:themeColor="text1"/>
          <w:sz w:val="28"/>
          <w:szCs w:val="28"/>
          <w14:textFill>
            <w14:solidFill>
              <w14:schemeClr w14:val="tx1"/>
            </w14:solidFill>
          </w14:textFill>
        </w:rPr>
        <w:t>建立政务服务新体系</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整合分散的政务服务资源和审批服务系统。加快推进国家级“行政审批标准化”试点项目，推广应用审批事项、服务流程、现场管理等标准化等体系，统一入口出口、统一身份认证、统一流程整合、统一实施标准、统一公共支付。</w:t>
      </w:r>
      <w:r>
        <w:rPr>
          <w:rFonts w:ascii="华文仿宋" w:hAnsi="华文仿宋" w:eastAsia="华文仿宋"/>
          <w:color w:val="000000" w:themeColor="text1"/>
          <w:sz w:val="28"/>
          <w:szCs w:val="28"/>
          <w14:textFill>
            <w14:solidFill>
              <w14:schemeClr w14:val="tx1"/>
            </w14:solidFill>
          </w14:textFill>
        </w:rPr>
        <w:t>加快推进政务信息数据交换共享，推动依申请办理的政务服务事项应上必上、业务办理系统应</w:t>
      </w:r>
      <w:r>
        <w:rPr>
          <w:rFonts w:hint="eastAsia" w:ascii="华文仿宋" w:hAnsi="华文仿宋" w:eastAsia="华文仿宋"/>
          <w:color w:val="000000" w:themeColor="text1"/>
          <w:sz w:val="28"/>
          <w:szCs w:val="28"/>
          <w14:textFill>
            <w14:solidFill>
              <w14:schemeClr w14:val="tx1"/>
            </w14:solidFill>
          </w14:textFill>
        </w:rPr>
        <w:t>接必接、办件数据信息应传必传。</w:t>
      </w:r>
      <w:r>
        <w:rPr>
          <w:rFonts w:ascii="华文仿宋" w:hAnsi="华文仿宋" w:eastAsia="华文仿宋"/>
          <w:color w:val="000000" w:themeColor="text1"/>
          <w:sz w:val="28"/>
          <w:szCs w:val="28"/>
          <w14:textFill>
            <w14:solidFill>
              <w14:schemeClr w14:val="tx1"/>
            </w14:solidFill>
          </w14:textFill>
        </w:rPr>
        <w:t>推动现有多因子认证系统、实人认证系统的应用；开发自助服务、网上开证明、“一件事</w:t>
      </w:r>
      <w:r>
        <w:rPr>
          <w:rFonts w:hint="eastAsia" w:ascii="华文仿宋" w:hAnsi="华文仿宋" w:eastAsia="华文仿宋"/>
          <w:color w:val="000000" w:themeColor="text1"/>
          <w:sz w:val="28"/>
          <w:szCs w:val="28"/>
          <w:lang w:val="en-US" w:eastAsia="zh-CN"/>
          <w14:textFill>
            <w14:solidFill>
              <w14:schemeClr w14:val="tx1"/>
            </w14:solidFill>
          </w14:textFill>
        </w:rPr>
        <w:t>一次办</w:t>
      </w:r>
      <w:r>
        <w:rPr>
          <w:rFonts w:ascii="华文仿宋" w:hAnsi="华文仿宋" w:eastAsia="华文仿宋"/>
          <w:color w:val="000000" w:themeColor="text1"/>
          <w:sz w:val="28"/>
          <w:szCs w:val="28"/>
          <w14:textFill>
            <w14:solidFill>
              <w14:schemeClr w14:val="tx1"/>
            </w14:solidFill>
          </w14:textFill>
        </w:rPr>
        <w:t>”、政务大数据分析等系统软件和高频热点事项小程序</w:t>
      </w:r>
      <w:r>
        <w:rPr>
          <w:rFonts w:hint="eastAsia" w:ascii="华文仿宋" w:hAnsi="华文仿宋" w:eastAsia="华文仿宋"/>
          <w:color w:val="000000" w:themeColor="text1"/>
          <w:sz w:val="28"/>
          <w:szCs w:val="28"/>
          <w14:textFill>
            <w14:solidFill>
              <w14:schemeClr w14:val="tx1"/>
            </w14:solidFill>
          </w14:textFill>
        </w:rPr>
        <w:t>，快速不见面办理。通过深化“一枚印章管审批”改革，增强审批服务的协同度、集约化，完善重大、复杂事项联合会商机制，推进审管职责无缝衔接，实现政府类证照、批文、证明等材料全方位在线互认共享。构建市、县、乡、村四级政务服务体系，通过“政银合作”等方式，延伸拓展信息化服务渠道，推动实现更多事项“就近办”“身边办、多点办”。</w:t>
      </w:r>
    </w:p>
    <w:p>
      <w:pPr>
        <w:spacing w:before="156" w:beforeLines="50" w:after="156" w:afterLines="50"/>
        <w:ind w:firstLine="562" w:firstLineChars="200"/>
        <w:rPr>
          <w:rFonts w:ascii="华文仿宋" w:hAnsi="华文仿宋" w:eastAsia="华文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40. </w:t>
      </w:r>
      <w:r>
        <w:rPr>
          <w:rFonts w:hint="eastAsia" w:ascii="仿宋" w:hAnsi="仿宋" w:eastAsia="仿宋"/>
          <w:b/>
          <w:bCs/>
          <w:color w:val="000000" w:themeColor="text1"/>
          <w:sz w:val="28"/>
          <w:szCs w:val="28"/>
          <w14:textFill>
            <w14:solidFill>
              <w14:schemeClr w14:val="tx1"/>
            </w14:solidFill>
          </w14:textFill>
        </w:rPr>
        <w:t>建立政务服务新模式</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以“一窗集中受理，全程集成管理，多部门集约办理”为基本要求，建立“项目审批集成服务</w:t>
      </w:r>
      <w:r>
        <w:rPr>
          <w:rFonts w:hint="eastAsia" w:ascii="华文仿宋" w:hAnsi="华文仿宋" w:eastAsia="华文仿宋"/>
          <w:color w:val="000000" w:themeColor="text1"/>
          <w:sz w:val="28"/>
          <w:szCs w:val="28"/>
          <w:lang w:val="en-US" w:eastAsia="zh-CN"/>
          <w14:textFill>
            <w14:solidFill>
              <w14:schemeClr w14:val="tx1"/>
            </w14:solidFill>
          </w14:textFill>
        </w:rPr>
        <w:t>链</w:t>
      </w:r>
      <w:r>
        <w:rPr>
          <w:rFonts w:hint="eastAsia" w:ascii="华文仿宋" w:hAnsi="华文仿宋" w:eastAsia="华文仿宋"/>
          <w:color w:val="000000" w:themeColor="text1"/>
          <w:sz w:val="28"/>
          <w:szCs w:val="28"/>
          <w14:textFill>
            <w14:solidFill>
              <w14:schemeClr w14:val="tx1"/>
            </w14:solidFill>
          </w14:textFill>
        </w:rPr>
        <w:t>”，整合发改、住建、</w:t>
      </w:r>
      <w:r>
        <w:rPr>
          <w:rFonts w:hint="eastAsia" w:ascii="华文仿宋" w:hAnsi="华文仿宋" w:eastAsia="华文仿宋"/>
          <w:color w:val="000000" w:themeColor="text1"/>
          <w:sz w:val="28"/>
          <w:szCs w:val="28"/>
          <w:lang w:val="en-US" w:eastAsia="zh-CN"/>
          <w14:textFill>
            <w14:solidFill>
              <w14:schemeClr w14:val="tx1"/>
            </w14:solidFill>
          </w14:textFill>
        </w:rPr>
        <w:t>规资、</w:t>
      </w:r>
      <w:r>
        <w:rPr>
          <w:rFonts w:hint="eastAsia" w:ascii="华文仿宋" w:hAnsi="华文仿宋" w:eastAsia="华文仿宋"/>
          <w:color w:val="000000" w:themeColor="text1"/>
          <w:sz w:val="28"/>
          <w:szCs w:val="28"/>
          <w14:textFill>
            <w14:solidFill>
              <w14:schemeClr w14:val="tx1"/>
            </w14:solidFill>
          </w14:textFill>
        </w:rPr>
        <w:t>环保等部门的项目审批职能，统一受理、反馈</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在项目审批过程中，推行联合预审、多评合</w:t>
      </w:r>
      <w:r>
        <w:rPr>
          <w:rFonts w:hint="eastAsia" w:ascii="华文仿宋" w:hAnsi="华文仿宋" w:eastAsia="华文仿宋"/>
          <w:color w:val="000000" w:themeColor="text1"/>
          <w:sz w:val="28"/>
          <w:szCs w:val="28"/>
          <w:lang w:val="en-US" w:eastAsia="zh-CN"/>
          <w14:textFill>
            <w14:solidFill>
              <w14:schemeClr w14:val="tx1"/>
            </w14:solidFill>
          </w14:textFill>
        </w:rPr>
        <w:t>一</w:t>
      </w:r>
      <w:r>
        <w:rPr>
          <w:rFonts w:hint="eastAsia" w:ascii="华文仿宋" w:hAnsi="华文仿宋" w:eastAsia="华文仿宋"/>
          <w:color w:val="000000" w:themeColor="text1"/>
          <w:sz w:val="28"/>
          <w:szCs w:val="28"/>
          <w14:textFill>
            <w14:solidFill>
              <w14:schemeClr w14:val="tx1"/>
            </w14:solidFill>
          </w14:textFill>
        </w:rPr>
        <w:t>、多图联审等集约办理的有力措施</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不断精简审批环节，优化审批流程，缩短办理时限，项目审批过程同步推进。建立健全全程代办制度，公布帮办代办事项清单，提升项目代办服务质量。受理前帮办代办服务到位，受理后限时办结、超时督办，最终实现“代办围着项目转，服务跟着项目跑”。</w:t>
      </w:r>
    </w:p>
    <w:p>
      <w:pPr>
        <w:spacing w:before="156" w:beforeLines="50" w:after="156" w:afterLines="50"/>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41.</w:t>
      </w:r>
      <w:r>
        <w:rPr>
          <w:rFonts w:ascii="仿宋" w:hAnsi="仿宋" w:eastAsia="仿宋"/>
          <w:b/>
          <w:bCs/>
          <w:color w:val="000000" w:themeColor="text1"/>
          <w:sz w:val="28"/>
          <w:szCs w:val="28"/>
          <w14:textFill>
            <w14:solidFill>
              <w14:schemeClr w14:val="tx1"/>
            </w14:solidFill>
          </w14:textFill>
        </w:rPr>
        <w:t>建立“凡有先例皆可</w:t>
      </w:r>
      <w:r>
        <w:rPr>
          <w:rFonts w:hint="eastAsia" w:ascii="仿宋" w:hAnsi="仿宋" w:eastAsia="仿宋"/>
          <w:b/>
          <w:bCs/>
          <w:color w:val="000000" w:themeColor="text1"/>
          <w:sz w:val="28"/>
          <w:szCs w:val="28"/>
          <w:lang w:val="en-US" w:eastAsia="zh-CN"/>
          <w14:textFill>
            <w14:solidFill>
              <w14:schemeClr w14:val="tx1"/>
            </w14:solidFill>
          </w14:textFill>
        </w:rPr>
        <w:t>试</w:t>
      </w:r>
      <w:r>
        <w:rPr>
          <w:rFonts w:ascii="仿宋" w:hAnsi="仿宋" w:eastAsia="仿宋"/>
          <w:b/>
          <w:bCs/>
          <w:color w:val="000000" w:themeColor="text1"/>
          <w:sz w:val="28"/>
          <w:szCs w:val="28"/>
          <w14:textFill>
            <w14:solidFill>
              <w14:schemeClr w14:val="tx1"/>
            </w14:solidFill>
          </w14:textFill>
        </w:rPr>
        <w:t>”制度</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除涉及安全、消防等有明确规定，必须在试点开展的创新性改革以外，</w:t>
      </w:r>
      <w:r>
        <w:rPr>
          <w:rFonts w:ascii="华文仿宋" w:hAnsi="华文仿宋" w:eastAsia="华文仿宋"/>
          <w:color w:val="000000" w:themeColor="text1"/>
          <w:sz w:val="28"/>
          <w:szCs w:val="28"/>
          <w14:textFill>
            <w14:solidFill>
              <w14:schemeClr w14:val="tx1"/>
            </w14:solidFill>
          </w14:textFill>
        </w:rPr>
        <w:t>凡在其他省份</w:t>
      </w:r>
      <w:r>
        <w:rPr>
          <w:rFonts w:hint="eastAsia" w:ascii="华文仿宋" w:hAnsi="华文仿宋" w:eastAsia="华文仿宋"/>
          <w:color w:val="000000" w:themeColor="text1"/>
          <w:sz w:val="28"/>
          <w:szCs w:val="28"/>
          <w:lang w:eastAsia="zh-CN"/>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地区</w:t>
      </w:r>
      <w:r>
        <w:rPr>
          <w:rFonts w:hint="eastAsia" w:ascii="华文仿宋" w:hAnsi="华文仿宋" w:eastAsia="华文仿宋"/>
          <w:color w:val="000000" w:themeColor="text1"/>
          <w:sz w:val="28"/>
          <w:szCs w:val="28"/>
          <w:lang w:val="en-US" w:eastAsia="zh-CN"/>
          <w14:textFill>
            <w14:solidFill>
              <w14:schemeClr w14:val="tx1"/>
            </w14:solidFill>
          </w14:textFill>
        </w:rPr>
        <w:t>实行的创新举措、先进做法，我市皆</w:t>
      </w:r>
      <w:r>
        <w:rPr>
          <w:rFonts w:hint="eastAsia" w:ascii="华文仿宋" w:hAnsi="华文仿宋" w:eastAsia="华文仿宋"/>
          <w:color w:val="000000" w:themeColor="text1"/>
          <w:sz w:val="28"/>
          <w:szCs w:val="28"/>
          <w14:textFill>
            <w14:solidFill>
              <w14:schemeClr w14:val="tx1"/>
            </w14:solidFill>
          </w14:textFill>
        </w:rPr>
        <w:t>可</w:t>
      </w:r>
      <w:r>
        <w:rPr>
          <w:rFonts w:ascii="华文仿宋" w:hAnsi="华文仿宋" w:eastAsia="华文仿宋"/>
          <w:color w:val="000000" w:themeColor="text1"/>
          <w:sz w:val="28"/>
          <w:szCs w:val="28"/>
          <w14:textFill>
            <w14:solidFill>
              <w14:schemeClr w14:val="tx1"/>
            </w14:solidFill>
          </w14:textFill>
        </w:rPr>
        <w:t>参照先例，</w:t>
      </w:r>
      <w:r>
        <w:rPr>
          <w:rFonts w:hint="eastAsia" w:ascii="华文仿宋" w:hAnsi="华文仿宋" w:eastAsia="华文仿宋"/>
          <w:color w:val="000000" w:themeColor="text1"/>
          <w:sz w:val="28"/>
          <w:szCs w:val="28"/>
          <w14:textFill>
            <w14:solidFill>
              <w14:schemeClr w14:val="tx1"/>
            </w14:solidFill>
          </w14:textFill>
        </w:rPr>
        <w:t>复制借鉴，</w:t>
      </w:r>
      <w:r>
        <w:rPr>
          <w:rFonts w:hint="eastAsia" w:ascii="华文仿宋" w:hAnsi="华文仿宋" w:eastAsia="华文仿宋"/>
          <w:color w:val="000000" w:themeColor="text1"/>
          <w:sz w:val="28"/>
          <w:szCs w:val="28"/>
          <w:lang w:val="en-US" w:eastAsia="zh-CN"/>
          <w14:textFill>
            <w14:solidFill>
              <w14:schemeClr w14:val="tx1"/>
            </w14:solidFill>
          </w14:textFill>
        </w:rPr>
        <w:t>结合本地实际，制定相应标准、流程，可在全面征求意见、合法性审查、集体审议通过后试行（实行）</w:t>
      </w:r>
      <w:r>
        <w:rPr>
          <w:rFonts w:hint="eastAsia" w:ascii="华文仿宋" w:hAnsi="华文仿宋" w:eastAsia="华文仿宋"/>
          <w:color w:val="000000" w:themeColor="text1"/>
          <w:sz w:val="28"/>
          <w:szCs w:val="28"/>
          <w14:textFill>
            <w14:solidFill>
              <w14:schemeClr w14:val="tx1"/>
            </w14:solidFill>
          </w14:textFill>
        </w:rPr>
        <w:t>，打造政策洼地，让阳泉真正成为发展创业的投资热土。</w:t>
      </w:r>
      <w:r>
        <w:rPr>
          <w:rFonts w:ascii="华文仿宋" w:hAnsi="华文仿宋" w:eastAsia="华文仿宋"/>
          <w:color w:val="000000" w:themeColor="text1"/>
          <w:sz w:val="28"/>
          <w:szCs w:val="28"/>
          <w14:textFill>
            <w14:solidFill>
              <w14:schemeClr w14:val="tx1"/>
            </w14:solidFill>
          </w14:textFill>
        </w:rPr>
        <w:t>探索“首证通”审批新模式，项目主体开办时，在国安、规划</w:t>
      </w:r>
      <w:r>
        <w:rPr>
          <w:rFonts w:hint="eastAsia" w:ascii="华文仿宋" w:hAnsi="华文仿宋" w:eastAsia="华文仿宋"/>
          <w:color w:val="000000" w:themeColor="text1"/>
          <w:sz w:val="28"/>
          <w:szCs w:val="28"/>
          <w14:textFill>
            <w14:solidFill>
              <w14:schemeClr w14:val="tx1"/>
            </w14:solidFill>
          </w14:textFill>
        </w:rPr>
        <w:t>、审批</w:t>
      </w:r>
      <w:r>
        <w:rPr>
          <w:rFonts w:ascii="华文仿宋" w:hAnsi="华文仿宋" w:eastAsia="华文仿宋"/>
          <w:color w:val="000000" w:themeColor="text1"/>
          <w:sz w:val="28"/>
          <w:szCs w:val="28"/>
          <w14:textFill>
            <w14:solidFill>
              <w14:schemeClr w14:val="tx1"/>
            </w14:solidFill>
          </w14:textFill>
        </w:rPr>
        <w:t>等部门申请获得的首个审批许可（备案核定）可作为“首证”，以“首证”作为审批办理“后证”（审批许可、备案核定、书面承诺）的依据，将证前现场审查改为证后核查。全面推广行业综合许可，实施“一业一证”</w:t>
      </w:r>
      <w:r>
        <w:rPr>
          <w:rFonts w:hint="eastAsia" w:ascii="华文仿宋" w:hAnsi="华文仿宋" w:eastAsia="华文仿宋"/>
          <w:color w:val="000000" w:themeColor="text1"/>
          <w:sz w:val="28"/>
          <w:szCs w:val="28"/>
          <w14:textFill>
            <w14:solidFill>
              <w14:schemeClr w14:val="tx1"/>
            </w14:solidFill>
          </w14:textFill>
        </w:rPr>
        <w:t>“一企一证”</w:t>
      </w:r>
      <w:r>
        <w:rPr>
          <w:rFonts w:ascii="华文仿宋" w:hAnsi="华文仿宋" w:eastAsia="华文仿宋"/>
          <w:color w:val="000000" w:themeColor="text1"/>
          <w:sz w:val="28"/>
          <w:szCs w:val="28"/>
          <w14:textFill>
            <w14:solidFill>
              <w14:schemeClr w14:val="tx1"/>
            </w14:solidFill>
          </w14:textFill>
        </w:rPr>
        <w:t>。</w:t>
      </w:r>
    </w:p>
    <w:p>
      <w:pPr>
        <w:pStyle w:val="4"/>
        <w:spacing w:line="415" w:lineRule="auto"/>
        <w:ind w:left="0" w:leftChars="0" w:firstLine="560" w:firstLineChars="200"/>
        <w:jc w:val="left"/>
        <w:rPr>
          <w:rFonts w:ascii="楷体" w:hAnsi="楷体" w:eastAsia="楷体"/>
          <w:b w:val="0"/>
          <w:bCs w:val="0"/>
          <w:color w:val="000000" w:themeColor="text1"/>
          <w:szCs w:val="28"/>
          <w14:textFill>
            <w14:solidFill>
              <w14:schemeClr w14:val="tx1"/>
            </w14:solidFill>
          </w14:textFill>
        </w:rPr>
      </w:pPr>
      <w:bookmarkStart w:id="42" w:name="_Toc72943033"/>
      <w:r>
        <w:rPr>
          <w:rFonts w:hint="eastAsia" w:ascii="楷体" w:hAnsi="楷体" w:eastAsia="楷体"/>
          <w:b w:val="0"/>
          <w:bCs w:val="0"/>
          <w:color w:val="000000" w:themeColor="text1"/>
          <w:szCs w:val="28"/>
          <w:lang w:val="en-US" w:eastAsia="zh-CN"/>
          <w14:textFill>
            <w14:solidFill>
              <w14:schemeClr w14:val="tx1"/>
            </w14:solidFill>
          </w14:textFill>
        </w:rPr>
        <w:t>(二)</w:t>
      </w:r>
      <w:r>
        <w:rPr>
          <w:rFonts w:hint="eastAsia" w:ascii="楷体" w:hAnsi="楷体" w:eastAsia="楷体"/>
          <w:b w:val="0"/>
          <w:bCs w:val="0"/>
          <w:color w:val="000000" w:themeColor="text1"/>
          <w:szCs w:val="28"/>
          <w14:textFill>
            <w14:solidFill>
              <w14:schemeClr w14:val="tx1"/>
            </w14:solidFill>
          </w14:textFill>
        </w:rPr>
        <w:t>构建以便利为核心的审批制度体系</w:t>
      </w:r>
      <w:bookmarkEnd w:id="42"/>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42. </w:t>
      </w:r>
      <w:r>
        <w:rPr>
          <w:rFonts w:hint="eastAsia" w:ascii="仿宋" w:hAnsi="仿宋" w:eastAsia="仿宋"/>
          <w:b/>
          <w:bCs/>
          <w:color w:val="000000" w:themeColor="text1"/>
          <w:sz w:val="28"/>
          <w:szCs w:val="28"/>
          <w14:textFill>
            <w14:solidFill>
              <w14:schemeClr w14:val="tx1"/>
            </w14:solidFill>
          </w14:textFill>
        </w:rPr>
        <w:t>全面推进工建项目审批制度改革</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统一审批流程，精简审批环节，完善审批体系，实现“一张蓝图”统筹项目实施、“一个系统”实施统一管理、“一个窗口”提供综合服务、“一张表单”整合申报材料、“一套机制”规范审批运行。通过“减、并、转、调、诺”等措施，一般性工业项目从立项到竣工验收的审批时限压缩至2</w:t>
      </w:r>
      <w:r>
        <w:rPr>
          <w:rFonts w:hint="eastAsia" w:ascii="华文仿宋" w:hAnsi="华文仿宋" w:eastAsia="华文仿宋"/>
          <w:color w:val="000000" w:themeColor="text1"/>
          <w:sz w:val="28"/>
          <w:szCs w:val="28"/>
          <w:lang w:val="en-US" w:eastAsia="zh-CN"/>
          <w14:textFill>
            <w14:solidFill>
              <w14:schemeClr w14:val="tx1"/>
            </w14:solidFill>
          </w14:textFill>
        </w:rPr>
        <w:t>0</w:t>
      </w:r>
      <w:r>
        <w:rPr>
          <w:rFonts w:ascii="华文仿宋" w:hAnsi="华文仿宋" w:eastAsia="华文仿宋"/>
          <w:color w:val="000000" w:themeColor="text1"/>
          <w:sz w:val="28"/>
          <w:szCs w:val="28"/>
          <w14:textFill>
            <w14:solidFill>
              <w14:schemeClr w14:val="tx1"/>
            </w14:solidFill>
          </w14:textFill>
        </w:rPr>
        <w:t>个工作日内，促</w:t>
      </w:r>
      <w:r>
        <w:rPr>
          <w:rFonts w:hint="eastAsia" w:ascii="华文仿宋" w:hAnsi="华文仿宋" w:eastAsia="华文仿宋"/>
          <w:color w:val="000000" w:themeColor="text1"/>
          <w:sz w:val="28"/>
          <w:szCs w:val="28"/>
          <w14:textFill>
            <w14:solidFill>
              <w14:schemeClr w14:val="tx1"/>
            </w14:solidFill>
          </w14:textFill>
        </w:rPr>
        <w:t>进</w:t>
      </w:r>
      <w:r>
        <w:rPr>
          <w:rFonts w:ascii="华文仿宋" w:hAnsi="华文仿宋" w:eastAsia="华文仿宋"/>
          <w:color w:val="000000" w:themeColor="text1"/>
          <w:sz w:val="28"/>
          <w:szCs w:val="28"/>
          <w14:textFill>
            <w14:solidFill>
              <w14:schemeClr w14:val="tx1"/>
            </w14:solidFill>
          </w14:textFill>
        </w:rPr>
        <w:t>项目审批全面提速。</w:t>
      </w:r>
      <w:r>
        <w:rPr>
          <w:rFonts w:hint="eastAsia" w:ascii="华文仿宋" w:hAnsi="华文仿宋" w:eastAsia="华文仿宋"/>
          <w:color w:val="000000" w:themeColor="text1"/>
          <w:sz w:val="28"/>
          <w:szCs w:val="28"/>
          <w14:textFill>
            <w14:solidFill>
              <w14:schemeClr w14:val="tx1"/>
            </w14:solidFill>
          </w14:textFill>
        </w:rPr>
        <w:t>运用重大项目跟踪服务，建立“企业—部门—领导”之间通畅高效的沟通渠道，实现问题“提出—交办—反馈”全流程闭环管理，推动项目早落地。</w:t>
      </w:r>
      <w:r>
        <w:rPr>
          <w:rFonts w:ascii="华文仿宋" w:hAnsi="华文仿宋" w:eastAsia="华文仿宋"/>
          <w:color w:val="000000" w:themeColor="text1"/>
          <w:sz w:val="28"/>
          <w:szCs w:val="28"/>
          <w14:textFill>
            <w14:solidFill>
              <w14:schemeClr w14:val="tx1"/>
            </w14:solidFill>
          </w14:textFill>
        </w:rPr>
        <w:t>5年内，工程建设项目从立项到竣工验收，全流程审批时间压减一半以上。</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43. </w:t>
      </w:r>
      <w:r>
        <w:rPr>
          <w:rFonts w:hint="eastAsia" w:ascii="仿宋" w:hAnsi="仿宋" w:eastAsia="仿宋"/>
          <w:b/>
          <w:bCs/>
          <w:color w:val="000000" w:themeColor="text1"/>
          <w:sz w:val="28"/>
          <w:szCs w:val="28"/>
          <w14:textFill>
            <w14:solidFill>
              <w14:schemeClr w14:val="tx1"/>
            </w14:solidFill>
          </w14:textFill>
        </w:rPr>
        <w:t>完善“承诺+容缺处置”机制</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健全完善行政审批容缺处置制度，制定容缺受理事项目录清单，明确容缺受理范围、涵义、操作流程。</w:t>
      </w:r>
      <w:r>
        <w:rPr>
          <w:rFonts w:hint="eastAsia" w:ascii="仿宋" w:hAnsi="仿宋" w:eastAsia="仿宋"/>
          <w:color w:val="000000" w:themeColor="text1"/>
          <w:sz w:val="28"/>
          <w:szCs w:val="28"/>
          <w14:textFill>
            <w14:solidFill>
              <w14:schemeClr w14:val="tx1"/>
            </w14:solidFill>
          </w14:textFill>
        </w:rPr>
        <w:t>简化程序，部分事项实行告知承诺或先证后核。申请人信用状况良好、</w:t>
      </w:r>
      <w:r>
        <w:rPr>
          <w:rFonts w:hint="eastAsia" w:ascii="仿宋" w:hAnsi="仿宋" w:eastAsia="仿宋"/>
          <w:color w:val="000000" w:themeColor="text1"/>
          <w:sz w:val="28"/>
          <w:szCs w:val="28"/>
          <w:lang w:val="en-US" w:eastAsia="zh-CN"/>
          <w14:textFill>
            <w14:solidFill>
              <w14:schemeClr w14:val="tx1"/>
            </w14:solidFill>
          </w14:textFill>
        </w:rPr>
        <w:t>申请材料不影响实质性审核的行政审批事项，经申请人书面承诺在办结前补齐补正所缺资料，窗口可先行受理，进入正常审批程序。</w:t>
      </w:r>
      <w:r>
        <w:rPr>
          <w:rFonts w:hint="eastAsia" w:ascii="仿宋" w:hAnsi="仿宋" w:eastAsia="仿宋"/>
          <w:color w:val="000000" w:themeColor="text1"/>
          <w:sz w:val="28"/>
          <w:szCs w:val="28"/>
          <w14:textFill>
            <w14:solidFill>
              <w14:schemeClr w14:val="tx1"/>
            </w14:solidFill>
          </w14:textFill>
        </w:rPr>
        <w:t>受理前应一次性告知需要补齐或补正的材料、形式、时限和超期处理办法，承诺期限内，申请人补齐补正所有欠缺材料后，予以正常办结。承诺期间，监管部门正常履行监管职责。</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44. </w:t>
      </w:r>
      <w:r>
        <w:rPr>
          <w:rFonts w:hint="eastAsia" w:ascii="仿宋" w:hAnsi="仿宋" w:eastAsia="仿宋"/>
          <w:b/>
          <w:bCs/>
          <w:color w:val="000000" w:themeColor="text1"/>
          <w:sz w:val="28"/>
          <w:szCs w:val="28"/>
          <w14:textFill>
            <w14:solidFill>
              <w14:schemeClr w14:val="tx1"/>
            </w14:solidFill>
          </w14:textFill>
        </w:rPr>
        <w:t>积极探索包容审慎监管制度</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对跨领域的新产业、新业态，探索完善行政管理容错机制，研究提出包容审慎监管标准，进一步优化新兴行业发展环境。加强监管规范化建设，减少自由裁量权。按照行政处罚与违法行为的事实、性质、情节以及社会危害程度相当的原则，对首次轻微违规经营行为，依法免于行政处罚。推进分类监管，合理配置监管资源，提升监管效能，增强监管科学性、合理性，强化事中事后监管。</w:t>
      </w:r>
    </w:p>
    <w:p>
      <w:pPr>
        <w:pStyle w:val="4"/>
        <w:ind w:left="0" w:leftChars="0" w:firstLine="560" w:firstLineChars="200"/>
        <w:jc w:val="left"/>
        <w:rPr>
          <w:rFonts w:ascii="楷体" w:hAnsi="楷体" w:eastAsia="楷体"/>
          <w:b w:val="0"/>
          <w:bCs w:val="0"/>
          <w:color w:val="000000" w:themeColor="text1"/>
          <w14:textFill>
            <w14:solidFill>
              <w14:schemeClr w14:val="tx1"/>
            </w14:solidFill>
          </w14:textFill>
        </w:rPr>
      </w:pPr>
      <w:bookmarkStart w:id="43" w:name="_Toc72943034"/>
      <w:r>
        <w:rPr>
          <w:rFonts w:hint="eastAsia" w:ascii="楷体" w:hAnsi="楷体" w:eastAsia="楷体"/>
          <w:b w:val="0"/>
          <w:bCs w:val="0"/>
          <w:color w:val="000000" w:themeColor="text1"/>
          <w:lang w:val="en-US" w:eastAsia="zh-CN"/>
          <w14:textFill>
            <w14:solidFill>
              <w14:schemeClr w14:val="tx1"/>
            </w14:solidFill>
          </w14:textFill>
        </w:rPr>
        <w:t>(三)</w:t>
      </w:r>
      <w:r>
        <w:rPr>
          <w:rFonts w:hint="eastAsia" w:ascii="楷体" w:hAnsi="楷体" w:eastAsia="楷体"/>
          <w:b w:val="0"/>
          <w:bCs w:val="0"/>
          <w:color w:val="000000" w:themeColor="text1"/>
          <w14:textFill>
            <w14:solidFill>
              <w14:schemeClr w14:val="tx1"/>
            </w14:solidFill>
          </w14:textFill>
        </w:rPr>
        <w:t>建立以共享为特征的业务协同体系</w:t>
      </w:r>
      <w:bookmarkEnd w:id="43"/>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45. </w:t>
      </w:r>
      <w:r>
        <w:rPr>
          <w:rFonts w:hint="eastAsia" w:ascii="仿宋" w:hAnsi="仿宋" w:eastAsia="仿宋"/>
          <w:b/>
          <w:bCs/>
          <w:color w:val="000000" w:themeColor="text1"/>
          <w:sz w:val="28"/>
          <w:szCs w:val="28"/>
          <w14:textFill>
            <w14:solidFill>
              <w14:schemeClr w14:val="tx1"/>
            </w14:solidFill>
          </w14:textFill>
        </w:rPr>
        <w:t>加快推进数字政府建设</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以数字政府新基建为契机，加大一体化政务服务平台建设，推动数字政府能力提升，构建大数据驱动的一体化政务新机制、新平台、新渠道。按照“一朵云、一张网、一平台、一系统、一城墙”的总体要求，以</w:t>
      </w:r>
      <w:r>
        <w:rPr>
          <w:rFonts w:ascii="华文仿宋" w:hAnsi="华文仿宋" w:eastAsia="华文仿宋"/>
          <w:color w:val="000000" w:themeColor="text1"/>
          <w:sz w:val="28"/>
          <w:szCs w:val="28"/>
          <w14:textFill>
            <w14:solidFill>
              <w14:schemeClr w14:val="tx1"/>
            </w14:solidFill>
          </w14:textFill>
        </w:rPr>
        <w:t>5G技术为支撑，加快数字政府重点应用。依托中国信通院，成立数字政府专家咨询委员会。</w:t>
      </w:r>
      <w:r>
        <w:rPr>
          <w:rFonts w:hint="eastAsia" w:ascii="华文仿宋" w:hAnsi="华文仿宋" w:eastAsia="华文仿宋"/>
          <w:color w:val="000000" w:themeColor="text1"/>
          <w:sz w:val="28"/>
          <w:szCs w:val="28"/>
          <w14:textFill>
            <w14:solidFill>
              <w14:schemeClr w14:val="tx1"/>
            </w14:solidFill>
          </w14:textFill>
        </w:rPr>
        <w:t>依托新成立的数字阳泉运营有限公司，以数据创新应用为驱动，扎实推进数字政府、智慧城市建设各项工作，着力建设全省数字政府示范市。</w:t>
      </w:r>
      <w:r>
        <w:rPr>
          <w:rFonts w:ascii="华文仿宋" w:hAnsi="华文仿宋" w:eastAsia="华文仿宋"/>
          <w:color w:val="000000" w:themeColor="text1"/>
          <w:sz w:val="28"/>
          <w:szCs w:val="28"/>
          <w14:textFill>
            <w14:solidFill>
              <w14:schemeClr w14:val="tx1"/>
            </w14:solidFill>
          </w14:textFill>
        </w:rPr>
        <w:t>建设完善全市政务云平台和电子政务外网，加快市县数据共享交换平台一体化建设，做好政务数据归集共享。</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46. </w:t>
      </w:r>
      <w:r>
        <w:rPr>
          <w:rFonts w:hint="eastAsia" w:ascii="仿宋" w:hAnsi="仿宋" w:eastAsia="仿宋"/>
          <w:b/>
          <w:bCs/>
          <w:color w:val="000000" w:themeColor="text1"/>
          <w:sz w:val="28"/>
          <w:szCs w:val="28"/>
          <w14:textFill>
            <w14:solidFill>
              <w14:schemeClr w14:val="tx1"/>
            </w14:solidFill>
          </w14:textFill>
        </w:rPr>
        <w:t>推进政务数据实时互联共享</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制定政务服务共享清单，明确政务信息资源目录，统一数据标准，依托市政务信息资源共享交换平台实现部门间数据资源共享。实施行政审批“大后台”集成数据系统建设工程，解决“多套系统、反复登录、重复录入”问题。对于能通过数据共享获取的、能通过网络核验的、前序流程已收取的材料，不再要求提交。提升个人主页、企业专属网页个性化服务水平，做到纵横全覆盖、事项全口径、内容全方位、服务全渠道，确保面向企业和群众的所有政务服务“进一网、能通办”。</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47. </w:t>
      </w:r>
      <w:r>
        <w:rPr>
          <w:rFonts w:hint="eastAsia" w:ascii="仿宋" w:hAnsi="仿宋" w:eastAsia="仿宋"/>
          <w:b/>
          <w:bCs/>
          <w:color w:val="000000" w:themeColor="text1"/>
          <w:sz w:val="28"/>
          <w:szCs w:val="28"/>
          <w14:textFill>
            <w14:solidFill>
              <w14:schemeClr w14:val="tx1"/>
            </w14:solidFill>
          </w14:textFill>
        </w:rPr>
        <w:t>创新智慧政务开发应用机制</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以我市申报创建大数据中心国家枢纽节点为契机，培育智能制造、智慧城市等跨界融合新业态，以大数据为核心，通过信息化手段开发、上线一批政府建设创新智慧应用，实现智慧办公、智慧审批、智慧监管、智慧服务；开展公共服务大数据应用建设，加快推进“全市通办”“跨省通办”、全程网办、智慧审批，构建全市政务服务“一窗受理、一网通办、一次不用跑”模式，提升政府治理能力，推行政府运转更加廉洁高效，政府决策制定更加精准科学，政府服务更加方便快捷，以智慧应用引领“放管服”改革向纵深推进，最大限度实现利企便民。</w:t>
      </w:r>
    </w:p>
    <w:p>
      <w:pPr>
        <w:pStyle w:val="4"/>
        <w:ind w:left="0" w:leftChars="0" w:firstLine="560" w:firstLineChars="200"/>
        <w:jc w:val="left"/>
        <w:rPr>
          <w:rFonts w:ascii="楷体" w:hAnsi="楷体" w:eastAsia="楷体"/>
          <w:b w:val="0"/>
          <w:bCs w:val="0"/>
          <w:color w:val="000000" w:themeColor="text1"/>
          <w14:textFill>
            <w14:solidFill>
              <w14:schemeClr w14:val="tx1"/>
            </w14:solidFill>
          </w14:textFill>
        </w:rPr>
      </w:pPr>
      <w:bookmarkStart w:id="44" w:name="_Toc72943035"/>
      <w:r>
        <w:rPr>
          <w:rFonts w:hint="eastAsia" w:ascii="楷体" w:hAnsi="楷体" w:eastAsia="楷体"/>
          <w:b w:val="0"/>
          <w:bCs w:val="0"/>
          <w:color w:val="000000" w:themeColor="text1"/>
          <w:lang w:val="en-US" w:eastAsia="zh-CN"/>
          <w14:textFill>
            <w14:solidFill>
              <w14:schemeClr w14:val="tx1"/>
            </w14:solidFill>
          </w14:textFill>
        </w:rPr>
        <w:t>(四)</w:t>
      </w:r>
      <w:r>
        <w:rPr>
          <w:rFonts w:hint="eastAsia" w:ascii="楷体" w:hAnsi="楷体" w:eastAsia="楷体"/>
          <w:b w:val="0"/>
          <w:bCs w:val="0"/>
          <w:color w:val="000000" w:themeColor="text1"/>
          <w14:textFill>
            <w14:solidFill>
              <w14:schemeClr w14:val="tx1"/>
            </w14:solidFill>
          </w14:textFill>
        </w:rPr>
        <w:t>建立以法治为基础的权益保障体系</w:t>
      </w:r>
      <w:bookmarkEnd w:id="44"/>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48. </w:t>
      </w:r>
      <w:r>
        <w:rPr>
          <w:rFonts w:hint="eastAsia" w:ascii="仿宋" w:hAnsi="仿宋" w:eastAsia="仿宋"/>
          <w:b/>
          <w:bCs/>
          <w:color w:val="000000" w:themeColor="text1"/>
          <w:sz w:val="28"/>
          <w:szCs w:val="28"/>
          <w14:textFill>
            <w14:solidFill>
              <w14:schemeClr w14:val="tx1"/>
            </w14:solidFill>
          </w14:textFill>
        </w:rPr>
        <w:t>完善政府守信践诺机制</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建立健全“政府承诺+社会监督+失信问责”制度。持续开展政府失信专项治理，全面清理“新官不理旧账”问题。对已作出的行政许可决定、招商引资承诺等有充分支撑的，只要符合政策规定坚决予以兑现；对因政府规划调整、政策变化造成企业合法权益受损的，要依法依规补偿救济。加强重点领域特别是招商引资、政府和社会资本合作等领域政务诚信建设，对不履行政策承诺和合同协议的政府部门及其有关负责人建立政务失信记录，实施惩戒措施。</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49. </w:t>
      </w:r>
      <w:r>
        <w:rPr>
          <w:rFonts w:hint="eastAsia" w:ascii="仿宋" w:hAnsi="仿宋" w:eastAsia="仿宋"/>
          <w:b/>
          <w:bCs/>
          <w:color w:val="000000" w:themeColor="text1"/>
          <w:sz w:val="28"/>
          <w:szCs w:val="28"/>
          <w14:textFill>
            <w14:solidFill>
              <w14:schemeClr w14:val="tx1"/>
            </w14:solidFill>
          </w14:textFill>
        </w:rPr>
        <w:t>强化营商环境建设法治保障</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建立优化营商环境法治保障共同体，完善制度设计，形成执行主体和规范对象的常态化沟通机制，增强发现研究解决营商环境问题的能力。所有涉企改革政策均需向社会公开，在市政府门户网站和各部门网站发布。按照程序，组织对现有涉企政策的梳理，及时制定相应政府规章。将行之有效、人民群众满意、市场主体支持的改革举措固定下来，形成制度或规范。对政府规章以及行政规范性文件滞后、不利于优化营商环境、制约新产业新业态新模式发展的，加快清理完善；与改革决策相抵触的，应改尽改、应废尽废。</w:t>
      </w:r>
    </w:p>
    <w:p>
      <w:pPr>
        <w:spacing w:before="156" w:beforeLines="50" w:after="156" w:afterLines="50"/>
        <w:ind w:firstLine="562" w:firstLineChars="200"/>
        <w:rPr>
          <w:color w:val="000000" w:themeColor="text1"/>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50. </w:t>
      </w:r>
      <w:r>
        <w:rPr>
          <w:rFonts w:hint="eastAsia" w:ascii="仿宋" w:hAnsi="仿宋" w:eastAsia="仿宋"/>
          <w:b/>
          <w:bCs/>
          <w:color w:val="000000" w:themeColor="text1"/>
          <w:sz w:val="28"/>
          <w:szCs w:val="28"/>
          <w14:textFill>
            <w14:solidFill>
              <w14:schemeClr w14:val="tx1"/>
            </w14:solidFill>
          </w14:textFill>
        </w:rPr>
        <w:t>落实公平竞争审查制度</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32"/>
          <w14:textFill>
            <w14:solidFill>
              <w14:schemeClr w14:val="tx1"/>
            </w14:solidFill>
          </w14:textFill>
        </w:rPr>
        <w:t>认真落实《公平竞争审查制度实施细则》。严格按规定的审查机制和程序开展公平竞争审查。加快制定公平竞争审查制度实施办法，建立健全相关配套制度。组织清理妨碍市场主体违反公平正当竞争原则的行为。在制定涉及市场主体经济活动的政策时必须进行公平竞争审查，公平竞争审查率达到100%。鼓励支持政策制定机关在公平竞争审查工作中引入第三方评估，提高审查质量和效果，出台优惠政策以普惠性政策为主，在政策采购领域尤其要严格落实，保证公平竞争审查制度有效实施。</w:t>
      </w:r>
    </w:p>
    <w:p>
      <w:pPr>
        <w:pStyle w:val="4"/>
        <w:ind w:left="0" w:leftChars="0" w:firstLine="560" w:firstLineChars="200"/>
        <w:jc w:val="left"/>
        <w:rPr>
          <w:rFonts w:ascii="楷体" w:hAnsi="楷体" w:eastAsia="楷体"/>
          <w:b w:val="0"/>
          <w:bCs w:val="0"/>
          <w:color w:val="000000" w:themeColor="text1"/>
          <w14:textFill>
            <w14:solidFill>
              <w14:schemeClr w14:val="tx1"/>
            </w14:solidFill>
          </w14:textFill>
        </w:rPr>
      </w:pPr>
      <w:bookmarkStart w:id="45" w:name="_Toc72943036"/>
      <w:r>
        <w:rPr>
          <w:rFonts w:hint="eastAsia" w:ascii="楷体" w:hAnsi="楷体" w:eastAsia="楷体"/>
          <w:b w:val="0"/>
          <w:bCs w:val="0"/>
          <w:color w:val="000000" w:themeColor="text1"/>
          <w:lang w:val="en-US" w:eastAsia="zh-CN"/>
          <w14:textFill>
            <w14:solidFill>
              <w14:schemeClr w14:val="tx1"/>
            </w14:solidFill>
          </w14:textFill>
        </w:rPr>
        <w:t>(五)</w:t>
      </w:r>
      <w:r>
        <w:rPr>
          <w:rFonts w:hint="eastAsia" w:ascii="楷体" w:hAnsi="楷体" w:eastAsia="楷体"/>
          <w:b w:val="0"/>
          <w:bCs w:val="0"/>
          <w:color w:val="000000" w:themeColor="text1"/>
          <w14:textFill>
            <w14:solidFill>
              <w14:schemeClr w14:val="tx1"/>
            </w14:solidFill>
          </w14:textFill>
        </w:rPr>
        <w:t>建立以普惠为特征的包容创新体系</w:t>
      </w:r>
      <w:bookmarkEnd w:id="45"/>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51. </w:t>
      </w:r>
      <w:r>
        <w:rPr>
          <w:rFonts w:hint="eastAsia" w:ascii="仿宋" w:hAnsi="仿宋" w:eastAsia="仿宋"/>
          <w:b/>
          <w:bCs/>
          <w:color w:val="000000" w:themeColor="text1"/>
          <w:sz w:val="28"/>
          <w:szCs w:val="28"/>
          <w14:textFill>
            <w14:solidFill>
              <w14:schemeClr w14:val="tx1"/>
            </w14:solidFill>
          </w14:textFill>
        </w:rPr>
        <w:t>构建亲清新型政商关系</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建立政商交往正负面清单，厘清政商交往边界。健全党政领导与企业家恳谈会制度，聘请思想政治强、行业代表性强、参政议政能力强、社会信誉好的优秀企业家担任市经济社会发展咨询委员和各职能部门行风监督员。市级行风监督员总数不低于1</w:t>
      </w:r>
      <w:r>
        <w:rPr>
          <w:rFonts w:ascii="华文仿宋" w:hAnsi="华文仿宋" w:eastAsia="华文仿宋"/>
          <w:color w:val="000000" w:themeColor="text1"/>
          <w:sz w:val="28"/>
          <w:szCs w:val="28"/>
          <w14:textFill>
            <w14:solidFill>
              <w14:schemeClr w14:val="tx1"/>
            </w14:solidFill>
          </w14:textFill>
        </w:rPr>
        <w:t>00名。</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52. </w:t>
      </w:r>
      <w:r>
        <w:rPr>
          <w:rFonts w:hint="eastAsia" w:ascii="仿宋" w:hAnsi="仿宋" w:eastAsia="仿宋"/>
          <w:b/>
          <w:bCs/>
          <w:color w:val="000000" w:themeColor="text1"/>
          <w:sz w:val="28"/>
          <w:szCs w:val="28"/>
          <w14:textFill>
            <w14:solidFill>
              <w14:schemeClr w14:val="tx1"/>
            </w14:solidFill>
          </w14:textFill>
        </w:rPr>
        <w:t>健全</w:t>
      </w:r>
      <w:r>
        <w:rPr>
          <w:rFonts w:ascii="仿宋" w:hAnsi="仿宋" w:eastAsia="仿宋"/>
          <w:b/>
          <w:bCs/>
          <w:color w:val="000000" w:themeColor="text1"/>
          <w:sz w:val="28"/>
          <w:szCs w:val="28"/>
          <w14:textFill>
            <w14:solidFill>
              <w14:schemeClr w14:val="tx1"/>
            </w14:solidFill>
          </w14:textFill>
        </w:rPr>
        <w:t>企业家激励</w:t>
      </w:r>
      <w:r>
        <w:rPr>
          <w:rFonts w:hint="eastAsia" w:ascii="仿宋" w:hAnsi="仿宋" w:eastAsia="仿宋"/>
          <w:b/>
          <w:bCs/>
          <w:color w:val="000000" w:themeColor="text1"/>
          <w:sz w:val="28"/>
          <w:szCs w:val="28"/>
          <w14:textFill>
            <w14:solidFill>
              <w14:schemeClr w14:val="tx1"/>
            </w14:solidFill>
          </w14:textFill>
        </w:rPr>
        <w:t>机制</w:t>
      </w:r>
      <w:r>
        <w:rPr>
          <w:rFonts w:hint="eastAsia" w:ascii="仿宋" w:hAnsi="仿宋" w:eastAsia="仿宋"/>
          <w:b/>
          <w:bCs/>
          <w:color w:val="000000" w:themeColor="text1"/>
          <w:sz w:val="28"/>
          <w:szCs w:val="28"/>
          <w:lang w:eastAsia="zh-CN"/>
          <w14:textFill>
            <w14:solidFill>
              <w14:schemeClr w14:val="tx1"/>
            </w14:solidFill>
          </w14:textFill>
        </w:rPr>
        <w:t>。</w:t>
      </w:r>
      <w:r>
        <w:rPr>
          <w:rFonts w:ascii="华文仿宋" w:hAnsi="华文仿宋" w:eastAsia="华文仿宋"/>
          <w:color w:val="000000" w:themeColor="text1"/>
          <w:sz w:val="28"/>
          <w:szCs w:val="28"/>
          <w14:textFill>
            <w14:solidFill>
              <w14:schemeClr w14:val="tx1"/>
            </w14:solidFill>
          </w14:textFill>
        </w:rPr>
        <w:t>定期选树阳泉市突出贡献企业家、阳泉市创业成绩突出青年等先进典型，符合条件的人员优先推荐申报各级劳动模范、先进工作者、非公有制经济人士优秀中国特色社会主义事业建设者等荣誉</w:t>
      </w:r>
      <w:r>
        <w:rPr>
          <w:rFonts w:hint="eastAsia" w:ascii="华文仿宋" w:hAnsi="华文仿宋" w:eastAsia="华文仿宋"/>
          <w:color w:val="000000" w:themeColor="text1"/>
          <w:sz w:val="28"/>
          <w:szCs w:val="28"/>
          <w14:textFill>
            <w14:solidFill>
              <w14:schemeClr w14:val="tx1"/>
            </w14:solidFill>
          </w14:textFill>
        </w:rPr>
        <w:t>，并授予同级相应荣誉称号</w:t>
      </w:r>
      <w:r>
        <w:rPr>
          <w:rFonts w:ascii="华文仿宋" w:hAnsi="华文仿宋" w:eastAsia="华文仿宋"/>
          <w:color w:val="000000" w:themeColor="text1"/>
          <w:sz w:val="28"/>
          <w:szCs w:val="28"/>
          <w14:textFill>
            <w14:solidFill>
              <w14:schemeClr w14:val="tx1"/>
            </w14:solidFill>
          </w14:textFill>
        </w:rPr>
        <w:t>。</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53. </w:t>
      </w:r>
      <w:r>
        <w:rPr>
          <w:rFonts w:hint="eastAsia" w:ascii="仿宋" w:hAnsi="仿宋" w:eastAsia="仿宋"/>
          <w:b/>
          <w:bCs/>
          <w:color w:val="000000" w:themeColor="text1"/>
          <w:sz w:val="28"/>
          <w:szCs w:val="28"/>
          <w14:textFill>
            <w14:solidFill>
              <w14:schemeClr w14:val="tx1"/>
            </w14:solidFill>
          </w14:textFill>
        </w:rPr>
        <w:t>完善“双创”培育体系</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建设面向产业发展需求的一流创新平台，</w:t>
      </w:r>
      <w:r>
        <w:rPr>
          <w:rFonts w:ascii="华文仿宋" w:hAnsi="华文仿宋" w:eastAsia="华文仿宋"/>
          <w:color w:val="000000" w:themeColor="text1"/>
          <w:sz w:val="28"/>
          <w:szCs w:val="28"/>
          <w14:textFill>
            <w14:solidFill>
              <w14:schemeClr w14:val="tx1"/>
            </w14:solidFill>
          </w14:textFill>
        </w:rPr>
        <w:t>支持行业龙头、骨干企业提出重大前沿技术需求和行业共性关键技术需求并组织联合攻关。</w:t>
      </w:r>
      <w:r>
        <w:rPr>
          <w:rFonts w:hint="eastAsia" w:ascii="华文仿宋" w:hAnsi="华文仿宋" w:eastAsia="华文仿宋"/>
          <w:color w:val="000000" w:themeColor="text1"/>
          <w:sz w:val="28"/>
          <w:szCs w:val="28"/>
          <w14:textFill>
            <w14:solidFill>
              <w14:schemeClr w14:val="tx1"/>
            </w14:solidFill>
          </w14:textFill>
        </w:rPr>
        <w:t>构建全产业链双创培育体系，</w:t>
      </w:r>
      <w:r>
        <w:rPr>
          <w:rFonts w:ascii="华文仿宋" w:hAnsi="华文仿宋" w:eastAsia="华文仿宋"/>
          <w:color w:val="000000" w:themeColor="text1"/>
          <w:sz w:val="28"/>
          <w:szCs w:val="28"/>
          <w14:textFill>
            <w14:solidFill>
              <w14:schemeClr w14:val="tx1"/>
            </w14:solidFill>
          </w14:textFill>
        </w:rPr>
        <w:t>支持产、学、研合作，打通从基础研发到应用技术、再到产业化的全过程通道。支持各类创新创业孵化器建设，更好集聚和孵化初创期科技型企业。加强高新技术企业培育，推进科技型中小企业评价，加大对企业创新研发支持力度，高新技术企业总量年均增长</w:t>
      </w:r>
      <w:r>
        <w:rPr>
          <w:rFonts w:hint="eastAsia" w:ascii="华文仿宋" w:hAnsi="华文仿宋" w:eastAsia="华文仿宋"/>
          <w:color w:val="000000" w:themeColor="text1"/>
          <w:sz w:val="28"/>
          <w:szCs w:val="28"/>
          <w:lang w:val="en-US" w:eastAsia="zh-CN"/>
          <w14:textFill>
            <w14:solidFill>
              <w14:schemeClr w14:val="tx1"/>
            </w14:solidFill>
          </w14:textFill>
        </w:rPr>
        <w:t>14.4</w:t>
      </w:r>
      <w:r>
        <w:rPr>
          <w:rFonts w:ascii="华文仿宋" w:hAnsi="华文仿宋" w:eastAsia="华文仿宋"/>
          <w:color w:val="000000" w:themeColor="text1"/>
          <w:sz w:val="28"/>
          <w:szCs w:val="28"/>
          <w14:textFill>
            <w14:solidFill>
              <w14:schemeClr w14:val="tx1"/>
            </w14:solidFill>
          </w14:textFill>
        </w:rPr>
        <w:t>%。</w:t>
      </w:r>
    </w:p>
    <w:p>
      <w:pPr>
        <w:spacing w:before="156" w:beforeLines="50" w:after="156" w:afterLines="50"/>
        <w:ind w:firstLine="562" w:firstLineChars="200"/>
        <w:rPr>
          <w:color w:val="000000" w:themeColor="text1"/>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54. </w:t>
      </w:r>
      <w:r>
        <w:rPr>
          <w:rFonts w:hint="eastAsia" w:ascii="仿宋" w:hAnsi="仿宋" w:eastAsia="仿宋"/>
          <w:b/>
          <w:bCs/>
          <w:color w:val="000000" w:themeColor="text1"/>
          <w:sz w:val="28"/>
          <w:szCs w:val="28"/>
          <w14:textFill>
            <w14:solidFill>
              <w14:schemeClr w14:val="tx1"/>
            </w14:solidFill>
          </w14:textFill>
        </w:rPr>
        <w:t>广纳企业参与政策修定</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各级各部门编制和制定行业发展规划、行业发展和改革政策、行业标准和规范，制定市场准入、环境保护、安全生产、招标投标、政府采购等对企业切身利益或者权利义务有重大影响、影响企业生产经营的政策，广泛听取企业家和有关方面的意见建议，精准掌握企业政策需求，对关系企业切身利益、专业性较强的涉企专项政策，依托工商业联合会、企业联合会、行业协会商会等，兼顾不同所有制、不同行业、不同规模的企业，科学合理的选取企业代表，共同参与起草，根据企业痛点难点针对性研究提出政策措施。</w:t>
      </w:r>
    </w:p>
    <w:p>
      <w:pPr>
        <w:pStyle w:val="4"/>
        <w:spacing w:line="415" w:lineRule="auto"/>
        <w:ind w:left="0" w:leftChars="0" w:firstLine="560" w:firstLineChars="200"/>
        <w:jc w:val="left"/>
        <w:rPr>
          <w:rFonts w:ascii="楷体" w:hAnsi="楷体" w:eastAsia="楷体"/>
          <w:b w:val="0"/>
          <w:bCs w:val="0"/>
          <w:color w:val="000000" w:themeColor="text1"/>
          <w:szCs w:val="28"/>
          <w14:textFill>
            <w14:solidFill>
              <w14:schemeClr w14:val="tx1"/>
            </w14:solidFill>
          </w14:textFill>
        </w:rPr>
      </w:pPr>
      <w:bookmarkStart w:id="46" w:name="_Toc72943037"/>
      <w:r>
        <w:rPr>
          <w:rFonts w:hint="eastAsia" w:ascii="楷体" w:hAnsi="楷体" w:eastAsia="楷体"/>
          <w:b w:val="0"/>
          <w:bCs w:val="0"/>
          <w:color w:val="000000" w:themeColor="text1"/>
          <w:szCs w:val="28"/>
          <w:lang w:val="en-US" w:eastAsia="zh-CN"/>
          <w14:textFill>
            <w14:solidFill>
              <w14:schemeClr w14:val="tx1"/>
            </w14:solidFill>
          </w14:textFill>
        </w:rPr>
        <w:t>(六)</w:t>
      </w:r>
      <w:r>
        <w:rPr>
          <w:rFonts w:hint="eastAsia" w:ascii="楷体" w:hAnsi="楷体" w:eastAsia="楷体"/>
          <w:b w:val="0"/>
          <w:bCs w:val="0"/>
          <w:color w:val="000000" w:themeColor="text1"/>
          <w:szCs w:val="28"/>
          <w14:textFill>
            <w14:solidFill>
              <w14:schemeClr w14:val="tx1"/>
            </w14:solidFill>
          </w14:textFill>
        </w:rPr>
        <w:t>建立以结果为导向的考核监督体系</w:t>
      </w:r>
      <w:bookmarkEnd w:id="46"/>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55. </w:t>
      </w:r>
      <w:r>
        <w:rPr>
          <w:rFonts w:hint="eastAsia" w:ascii="仿宋" w:hAnsi="仿宋" w:eastAsia="仿宋"/>
          <w:b/>
          <w:bCs/>
          <w:color w:val="000000" w:themeColor="text1"/>
          <w:sz w:val="28"/>
          <w:szCs w:val="28"/>
          <w14:textFill>
            <w14:solidFill>
              <w14:schemeClr w14:val="tx1"/>
            </w14:solidFill>
          </w14:textFill>
        </w:rPr>
        <w:t>开展营商环境专项考核</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按照营商环境首位战略，不断加强</w:t>
      </w:r>
      <w:r>
        <w:rPr>
          <w:rFonts w:hint="eastAsia" w:ascii="华文仿宋" w:hAnsi="华文仿宋" w:eastAsia="华文仿宋"/>
          <w:color w:val="000000" w:themeColor="text1"/>
          <w:sz w:val="28"/>
          <w:szCs w:val="28"/>
          <w14:textFill>
            <w14:solidFill>
              <w14:schemeClr w14:val="tx1"/>
            </w14:solidFill>
          </w14:textFill>
        </w:rPr>
        <w:t>营商环境建设组织领导和工作协调机制；坚持结果导向、压实工作责任，推动各级各部门对照考核</w:t>
      </w:r>
      <w:r>
        <w:rPr>
          <w:rFonts w:hint="eastAsia" w:ascii="华文仿宋" w:hAnsi="华文仿宋" w:eastAsia="华文仿宋"/>
          <w:color w:val="000000" w:themeColor="text1"/>
          <w:sz w:val="28"/>
          <w:szCs w:val="28"/>
          <w:lang w:val="en-US" w:eastAsia="zh-CN"/>
          <w14:textFill>
            <w14:solidFill>
              <w14:schemeClr w14:val="tx1"/>
            </w14:solidFill>
          </w14:textFill>
        </w:rPr>
        <w:t>要求</w:t>
      </w:r>
      <w:r>
        <w:rPr>
          <w:rFonts w:hint="eastAsia" w:ascii="华文仿宋" w:hAnsi="华文仿宋" w:eastAsia="华文仿宋"/>
          <w:color w:val="000000" w:themeColor="text1"/>
          <w:sz w:val="28"/>
          <w:szCs w:val="28"/>
          <w14:textFill>
            <w14:solidFill>
              <w14:schemeClr w14:val="tx1"/>
            </w14:solidFill>
          </w14:textFill>
        </w:rPr>
        <w:t>，不折不扣认领各自的任务，</w:t>
      </w:r>
      <w:r>
        <w:rPr>
          <w:rFonts w:hint="eastAsia" w:ascii="华文仿宋" w:hAnsi="华文仿宋" w:eastAsia="华文仿宋"/>
          <w:color w:val="000000" w:themeColor="text1"/>
          <w:sz w:val="28"/>
          <w:szCs w:val="28"/>
          <w:lang w:val="en-US" w:eastAsia="zh-CN"/>
          <w14:textFill>
            <w14:solidFill>
              <w14:schemeClr w14:val="tx1"/>
            </w14:solidFill>
          </w14:textFill>
        </w:rPr>
        <w:t>持续实行营商环境</w:t>
      </w:r>
      <w:r>
        <w:rPr>
          <w:rFonts w:hint="eastAsia" w:ascii="华文仿宋" w:hAnsi="华文仿宋" w:eastAsia="华文仿宋"/>
          <w:color w:val="000000" w:themeColor="text1"/>
          <w:sz w:val="28"/>
          <w:szCs w:val="28"/>
          <w14:textFill>
            <w14:solidFill>
              <w14:schemeClr w14:val="tx1"/>
            </w14:solidFill>
          </w14:textFill>
        </w:rPr>
        <w:t>“一把手”工程，强化工作落实举措；加大督办力度，建立优化营商环境“半月通报”制度，强化</w:t>
      </w:r>
      <w:r>
        <w:rPr>
          <w:rFonts w:ascii="华文仿宋" w:hAnsi="华文仿宋" w:eastAsia="华文仿宋"/>
          <w:color w:val="000000" w:themeColor="text1"/>
          <w:sz w:val="28"/>
          <w:szCs w:val="28"/>
          <w14:textFill>
            <w14:solidFill>
              <w14:schemeClr w14:val="tx1"/>
            </w14:solidFill>
          </w14:textFill>
        </w:rPr>
        <w:t>13710信息督办、政务服务“好差评”、12345政务热线投诉举报办理等机制，及时发现并推动解决营商环境建设中存在的突出问题；加大舆论宣传力度，通过多种方式，提高群众和企业对相关政策落实的知晓</w:t>
      </w:r>
      <w:r>
        <w:rPr>
          <w:rFonts w:hint="eastAsia" w:ascii="华文仿宋" w:hAnsi="华文仿宋" w:eastAsia="华文仿宋"/>
          <w:color w:val="000000" w:themeColor="text1"/>
          <w:sz w:val="28"/>
          <w:szCs w:val="28"/>
          <w14:textFill>
            <w14:solidFill>
              <w14:schemeClr w14:val="tx1"/>
            </w14:solidFill>
          </w14:textFill>
        </w:rPr>
        <w:t>率</w:t>
      </w:r>
      <w:r>
        <w:rPr>
          <w:rFonts w:ascii="华文仿宋" w:hAnsi="华文仿宋" w:eastAsia="华文仿宋"/>
          <w:color w:val="000000" w:themeColor="text1"/>
          <w:sz w:val="28"/>
          <w:szCs w:val="28"/>
          <w14:textFill>
            <w14:solidFill>
              <w14:schemeClr w14:val="tx1"/>
            </w14:solidFill>
          </w14:textFill>
        </w:rPr>
        <w:t>、参与度，及时搜集和获取各方面的</w:t>
      </w:r>
      <w:r>
        <w:rPr>
          <w:rFonts w:hint="eastAsia" w:ascii="华文仿宋" w:hAnsi="华文仿宋" w:eastAsia="华文仿宋"/>
          <w:color w:val="000000" w:themeColor="text1"/>
          <w:sz w:val="28"/>
          <w:szCs w:val="28"/>
          <w14:textFill>
            <w14:solidFill>
              <w14:schemeClr w14:val="tx1"/>
            </w14:solidFill>
          </w14:textFill>
        </w:rPr>
        <w:t>意见建议，形成全社会关注和参与营商环境建设的浓厚氛围。</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56. </w:t>
      </w:r>
      <w:r>
        <w:rPr>
          <w:rFonts w:hint="eastAsia" w:ascii="仿宋" w:hAnsi="仿宋" w:eastAsia="仿宋"/>
          <w:b/>
          <w:bCs/>
          <w:color w:val="000000" w:themeColor="text1"/>
          <w:sz w:val="28"/>
          <w:szCs w:val="28"/>
          <w14:textFill>
            <w14:solidFill>
              <w14:schemeClr w14:val="tx1"/>
            </w14:solidFill>
          </w14:textFill>
        </w:rPr>
        <w:t>深化“人才强市”战略</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强化党管人才原则，依据新矛盾新定位新使命，用新理念新思想新战略，寻求新思路新工具新方法，切实解决改革中存在的问题。落实《阳泉市人才激励二十条（试行）》，大力引进各类人才，为推进高质量转型发展提供保障。形成特色化、层次化的人才工程体系</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探索建立人才及其成果共享机制和资质互认机制，搭建政府智库平台、政策咨询平台和学术交流平台，形成相互配套有效衔接的新时代人才发展治理体系。</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57. </w:t>
      </w:r>
      <w:r>
        <w:rPr>
          <w:rFonts w:hint="eastAsia" w:ascii="仿宋" w:hAnsi="仿宋" w:eastAsia="仿宋"/>
          <w:b/>
          <w:bCs/>
          <w:color w:val="000000" w:themeColor="text1"/>
          <w:sz w:val="28"/>
          <w:szCs w:val="28"/>
          <w14:textFill>
            <w14:solidFill>
              <w14:schemeClr w14:val="tx1"/>
            </w14:solidFill>
          </w14:textFill>
        </w:rPr>
        <w:t>开展公共服务质量监测分析</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以生态环境、公共交通、医疗服务、公共安全、公共文化、公共体育、公共（义务）教育、养老服务、政务服务、公用事业、社会保障、公共就业等领域为重点，持续开展公共服务质量监测，形成监测报告，及时向有关部门反馈监测结果，推进公共服务质量提升，推动经济高质量发展，更好满足人民日益增长的美好生活需要。</w:t>
      </w:r>
    </w:p>
    <w:p>
      <w:pPr>
        <w:spacing w:before="156" w:beforeLines="50" w:after="156" w:afterLines="50"/>
        <w:ind w:firstLine="562" w:firstLineChars="200"/>
        <w:rPr>
          <w:rFonts w:ascii="华文仿宋" w:hAnsi="华文仿宋" w:eastAsia="华文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 xml:space="preserve">58. </w:t>
      </w:r>
      <w:r>
        <w:rPr>
          <w:rFonts w:hint="eastAsia" w:ascii="仿宋" w:hAnsi="仿宋" w:eastAsia="仿宋"/>
          <w:b/>
          <w:bCs/>
          <w:color w:val="000000" w:themeColor="text1"/>
          <w:sz w:val="28"/>
          <w:szCs w:val="28"/>
          <w14:textFill>
            <w14:solidFill>
              <w14:schemeClr w14:val="tx1"/>
            </w14:solidFill>
          </w14:textFill>
        </w:rPr>
        <w:t>全面建成政务服务“好差评”制度体系</w:t>
      </w:r>
      <w:r>
        <w:rPr>
          <w:rFonts w:hint="eastAsia" w:ascii="仿宋" w:hAnsi="仿宋" w:eastAsia="仿宋"/>
          <w:b/>
          <w:bCs/>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14:textFill>
            <w14:solidFill>
              <w14:schemeClr w14:val="tx1"/>
            </w14:solidFill>
          </w14:textFill>
        </w:rPr>
        <w:t>畅通评价渠道，实现现场服务“一次一评”、网上服务“一事一评”、社会各界“综合点评”、政府部门“监督查评”。用好评价结果，实名差评回访率达到</w:t>
      </w:r>
      <w:r>
        <w:rPr>
          <w:rFonts w:ascii="华文仿宋" w:hAnsi="华文仿宋" w:eastAsia="华文仿宋"/>
          <w:color w:val="000000" w:themeColor="text1"/>
          <w:sz w:val="28"/>
          <w:szCs w:val="28"/>
          <w14:textFill>
            <w14:solidFill>
              <w14:schemeClr w14:val="tx1"/>
            </w14:solidFill>
          </w14:textFill>
        </w:rPr>
        <w:t>100%，对企业和群众反映集中的问题，限期整改并建立长效机制，评价结果纳入实绩考核，并适当增加分值。</w:t>
      </w:r>
    </w:p>
    <w:p>
      <w:pPr>
        <w:pStyle w:val="3"/>
        <w:pageBreakBefore/>
        <w:ind w:firstLine="560" w:firstLineChars="200"/>
        <w:jc w:val="left"/>
        <w:rPr>
          <w:rFonts w:ascii="黑体" w:hAnsi="黑体" w:eastAsia="黑体"/>
          <w:b w:val="0"/>
          <w:bCs w:val="0"/>
          <w:color w:val="000000" w:themeColor="text1"/>
          <w:sz w:val="28"/>
          <w:szCs w:val="28"/>
          <w14:textFill>
            <w14:solidFill>
              <w14:schemeClr w14:val="tx1"/>
            </w14:solidFill>
          </w14:textFill>
        </w:rPr>
      </w:pPr>
      <w:bookmarkStart w:id="47" w:name="_Toc72943038"/>
      <w:r>
        <w:rPr>
          <w:rFonts w:hint="eastAsia" w:ascii="黑体" w:hAnsi="黑体" w:eastAsia="黑体"/>
          <w:b w:val="0"/>
          <w:bCs w:val="0"/>
          <w:color w:val="000000" w:themeColor="text1"/>
          <w:sz w:val="28"/>
          <w:szCs w:val="28"/>
          <w14:textFill>
            <w14:solidFill>
              <w14:schemeClr w14:val="tx1"/>
            </w14:solidFill>
          </w14:textFill>
        </w:rPr>
        <w:t>五</w:t>
      </w:r>
      <w:r>
        <w:rPr>
          <w:rFonts w:hint="eastAsia" w:ascii="黑体" w:hAnsi="黑体" w:eastAsia="黑体"/>
          <w:b w:val="0"/>
          <w:bCs w:val="0"/>
          <w:color w:val="000000" w:themeColor="text1"/>
          <w:sz w:val="28"/>
          <w:szCs w:val="28"/>
          <w:lang w:eastAsia="zh-CN"/>
          <w14:textFill>
            <w14:solidFill>
              <w14:schemeClr w14:val="tx1"/>
            </w14:solidFill>
          </w14:textFill>
        </w:rPr>
        <w:t>、</w:t>
      </w:r>
      <w:r>
        <w:rPr>
          <w:rFonts w:hint="eastAsia" w:ascii="黑体" w:hAnsi="黑体" w:eastAsia="黑体"/>
          <w:b w:val="0"/>
          <w:bCs w:val="0"/>
          <w:color w:val="000000" w:themeColor="text1"/>
          <w:sz w:val="28"/>
          <w:szCs w:val="28"/>
          <w14:textFill>
            <w14:solidFill>
              <w14:schemeClr w14:val="tx1"/>
            </w14:solidFill>
          </w14:textFill>
        </w:rPr>
        <w:t>保障措施</w:t>
      </w:r>
      <w:bookmarkEnd w:id="47"/>
    </w:p>
    <w:p>
      <w:pPr>
        <w:pStyle w:val="4"/>
        <w:spacing w:line="415" w:lineRule="auto"/>
        <w:ind w:left="0" w:leftChars="0" w:firstLine="560" w:firstLineChars="200"/>
        <w:jc w:val="left"/>
        <w:rPr>
          <w:rFonts w:ascii="楷体" w:hAnsi="楷体" w:eastAsia="楷体"/>
          <w:b w:val="0"/>
          <w:bCs w:val="0"/>
          <w:color w:val="000000" w:themeColor="text1"/>
          <w:szCs w:val="28"/>
          <w14:textFill>
            <w14:solidFill>
              <w14:schemeClr w14:val="tx1"/>
            </w14:solidFill>
          </w14:textFill>
        </w:rPr>
      </w:pPr>
      <w:bookmarkStart w:id="48" w:name="_Toc72943039"/>
      <w:r>
        <w:rPr>
          <w:rFonts w:hint="eastAsia" w:ascii="楷体" w:hAnsi="楷体" w:eastAsia="楷体"/>
          <w:b w:val="0"/>
          <w:bCs w:val="0"/>
          <w:color w:val="000000" w:themeColor="text1"/>
          <w:szCs w:val="28"/>
          <w:lang w:val="en-US" w:eastAsia="zh-CN"/>
          <w14:textFill>
            <w14:solidFill>
              <w14:schemeClr w14:val="tx1"/>
            </w14:solidFill>
          </w14:textFill>
        </w:rPr>
        <w:t>(一)</w:t>
      </w:r>
      <w:r>
        <w:rPr>
          <w:rFonts w:hint="eastAsia" w:ascii="楷体" w:hAnsi="楷体" w:eastAsia="楷体"/>
          <w:b w:val="0"/>
          <w:bCs w:val="0"/>
          <w:color w:val="000000" w:themeColor="text1"/>
          <w:szCs w:val="28"/>
          <w14:textFill>
            <w14:solidFill>
              <w14:schemeClr w14:val="tx1"/>
            </w14:solidFill>
          </w14:textFill>
        </w:rPr>
        <w:t>加强组织领导</w:t>
      </w:r>
      <w:bookmarkEnd w:id="48"/>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各</w:t>
      </w:r>
      <w:r>
        <w:rPr>
          <w:rFonts w:hint="eastAsia" w:ascii="华文仿宋" w:hAnsi="华文仿宋" w:eastAsia="华文仿宋"/>
          <w:color w:val="000000" w:themeColor="text1"/>
          <w:sz w:val="28"/>
          <w:szCs w:val="28"/>
          <w:lang w:val="en-US" w:eastAsia="zh-CN"/>
          <w14:textFill>
            <w14:solidFill>
              <w14:schemeClr w14:val="tx1"/>
            </w14:solidFill>
          </w14:textFill>
        </w:rPr>
        <w:t>级各部门各单位</w:t>
      </w:r>
      <w:r>
        <w:rPr>
          <w:rFonts w:hint="eastAsia" w:ascii="华文仿宋" w:hAnsi="华文仿宋" w:eastAsia="华文仿宋"/>
          <w:color w:val="000000" w:themeColor="text1"/>
          <w:sz w:val="28"/>
          <w:szCs w:val="28"/>
          <w14:textFill>
            <w14:solidFill>
              <w14:schemeClr w14:val="tx1"/>
            </w14:solidFill>
          </w14:textFill>
        </w:rPr>
        <w:t>要进一步提高认识、解放思想、转变观念，充分认识</w:t>
      </w:r>
      <w:r>
        <w:rPr>
          <w:rFonts w:hint="eastAsia" w:ascii="华文仿宋" w:hAnsi="华文仿宋" w:eastAsia="华文仿宋"/>
          <w:color w:val="000000" w:themeColor="text1"/>
          <w:sz w:val="28"/>
          <w:szCs w:val="28"/>
          <w:lang w:val="en-US" w:eastAsia="zh-CN"/>
          <w14:textFill>
            <w14:solidFill>
              <w14:schemeClr w14:val="tx1"/>
            </w14:solidFill>
          </w14:textFill>
        </w:rPr>
        <w:t>不断优化</w:t>
      </w:r>
      <w:r>
        <w:rPr>
          <w:rFonts w:hint="eastAsia" w:ascii="华文仿宋" w:hAnsi="华文仿宋" w:eastAsia="华文仿宋"/>
          <w:color w:val="000000" w:themeColor="text1"/>
          <w:sz w:val="28"/>
          <w:szCs w:val="28"/>
          <w14:textFill>
            <w14:solidFill>
              <w14:schemeClr w14:val="tx1"/>
            </w14:solidFill>
          </w14:textFill>
        </w:rPr>
        <w:t>营商环境是实现阳泉市转型发展，增强企业、群众获得感的重要举措，把实现</w:t>
      </w:r>
      <w:r>
        <w:rPr>
          <w:rFonts w:hint="eastAsia" w:ascii="华文仿宋" w:hAnsi="华文仿宋" w:eastAsia="华文仿宋"/>
          <w:color w:val="000000" w:themeColor="text1"/>
          <w:sz w:val="28"/>
          <w:szCs w:val="28"/>
          <w:lang w:val="en-US" w:eastAsia="zh-CN"/>
          <w14:textFill>
            <w14:solidFill>
              <w14:schemeClr w14:val="tx1"/>
            </w14:solidFill>
          </w14:textFill>
        </w:rPr>
        <w:t>“三无三可”“四化”营商环境建设</w:t>
      </w:r>
      <w:r>
        <w:rPr>
          <w:rFonts w:hint="eastAsia" w:ascii="华文仿宋" w:hAnsi="华文仿宋" w:eastAsia="华文仿宋"/>
          <w:color w:val="000000" w:themeColor="text1"/>
          <w:sz w:val="28"/>
          <w:szCs w:val="28"/>
          <w14:textFill>
            <w14:solidFill>
              <w14:schemeClr w14:val="tx1"/>
            </w14:solidFill>
          </w14:textFill>
        </w:rPr>
        <w:t>要求摆上重要议程，把握改革方向，主要负责同志要亲自抓，强化主体责任，敢于担当、主动作为，将规划任务清单化、项目化，落实到人，层层压实责任</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确保各项工作落实到位</w:t>
      </w:r>
      <w:r>
        <w:rPr>
          <w:rFonts w:hint="eastAsia"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健全市级部门与县区、牵头部门与配合部门之间的沟通协调机制，以及上下联动、协同推进的工作机制</w:t>
      </w:r>
      <w:r>
        <w:rPr>
          <w:rFonts w:hint="eastAsia" w:ascii="华文仿宋" w:hAnsi="华文仿宋" w:eastAsia="华文仿宋"/>
          <w:color w:val="000000" w:themeColor="text1"/>
          <w:sz w:val="28"/>
          <w:szCs w:val="28"/>
          <w14:textFill>
            <w14:solidFill>
              <w14:schemeClr w14:val="tx1"/>
            </w14:solidFill>
          </w14:textFill>
        </w:rPr>
        <w:t>。</w:t>
      </w:r>
    </w:p>
    <w:p>
      <w:pPr>
        <w:pStyle w:val="4"/>
        <w:spacing w:line="415" w:lineRule="auto"/>
        <w:ind w:left="0" w:leftChars="0" w:firstLine="560" w:firstLineChars="200"/>
        <w:jc w:val="left"/>
        <w:rPr>
          <w:rFonts w:ascii="楷体" w:hAnsi="楷体" w:eastAsia="楷体"/>
          <w:b w:val="0"/>
          <w:bCs w:val="0"/>
          <w:color w:val="000000" w:themeColor="text1"/>
          <w:szCs w:val="28"/>
          <w14:textFill>
            <w14:solidFill>
              <w14:schemeClr w14:val="tx1"/>
            </w14:solidFill>
          </w14:textFill>
        </w:rPr>
      </w:pPr>
      <w:bookmarkStart w:id="49" w:name="_Toc72943040"/>
      <w:r>
        <w:rPr>
          <w:rFonts w:hint="eastAsia" w:ascii="楷体" w:hAnsi="楷体" w:eastAsia="楷体"/>
          <w:b w:val="0"/>
          <w:bCs w:val="0"/>
          <w:color w:val="000000" w:themeColor="text1"/>
          <w:szCs w:val="28"/>
          <w:lang w:val="en-US" w:eastAsia="zh-CN"/>
          <w14:textFill>
            <w14:solidFill>
              <w14:schemeClr w14:val="tx1"/>
            </w14:solidFill>
          </w14:textFill>
        </w:rPr>
        <w:t>(二)</w:t>
      </w:r>
      <w:r>
        <w:rPr>
          <w:rFonts w:hint="eastAsia" w:ascii="楷体" w:hAnsi="楷体" w:eastAsia="楷体"/>
          <w:b w:val="0"/>
          <w:bCs w:val="0"/>
          <w:color w:val="000000" w:themeColor="text1"/>
          <w:szCs w:val="28"/>
          <w14:textFill>
            <w14:solidFill>
              <w14:schemeClr w14:val="tx1"/>
            </w14:solidFill>
          </w14:textFill>
        </w:rPr>
        <w:t>精心安排实施</w:t>
      </w:r>
      <w:bookmarkEnd w:id="49"/>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各</w:t>
      </w:r>
      <w:r>
        <w:rPr>
          <w:rFonts w:hint="eastAsia" w:ascii="华文仿宋" w:hAnsi="华文仿宋" w:eastAsia="华文仿宋"/>
          <w:color w:val="000000" w:themeColor="text1"/>
          <w:sz w:val="28"/>
          <w:szCs w:val="28"/>
          <w:lang w:val="en-US" w:eastAsia="zh-CN"/>
          <w14:textFill>
            <w14:solidFill>
              <w14:schemeClr w14:val="tx1"/>
            </w14:solidFill>
          </w14:textFill>
        </w:rPr>
        <w:t>级</w:t>
      </w:r>
      <w:r>
        <w:rPr>
          <w:rFonts w:hint="eastAsia" w:ascii="华文仿宋" w:hAnsi="华文仿宋" w:eastAsia="华文仿宋"/>
          <w:color w:val="000000" w:themeColor="text1"/>
          <w:sz w:val="28"/>
          <w:szCs w:val="28"/>
          <w14:textFill>
            <w14:solidFill>
              <w14:schemeClr w14:val="tx1"/>
            </w14:solidFill>
          </w14:textFill>
        </w:rPr>
        <w:t>各部门各单位要统筹推进改革，协调解决重点、难点问题，以“钉钉子”精神和“绣花”精神推动各项改革措施落实落细落地。积极学习复制先进经验做法，进一步细化量化工作举措。强化标准意识，自加压力、大胆探索、勇于创新，形成更多体现“阳泉特色”、管用可行的“一招鲜”。加大财政支持，保障优化营商环境各项重点任务落实。构建系统更加完善、运行更加有效的现代化治理体系，不断提升治理能力，积极回应企业和群众的新需求，切实做到就近就便服务企业和群众。</w:t>
      </w:r>
    </w:p>
    <w:p>
      <w:pPr>
        <w:pStyle w:val="4"/>
        <w:spacing w:line="415" w:lineRule="auto"/>
        <w:ind w:left="0" w:leftChars="0" w:firstLine="560" w:firstLineChars="200"/>
        <w:jc w:val="left"/>
        <w:rPr>
          <w:rFonts w:ascii="楷体" w:hAnsi="楷体" w:eastAsia="楷体"/>
          <w:b w:val="0"/>
          <w:bCs w:val="0"/>
          <w:color w:val="000000" w:themeColor="text1"/>
          <w:szCs w:val="28"/>
          <w14:textFill>
            <w14:solidFill>
              <w14:schemeClr w14:val="tx1"/>
            </w14:solidFill>
          </w14:textFill>
        </w:rPr>
      </w:pPr>
      <w:bookmarkStart w:id="50" w:name="_Toc72943041"/>
      <w:r>
        <w:rPr>
          <w:rFonts w:hint="eastAsia" w:ascii="楷体" w:hAnsi="楷体" w:eastAsia="楷体"/>
          <w:b w:val="0"/>
          <w:bCs w:val="0"/>
          <w:color w:val="000000" w:themeColor="text1"/>
          <w:szCs w:val="28"/>
          <w:lang w:val="en-US" w:eastAsia="zh-CN"/>
          <w14:textFill>
            <w14:solidFill>
              <w14:schemeClr w14:val="tx1"/>
            </w14:solidFill>
          </w14:textFill>
        </w:rPr>
        <w:t>(三)</w:t>
      </w:r>
      <w:r>
        <w:rPr>
          <w:rFonts w:hint="eastAsia" w:ascii="楷体" w:hAnsi="楷体" w:eastAsia="楷体"/>
          <w:b w:val="0"/>
          <w:bCs w:val="0"/>
          <w:color w:val="000000" w:themeColor="text1"/>
          <w:szCs w:val="28"/>
          <w14:textFill>
            <w14:solidFill>
              <w14:schemeClr w14:val="tx1"/>
            </w14:solidFill>
          </w14:textFill>
        </w:rPr>
        <w:t>优化法治环境</w:t>
      </w:r>
      <w:bookmarkEnd w:id="50"/>
    </w:p>
    <w:p>
      <w:pPr>
        <w:ind w:firstLine="560" w:firstLineChars="200"/>
        <w:rPr>
          <w:color w:val="000000" w:themeColor="text1"/>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坚持在法治下推进改革发展，在改革发展中推进法治，加强政务公开和信息公开，主动接受社会监督和舆论监督，加强行政监督和审计监督。深化行政执法体制改革，全面推行“三项制度”，严格规范公正文明执法。加快建立适应经济社会发展需要的标准化管理体制和新型标准体系。增强服务市场主体、服务人民群众意识，讲落实、讲效率、讲结果，加强部门联动，推动政策协同，提高干部能力，用好“</w:t>
      </w:r>
      <w:r>
        <w:rPr>
          <w:rFonts w:ascii="华文仿宋" w:hAnsi="华文仿宋" w:eastAsia="华文仿宋"/>
          <w:color w:val="000000" w:themeColor="text1"/>
          <w:sz w:val="28"/>
          <w:szCs w:val="28"/>
          <w14:textFill>
            <w14:solidFill>
              <w14:schemeClr w14:val="tx1"/>
            </w14:solidFill>
          </w14:textFill>
        </w:rPr>
        <w:t>13710”政务督查督办手段，推动各项目标任务落地落实。</w:t>
      </w:r>
    </w:p>
    <w:p>
      <w:pPr>
        <w:pStyle w:val="4"/>
        <w:spacing w:line="415" w:lineRule="auto"/>
        <w:ind w:left="0" w:leftChars="0" w:firstLine="560" w:firstLineChars="200"/>
        <w:jc w:val="left"/>
        <w:rPr>
          <w:rFonts w:ascii="楷体" w:hAnsi="楷体" w:eastAsia="楷体"/>
          <w:b w:val="0"/>
          <w:bCs w:val="0"/>
          <w:color w:val="000000" w:themeColor="text1"/>
          <w:szCs w:val="28"/>
          <w14:textFill>
            <w14:solidFill>
              <w14:schemeClr w14:val="tx1"/>
            </w14:solidFill>
          </w14:textFill>
        </w:rPr>
      </w:pPr>
      <w:bookmarkStart w:id="51" w:name="_Toc72943042"/>
      <w:r>
        <w:rPr>
          <w:rFonts w:hint="eastAsia" w:ascii="楷体" w:hAnsi="楷体" w:eastAsia="楷体"/>
          <w:b w:val="0"/>
          <w:bCs w:val="0"/>
          <w:color w:val="000000" w:themeColor="text1"/>
          <w:szCs w:val="28"/>
          <w:lang w:val="en-US" w:eastAsia="zh-CN"/>
          <w14:textFill>
            <w14:solidFill>
              <w14:schemeClr w14:val="tx1"/>
            </w14:solidFill>
          </w14:textFill>
        </w:rPr>
        <w:t>(四)</w:t>
      </w:r>
      <w:r>
        <w:rPr>
          <w:rFonts w:hint="eastAsia" w:ascii="楷体" w:hAnsi="楷体" w:eastAsia="楷体"/>
          <w:b w:val="0"/>
          <w:bCs w:val="0"/>
          <w:color w:val="000000" w:themeColor="text1"/>
          <w:szCs w:val="28"/>
          <w14:textFill>
            <w14:solidFill>
              <w14:schemeClr w14:val="tx1"/>
            </w14:solidFill>
          </w14:textFill>
        </w:rPr>
        <w:t>强化督导考评</w:t>
      </w:r>
      <w:bookmarkEnd w:id="51"/>
    </w:p>
    <w:p>
      <w:pPr>
        <w:ind w:firstLine="560" w:firstLineChars="200"/>
        <w:rPr>
          <w:rFonts w:ascii="华文仿宋" w:hAnsi="华文仿宋" w:eastAsia="华文仿宋" w:cstheme="minorBidi"/>
          <w:b w:val="0"/>
          <w:bCs w:val="0"/>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要充分发挥督考指挥棒作用，建立</w:t>
      </w:r>
      <w:r>
        <w:rPr>
          <w:rFonts w:hint="eastAsia" w:ascii="华文仿宋" w:hAnsi="华文仿宋" w:eastAsia="华文仿宋"/>
          <w:color w:val="000000" w:themeColor="text1"/>
          <w:sz w:val="28"/>
          <w:szCs w:val="28"/>
          <w:lang w:val="en-US" w:eastAsia="zh-CN"/>
          <w14:textFill>
            <w14:solidFill>
              <w14:schemeClr w14:val="tx1"/>
            </w14:solidFill>
          </w14:textFill>
        </w:rPr>
        <w:t>优化</w:t>
      </w:r>
      <w:r>
        <w:rPr>
          <w:rFonts w:hint="eastAsia" w:ascii="华文仿宋" w:hAnsi="华文仿宋" w:eastAsia="华文仿宋"/>
          <w:color w:val="000000" w:themeColor="text1"/>
          <w:sz w:val="28"/>
          <w:szCs w:val="28"/>
          <w14:textFill>
            <w14:solidFill>
              <w14:schemeClr w14:val="tx1"/>
            </w14:solidFill>
          </w14:textFill>
        </w:rPr>
        <w:t>营商环境建设工作专项督查机制</w:t>
      </w:r>
      <w:r>
        <w:rPr>
          <w:rFonts w:hint="eastAsia" w:ascii="华文仿宋" w:hAnsi="华文仿宋" w:eastAsia="华文仿宋"/>
          <w:color w:val="000000" w:themeColor="text1"/>
          <w:sz w:val="28"/>
          <w:szCs w:val="28"/>
          <w:lang w:eastAsia="zh-CN"/>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诉求处置协调机制</w:t>
      </w:r>
      <w:r>
        <w:rPr>
          <w:rFonts w:hint="eastAsia" w:ascii="华文仿宋" w:hAnsi="华文仿宋"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结合市纪委监委“五清行动”“排忧行动”以及电视问政、12345政务热线线索，</w:t>
      </w:r>
      <w:r>
        <w:rPr>
          <w:rFonts w:hint="eastAsia" w:ascii="华文仿宋" w:hAnsi="华文仿宋" w:eastAsia="华文仿宋"/>
          <w:color w:val="000000" w:themeColor="text1"/>
          <w:sz w:val="28"/>
          <w:szCs w:val="28"/>
          <w14:textFill>
            <w14:solidFill>
              <w14:schemeClr w14:val="tx1"/>
            </w14:solidFill>
          </w14:textFill>
        </w:rPr>
        <w:t>跟踪督导推进落实情况，持续整治形式主义、官僚主义问题。对落实到位、敢于担当、积极作为的典型要通报表扬；对不担当、不作为、慢作为的要严肃问责，确保各项改革落地生效。建立健全</w:t>
      </w:r>
      <w:r>
        <w:rPr>
          <w:rFonts w:hint="eastAsia" w:ascii="华文仿宋" w:hAnsi="华文仿宋" w:eastAsia="华文仿宋"/>
          <w:color w:val="000000" w:themeColor="text1"/>
          <w:sz w:val="28"/>
          <w:szCs w:val="28"/>
          <w:lang w:val="en-US" w:eastAsia="zh-CN"/>
          <w14:textFill>
            <w14:solidFill>
              <w14:schemeClr w14:val="tx1"/>
            </w14:solidFill>
          </w14:textFill>
        </w:rPr>
        <w:t>优化</w:t>
      </w:r>
      <w:r>
        <w:rPr>
          <w:rFonts w:hint="eastAsia" w:ascii="华文仿宋" w:hAnsi="华文仿宋" w:eastAsia="华文仿宋"/>
          <w:color w:val="000000" w:themeColor="text1"/>
          <w:sz w:val="28"/>
          <w:szCs w:val="28"/>
          <w14:textFill>
            <w14:solidFill>
              <w14:schemeClr w14:val="tx1"/>
            </w14:solidFill>
          </w14:textFill>
        </w:rPr>
        <w:t>营商环境的自评自检机制，运用营商环境监测、电子监察、现场和在线评价、统计抽样调查、第三方评估等多种方式开展满意度调查，促进各职能部门实质性转变、提高。</w:t>
      </w:r>
    </w:p>
    <w:p>
      <w:pPr>
        <w:pStyle w:val="4"/>
        <w:spacing w:line="415" w:lineRule="auto"/>
        <w:ind w:left="0" w:leftChars="0" w:firstLine="560" w:firstLineChars="200"/>
        <w:jc w:val="left"/>
        <w:rPr>
          <w:rFonts w:ascii="楷体" w:hAnsi="楷体" w:eastAsia="楷体"/>
          <w:b w:val="0"/>
          <w:bCs w:val="0"/>
          <w:color w:val="000000" w:themeColor="text1"/>
          <w:szCs w:val="28"/>
          <w14:textFill>
            <w14:solidFill>
              <w14:schemeClr w14:val="tx1"/>
            </w14:solidFill>
          </w14:textFill>
        </w:rPr>
      </w:pPr>
      <w:bookmarkStart w:id="52" w:name="_Toc72943043"/>
      <w:r>
        <w:rPr>
          <w:rFonts w:hint="eastAsia" w:ascii="楷体" w:hAnsi="楷体" w:eastAsia="楷体"/>
          <w:b w:val="0"/>
          <w:bCs w:val="0"/>
          <w:color w:val="000000" w:themeColor="text1"/>
          <w:szCs w:val="28"/>
          <w:lang w:val="en-US" w:eastAsia="zh-CN"/>
          <w14:textFill>
            <w14:solidFill>
              <w14:schemeClr w14:val="tx1"/>
            </w14:solidFill>
          </w14:textFill>
        </w:rPr>
        <w:t>(五)</w:t>
      </w:r>
      <w:r>
        <w:rPr>
          <w:rFonts w:hint="eastAsia" w:ascii="楷体" w:hAnsi="楷体" w:eastAsia="楷体"/>
          <w:b w:val="0"/>
          <w:bCs w:val="0"/>
          <w:color w:val="000000" w:themeColor="text1"/>
          <w:szCs w:val="28"/>
          <w14:textFill>
            <w14:solidFill>
              <w14:schemeClr w14:val="tx1"/>
            </w14:solidFill>
          </w14:textFill>
        </w:rPr>
        <w:t>注重宣传引导</w:t>
      </w:r>
      <w:bookmarkEnd w:id="52"/>
    </w:p>
    <w:p>
      <w:pPr>
        <w:ind w:firstLine="560" w:firstLineChars="200"/>
        <w:rPr>
          <w:rFonts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要充分利用各类载体宣传典型经验做法，加大总结推广力度，促进相互学习借鉴提高。将营商环境建设成效宣传与信息公开、政策解读、社会监督等结合起来，广开渠道听取企业和群众的意见建议。正确引导社会预期，积极利用营商环境规划中的信息沟通渠道回应社会关切，广泛凝聚社会共识，营造良好氛围。</w:t>
      </w:r>
    </w:p>
    <w:p>
      <w:pPr>
        <w:rPr>
          <w:color w:val="000000" w:themeColor="text1"/>
          <w:sz w:val="28"/>
          <w:szCs w:val="28"/>
          <w14:textFill>
            <w14:solidFill>
              <w14:schemeClr w14:val="tx1"/>
            </w14:solidFill>
          </w14:textFill>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华文楷体">
    <w:altName w:val="方正楷体_GBK"/>
    <w:panose1 w:val="02010600040101010101"/>
    <w:charset w:val="86"/>
    <w:family w:val="auto"/>
    <w:pitch w:val="default"/>
    <w:sig w:usb0="00000000" w:usb1="00000000" w:usb2="00000000" w:usb3="00000000" w:csb0="0004009F" w:csb1="DFD70000"/>
  </w:font>
  <w:font w:name="华文仿宋">
    <w:altName w:val="汉仪仿宋简"/>
    <w:panose1 w:val="02010600040101010101"/>
    <w:charset w:val="86"/>
    <w:family w:val="auto"/>
    <w:pitch w:val="default"/>
    <w:sig w:usb0="00000000" w:usb1="00000000" w:usb2="00000000" w:usb3="00000000" w:csb0="0004009F" w:csb1="DFD70000"/>
  </w:font>
  <w:font w:name="Heiti SC Light">
    <w:altName w:val="方正细黑一_GBK"/>
    <w:panose1 w:val="00000000000000000000"/>
    <w:charset w:val="50"/>
    <w:family w:val="auto"/>
    <w:pitch w:val="default"/>
    <w:sig w:usb0="00000000" w:usb1="00000000" w:usb2="00000010" w:usb3="00000000" w:csb0="003E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imes Roman">
    <w:altName w:val="DejaVu Sans"/>
    <w:panose1 w:val="00000000000000000000"/>
    <w:charset w:val="00"/>
    <w:family w:val="auto"/>
    <w:pitch w:val="default"/>
    <w:sig w:usb0="00000000" w:usb1="00000000" w:usb2="00000000" w:usb3="00000000" w:csb0="0000019F" w:csb1="00000000"/>
  </w:font>
  <w:font w:name="∑¬ÀŒ">
    <w:altName w:val="AR PL UKai CN"/>
    <w:panose1 w:val="00000000000000000000"/>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细黑一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方正宋体S-超大字符集(SIP)"/>
    <w:panose1 w:val="00000000000000000000"/>
    <w:charset w:val="00"/>
    <w:family w:val="auto"/>
    <w:pitch w:val="default"/>
    <w:sig w:usb0="00000000" w:usb1="00000000" w:usb2="00000000" w:usb3="00000000" w:csb0="00000000" w:csb1="00000000"/>
  </w:font>
  <w:font w:name="AR PL UKai CN">
    <w:panose1 w:val="02000503000000000000"/>
    <w:charset w:val="86"/>
    <w:family w:val="auto"/>
    <w:pitch w:val="default"/>
    <w:sig w:usb0="A00002FF" w:usb1="3ACFFDFF" w:usb2="00000036" w:usb3="00000000" w:csb0="201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379155"/>
    </w:sdtPr>
    <w:sdtContent>
      <w:p>
        <w:pPr>
          <w:pStyle w:val="12"/>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28</w:t>
    </w:r>
    <w:r>
      <w:rPr>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ODNhOTFhNjU0YmI1NTg4MTk4NmQ3YjU4MDczNGUifQ=="/>
  </w:docVars>
  <w:rsids>
    <w:rsidRoot w:val="00A348B6"/>
    <w:rsid w:val="00004754"/>
    <w:rsid w:val="00005BCE"/>
    <w:rsid w:val="00010E59"/>
    <w:rsid w:val="0001545F"/>
    <w:rsid w:val="00035EB8"/>
    <w:rsid w:val="0003686A"/>
    <w:rsid w:val="00041ACA"/>
    <w:rsid w:val="0004378C"/>
    <w:rsid w:val="000477E2"/>
    <w:rsid w:val="00056283"/>
    <w:rsid w:val="00064319"/>
    <w:rsid w:val="00072FF7"/>
    <w:rsid w:val="0007372A"/>
    <w:rsid w:val="000738C2"/>
    <w:rsid w:val="00073949"/>
    <w:rsid w:val="00081C07"/>
    <w:rsid w:val="00087824"/>
    <w:rsid w:val="000927AB"/>
    <w:rsid w:val="000958D3"/>
    <w:rsid w:val="00097BEA"/>
    <w:rsid w:val="000A103B"/>
    <w:rsid w:val="000A1ACA"/>
    <w:rsid w:val="000A4F9B"/>
    <w:rsid w:val="000A5472"/>
    <w:rsid w:val="000B2108"/>
    <w:rsid w:val="000B544F"/>
    <w:rsid w:val="000C3D08"/>
    <w:rsid w:val="000C4560"/>
    <w:rsid w:val="000C5D47"/>
    <w:rsid w:val="000C5E7E"/>
    <w:rsid w:val="000C7743"/>
    <w:rsid w:val="000D0FA8"/>
    <w:rsid w:val="000D55E9"/>
    <w:rsid w:val="000D7C1F"/>
    <w:rsid w:val="000E22F0"/>
    <w:rsid w:val="000E3ABD"/>
    <w:rsid w:val="00103B52"/>
    <w:rsid w:val="00107EEE"/>
    <w:rsid w:val="001118F3"/>
    <w:rsid w:val="00114813"/>
    <w:rsid w:val="00123093"/>
    <w:rsid w:val="0012539D"/>
    <w:rsid w:val="0012735A"/>
    <w:rsid w:val="00132542"/>
    <w:rsid w:val="001413E0"/>
    <w:rsid w:val="001416F2"/>
    <w:rsid w:val="0014194E"/>
    <w:rsid w:val="00144C8C"/>
    <w:rsid w:val="00155918"/>
    <w:rsid w:val="001709CF"/>
    <w:rsid w:val="00177DF8"/>
    <w:rsid w:val="0018116B"/>
    <w:rsid w:val="001824DF"/>
    <w:rsid w:val="00184FD1"/>
    <w:rsid w:val="001B5272"/>
    <w:rsid w:val="001C1338"/>
    <w:rsid w:val="001C1DD9"/>
    <w:rsid w:val="001C3235"/>
    <w:rsid w:val="001C78A9"/>
    <w:rsid w:val="001C7DDF"/>
    <w:rsid w:val="001D00FB"/>
    <w:rsid w:val="001D6650"/>
    <w:rsid w:val="001E0023"/>
    <w:rsid w:val="001E1C43"/>
    <w:rsid w:val="001E2652"/>
    <w:rsid w:val="001E3CAF"/>
    <w:rsid w:val="001E64F9"/>
    <w:rsid w:val="001E7362"/>
    <w:rsid w:val="001F3FD7"/>
    <w:rsid w:val="00204A2C"/>
    <w:rsid w:val="0020524D"/>
    <w:rsid w:val="00214E90"/>
    <w:rsid w:val="00230F7A"/>
    <w:rsid w:val="00236F76"/>
    <w:rsid w:val="00244A1E"/>
    <w:rsid w:val="00244BBA"/>
    <w:rsid w:val="00245EA4"/>
    <w:rsid w:val="002502D8"/>
    <w:rsid w:val="00252346"/>
    <w:rsid w:val="0025521C"/>
    <w:rsid w:val="002553A4"/>
    <w:rsid w:val="00273A69"/>
    <w:rsid w:val="0028672F"/>
    <w:rsid w:val="002907FD"/>
    <w:rsid w:val="00290D72"/>
    <w:rsid w:val="00292A8C"/>
    <w:rsid w:val="00297A55"/>
    <w:rsid w:val="002A41F8"/>
    <w:rsid w:val="002B25C8"/>
    <w:rsid w:val="002C016C"/>
    <w:rsid w:val="002C19E6"/>
    <w:rsid w:val="002C3F6C"/>
    <w:rsid w:val="002C4C9D"/>
    <w:rsid w:val="002C7CBF"/>
    <w:rsid w:val="002D0D4B"/>
    <w:rsid w:val="002D1528"/>
    <w:rsid w:val="002D318C"/>
    <w:rsid w:val="002D4335"/>
    <w:rsid w:val="002E2177"/>
    <w:rsid w:val="002E31E0"/>
    <w:rsid w:val="002E5CA4"/>
    <w:rsid w:val="002F1E5C"/>
    <w:rsid w:val="002F5B5C"/>
    <w:rsid w:val="002F724F"/>
    <w:rsid w:val="002F7E62"/>
    <w:rsid w:val="00306E4C"/>
    <w:rsid w:val="003116C4"/>
    <w:rsid w:val="00312937"/>
    <w:rsid w:val="003211D5"/>
    <w:rsid w:val="00322659"/>
    <w:rsid w:val="00326600"/>
    <w:rsid w:val="003355C1"/>
    <w:rsid w:val="00336513"/>
    <w:rsid w:val="0033784E"/>
    <w:rsid w:val="00337F0D"/>
    <w:rsid w:val="003428FB"/>
    <w:rsid w:val="00343EBB"/>
    <w:rsid w:val="0034547D"/>
    <w:rsid w:val="00345B38"/>
    <w:rsid w:val="00347F80"/>
    <w:rsid w:val="00360381"/>
    <w:rsid w:val="00364979"/>
    <w:rsid w:val="00364CA7"/>
    <w:rsid w:val="00372187"/>
    <w:rsid w:val="0037658A"/>
    <w:rsid w:val="0038412C"/>
    <w:rsid w:val="0039264F"/>
    <w:rsid w:val="003977F3"/>
    <w:rsid w:val="003A009D"/>
    <w:rsid w:val="003A1F9B"/>
    <w:rsid w:val="003A4087"/>
    <w:rsid w:val="003A5ADD"/>
    <w:rsid w:val="003B5411"/>
    <w:rsid w:val="003B70E2"/>
    <w:rsid w:val="003B7F14"/>
    <w:rsid w:val="003C2F10"/>
    <w:rsid w:val="003C72F5"/>
    <w:rsid w:val="003D2AAF"/>
    <w:rsid w:val="003D33DC"/>
    <w:rsid w:val="003D5FEA"/>
    <w:rsid w:val="003D7AF3"/>
    <w:rsid w:val="003E54A5"/>
    <w:rsid w:val="003E5D79"/>
    <w:rsid w:val="003F5940"/>
    <w:rsid w:val="004018C7"/>
    <w:rsid w:val="00403A3E"/>
    <w:rsid w:val="00410680"/>
    <w:rsid w:val="004129E0"/>
    <w:rsid w:val="00414A72"/>
    <w:rsid w:val="00442F24"/>
    <w:rsid w:val="00443853"/>
    <w:rsid w:val="00444577"/>
    <w:rsid w:val="00454B85"/>
    <w:rsid w:val="00462176"/>
    <w:rsid w:val="0046520B"/>
    <w:rsid w:val="004669CA"/>
    <w:rsid w:val="00470CE2"/>
    <w:rsid w:val="00473488"/>
    <w:rsid w:val="00475343"/>
    <w:rsid w:val="0048075B"/>
    <w:rsid w:val="00481367"/>
    <w:rsid w:val="00484042"/>
    <w:rsid w:val="0049076F"/>
    <w:rsid w:val="00497930"/>
    <w:rsid w:val="004A3185"/>
    <w:rsid w:val="004B1FEC"/>
    <w:rsid w:val="004B458C"/>
    <w:rsid w:val="004C114E"/>
    <w:rsid w:val="004C138F"/>
    <w:rsid w:val="004C1C78"/>
    <w:rsid w:val="004D6367"/>
    <w:rsid w:val="004E29D4"/>
    <w:rsid w:val="00501C25"/>
    <w:rsid w:val="00503C1C"/>
    <w:rsid w:val="00507DB9"/>
    <w:rsid w:val="00511E51"/>
    <w:rsid w:val="00521FAB"/>
    <w:rsid w:val="00524155"/>
    <w:rsid w:val="0052463C"/>
    <w:rsid w:val="005337B7"/>
    <w:rsid w:val="005466AF"/>
    <w:rsid w:val="005510C3"/>
    <w:rsid w:val="00555403"/>
    <w:rsid w:val="0056105D"/>
    <w:rsid w:val="0056398B"/>
    <w:rsid w:val="0057494B"/>
    <w:rsid w:val="00575501"/>
    <w:rsid w:val="005810EA"/>
    <w:rsid w:val="00587EF8"/>
    <w:rsid w:val="00593FEE"/>
    <w:rsid w:val="005A1775"/>
    <w:rsid w:val="005A3495"/>
    <w:rsid w:val="005B2116"/>
    <w:rsid w:val="005B2A4B"/>
    <w:rsid w:val="005B6A79"/>
    <w:rsid w:val="005C27BB"/>
    <w:rsid w:val="005C483D"/>
    <w:rsid w:val="005C4EBF"/>
    <w:rsid w:val="005C5812"/>
    <w:rsid w:val="005E206B"/>
    <w:rsid w:val="005E2FB2"/>
    <w:rsid w:val="005E746D"/>
    <w:rsid w:val="005F17C6"/>
    <w:rsid w:val="005F704C"/>
    <w:rsid w:val="00600A21"/>
    <w:rsid w:val="00602879"/>
    <w:rsid w:val="00602C4A"/>
    <w:rsid w:val="00604FFF"/>
    <w:rsid w:val="006058E1"/>
    <w:rsid w:val="00612E1E"/>
    <w:rsid w:val="0061339A"/>
    <w:rsid w:val="0061561C"/>
    <w:rsid w:val="00622DB4"/>
    <w:rsid w:val="00623F2F"/>
    <w:rsid w:val="006334AD"/>
    <w:rsid w:val="00634111"/>
    <w:rsid w:val="00636A48"/>
    <w:rsid w:val="00642C8F"/>
    <w:rsid w:val="00643E7E"/>
    <w:rsid w:val="006469FD"/>
    <w:rsid w:val="00652252"/>
    <w:rsid w:val="006531F7"/>
    <w:rsid w:val="006561A4"/>
    <w:rsid w:val="00657759"/>
    <w:rsid w:val="006631B7"/>
    <w:rsid w:val="006642CA"/>
    <w:rsid w:val="006647F2"/>
    <w:rsid w:val="0066693E"/>
    <w:rsid w:val="006703C8"/>
    <w:rsid w:val="0067228F"/>
    <w:rsid w:val="006747EA"/>
    <w:rsid w:val="00674FF1"/>
    <w:rsid w:val="00681236"/>
    <w:rsid w:val="0068266D"/>
    <w:rsid w:val="0068540F"/>
    <w:rsid w:val="00691B38"/>
    <w:rsid w:val="006A0C15"/>
    <w:rsid w:val="006A14AA"/>
    <w:rsid w:val="006A2411"/>
    <w:rsid w:val="006A4C31"/>
    <w:rsid w:val="006C6F3D"/>
    <w:rsid w:val="006D072C"/>
    <w:rsid w:val="006D3B78"/>
    <w:rsid w:val="006D4F4A"/>
    <w:rsid w:val="006D7DAD"/>
    <w:rsid w:val="006D7FB3"/>
    <w:rsid w:val="006E4073"/>
    <w:rsid w:val="006E507D"/>
    <w:rsid w:val="006E721A"/>
    <w:rsid w:val="006F668F"/>
    <w:rsid w:val="007223B1"/>
    <w:rsid w:val="007270BC"/>
    <w:rsid w:val="00731E5A"/>
    <w:rsid w:val="00744B12"/>
    <w:rsid w:val="00753116"/>
    <w:rsid w:val="0075396C"/>
    <w:rsid w:val="00754B7D"/>
    <w:rsid w:val="00756039"/>
    <w:rsid w:val="007564AF"/>
    <w:rsid w:val="00783D21"/>
    <w:rsid w:val="00785853"/>
    <w:rsid w:val="00792A63"/>
    <w:rsid w:val="00793689"/>
    <w:rsid w:val="0079563D"/>
    <w:rsid w:val="007A62ED"/>
    <w:rsid w:val="007B11B0"/>
    <w:rsid w:val="007B1CCC"/>
    <w:rsid w:val="007C15C9"/>
    <w:rsid w:val="007D1426"/>
    <w:rsid w:val="007D5292"/>
    <w:rsid w:val="007D5580"/>
    <w:rsid w:val="007F1CEE"/>
    <w:rsid w:val="007F5261"/>
    <w:rsid w:val="00803577"/>
    <w:rsid w:val="008036B9"/>
    <w:rsid w:val="008042B5"/>
    <w:rsid w:val="008109B4"/>
    <w:rsid w:val="00812738"/>
    <w:rsid w:val="00813801"/>
    <w:rsid w:val="00813B93"/>
    <w:rsid w:val="008172BD"/>
    <w:rsid w:val="00822013"/>
    <w:rsid w:val="00822947"/>
    <w:rsid w:val="00822E08"/>
    <w:rsid w:val="0083039E"/>
    <w:rsid w:val="00837B35"/>
    <w:rsid w:val="008425C9"/>
    <w:rsid w:val="00856DA8"/>
    <w:rsid w:val="008615EF"/>
    <w:rsid w:val="008669EB"/>
    <w:rsid w:val="00876968"/>
    <w:rsid w:val="00896022"/>
    <w:rsid w:val="008A41EF"/>
    <w:rsid w:val="008A5975"/>
    <w:rsid w:val="008A64CF"/>
    <w:rsid w:val="008B03A8"/>
    <w:rsid w:val="008B69AD"/>
    <w:rsid w:val="008B700C"/>
    <w:rsid w:val="008B7DFC"/>
    <w:rsid w:val="008E4CF2"/>
    <w:rsid w:val="008F6374"/>
    <w:rsid w:val="009002A0"/>
    <w:rsid w:val="0091291C"/>
    <w:rsid w:val="009141A1"/>
    <w:rsid w:val="009142C5"/>
    <w:rsid w:val="0092396C"/>
    <w:rsid w:val="00933212"/>
    <w:rsid w:val="00933216"/>
    <w:rsid w:val="009342EF"/>
    <w:rsid w:val="00935853"/>
    <w:rsid w:val="009436DE"/>
    <w:rsid w:val="00956C7D"/>
    <w:rsid w:val="00965ACF"/>
    <w:rsid w:val="00970D08"/>
    <w:rsid w:val="0097561D"/>
    <w:rsid w:val="009834CE"/>
    <w:rsid w:val="009844B9"/>
    <w:rsid w:val="009909B2"/>
    <w:rsid w:val="00991107"/>
    <w:rsid w:val="009970C5"/>
    <w:rsid w:val="009A59CE"/>
    <w:rsid w:val="009B09D9"/>
    <w:rsid w:val="009C05D7"/>
    <w:rsid w:val="009C4240"/>
    <w:rsid w:val="009C449A"/>
    <w:rsid w:val="009D0D9B"/>
    <w:rsid w:val="009D18AC"/>
    <w:rsid w:val="009D787F"/>
    <w:rsid w:val="009E04E1"/>
    <w:rsid w:val="009E070E"/>
    <w:rsid w:val="009E34FE"/>
    <w:rsid w:val="009E367B"/>
    <w:rsid w:val="009E7066"/>
    <w:rsid w:val="009F3968"/>
    <w:rsid w:val="00A07A6E"/>
    <w:rsid w:val="00A07C06"/>
    <w:rsid w:val="00A2139C"/>
    <w:rsid w:val="00A240F9"/>
    <w:rsid w:val="00A26446"/>
    <w:rsid w:val="00A348B6"/>
    <w:rsid w:val="00A40A2E"/>
    <w:rsid w:val="00A40F0F"/>
    <w:rsid w:val="00A41B90"/>
    <w:rsid w:val="00A53B92"/>
    <w:rsid w:val="00A54EB9"/>
    <w:rsid w:val="00A56A19"/>
    <w:rsid w:val="00A56D7C"/>
    <w:rsid w:val="00A57ACA"/>
    <w:rsid w:val="00A6630C"/>
    <w:rsid w:val="00A7043E"/>
    <w:rsid w:val="00A70E87"/>
    <w:rsid w:val="00A81937"/>
    <w:rsid w:val="00A87AE4"/>
    <w:rsid w:val="00A95898"/>
    <w:rsid w:val="00A960A1"/>
    <w:rsid w:val="00AA04F5"/>
    <w:rsid w:val="00AA20A1"/>
    <w:rsid w:val="00AA43D1"/>
    <w:rsid w:val="00AA759F"/>
    <w:rsid w:val="00AA7AD5"/>
    <w:rsid w:val="00AC04D0"/>
    <w:rsid w:val="00AC78AE"/>
    <w:rsid w:val="00AD33E6"/>
    <w:rsid w:val="00AD4386"/>
    <w:rsid w:val="00AD5E1E"/>
    <w:rsid w:val="00AD6FAB"/>
    <w:rsid w:val="00AE0211"/>
    <w:rsid w:val="00AE26FA"/>
    <w:rsid w:val="00AE2CC4"/>
    <w:rsid w:val="00AE4DAC"/>
    <w:rsid w:val="00AF1258"/>
    <w:rsid w:val="00AF4863"/>
    <w:rsid w:val="00B11C0E"/>
    <w:rsid w:val="00B15CD9"/>
    <w:rsid w:val="00B24C47"/>
    <w:rsid w:val="00B4085A"/>
    <w:rsid w:val="00B471F6"/>
    <w:rsid w:val="00B479FC"/>
    <w:rsid w:val="00B65B45"/>
    <w:rsid w:val="00B7061E"/>
    <w:rsid w:val="00B712FB"/>
    <w:rsid w:val="00B756CD"/>
    <w:rsid w:val="00B7706B"/>
    <w:rsid w:val="00B83319"/>
    <w:rsid w:val="00B83C42"/>
    <w:rsid w:val="00B84EE2"/>
    <w:rsid w:val="00B87818"/>
    <w:rsid w:val="00B91D13"/>
    <w:rsid w:val="00B92876"/>
    <w:rsid w:val="00B94953"/>
    <w:rsid w:val="00B94CA4"/>
    <w:rsid w:val="00B957D9"/>
    <w:rsid w:val="00BC1421"/>
    <w:rsid w:val="00BD2F77"/>
    <w:rsid w:val="00BF00BE"/>
    <w:rsid w:val="00C0578B"/>
    <w:rsid w:val="00C059D0"/>
    <w:rsid w:val="00C14EAF"/>
    <w:rsid w:val="00C23754"/>
    <w:rsid w:val="00C248C3"/>
    <w:rsid w:val="00C30A71"/>
    <w:rsid w:val="00C31F40"/>
    <w:rsid w:val="00C32181"/>
    <w:rsid w:val="00C33411"/>
    <w:rsid w:val="00C36739"/>
    <w:rsid w:val="00C36A7E"/>
    <w:rsid w:val="00C37EBD"/>
    <w:rsid w:val="00C44D19"/>
    <w:rsid w:val="00C4649E"/>
    <w:rsid w:val="00C631AE"/>
    <w:rsid w:val="00C7663A"/>
    <w:rsid w:val="00C90FB7"/>
    <w:rsid w:val="00C96A05"/>
    <w:rsid w:val="00CA2F29"/>
    <w:rsid w:val="00CA7FCE"/>
    <w:rsid w:val="00CB02CC"/>
    <w:rsid w:val="00CB2E3C"/>
    <w:rsid w:val="00CC618E"/>
    <w:rsid w:val="00CC6C61"/>
    <w:rsid w:val="00CD18C9"/>
    <w:rsid w:val="00CD355C"/>
    <w:rsid w:val="00CD3A9C"/>
    <w:rsid w:val="00CD606A"/>
    <w:rsid w:val="00CE62E4"/>
    <w:rsid w:val="00CF069B"/>
    <w:rsid w:val="00CF25DA"/>
    <w:rsid w:val="00CF41C5"/>
    <w:rsid w:val="00D04EE9"/>
    <w:rsid w:val="00D26754"/>
    <w:rsid w:val="00D27630"/>
    <w:rsid w:val="00D302B2"/>
    <w:rsid w:val="00D35E15"/>
    <w:rsid w:val="00D46DAA"/>
    <w:rsid w:val="00D51B58"/>
    <w:rsid w:val="00D52521"/>
    <w:rsid w:val="00D55225"/>
    <w:rsid w:val="00D602D4"/>
    <w:rsid w:val="00D6562F"/>
    <w:rsid w:val="00D824A1"/>
    <w:rsid w:val="00D8425B"/>
    <w:rsid w:val="00D93106"/>
    <w:rsid w:val="00D95117"/>
    <w:rsid w:val="00DA156F"/>
    <w:rsid w:val="00DA1DA5"/>
    <w:rsid w:val="00DB28DE"/>
    <w:rsid w:val="00DB49A1"/>
    <w:rsid w:val="00DB49F0"/>
    <w:rsid w:val="00DB5514"/>
    <w:rsid w:val="00DB71AB"/>
    <w:rsid w:val="00DC1F7B"/>
    <w:rsid w:val="00DC681D"/>
    <w:rsid w:val="00DC7FC6"/>
    <w:rsid w:val="00DD764C"/>
    <w:rsid w:val="00DE00D4"/>
    <w:rsid w:val="00DE0653"/>
    <w:rsid w:val="00DE33DC"/>
    <w:rsid w:val="00DF0520"/>
    <w:rsid w:val="00E11F27"/>
    <w:rsid w:val="00E12820"/>
    <w:rsid w:val="00E12CFA"/>
    <w:rsid w:val="00E13F97"/>
    <w:rsid w:val="00E14256"/>
    <w:rsid w:val="00E142AF"/>
    <w:rsid w:val="00E1453E"/>
    <w:rsid w:val="00E1531D"/>
    <w:rsid w:val="00E17FD0"/>
    <w:rsid w:val="00E40213"/>
    <w:rsid w:val="00E40254"/>
    <w:rsid w:val="00E53A95"/>
    <w:rsid w:val="00E56148"/>
    <w:rsid w:val="00E56F92"/>
    <w:rsid w:val="00E572D3"/>
    <w:rsid w:val="00E60A3E"/>
    <w:rsid w:val="00E61DCB"/>
    <w:rsid w:val="00E705E2"/>
    <w:rsid w:val="00E77914"/>
    <w:rsid w:val="00E86F81"/>
    <w:rsid w:val="00E9468A"/>
    <w:rsid w:val="00E94D83"/>
    <w:rsid w:val="00E9601F"/>
    <w:rsid w:val="00E972F6"/>
    <w:rsid w:val="00EA4804"/>
    <w:rsid w:val="00EC7637"/>
    <w:rsid w:val="00ED5604"/>
    <w:rsid w:val="00EE2D1A"/>
    <w:rsid w:val="00EE5DF5"/>
    <w:rsid w:val="00EF6D9D"/>
    <w:rsid w:val="00F0263C"/>
    <w:rsid w:val="00F03D11"/>
    <w:rsid w:val="00F10BEC"/>
    <w:rsid w:val="00F10FA9"/>
    <w:rsid w:val="00F14C24"/>
    <w:rsid w:val="00F15C00"/>
    <w:rsid w:val="00F16E88"/>
    <w:rsid w:val="00F2015C"/>
    <w:rsid w:val="00F20C2E"/>
    <w:rsid w:val="00F23828"/>
    <w:rsid w:val="00F24A5B"/>
    <w:rsid w:val="00F35D3B"/>
    <w:rsid w:val="00F37243"/>
    <w:rsid w:val="00F409D1"/>
    <w:rsid w:val="00F451FF"/>
    <w:rsid w:val="00F46009"/>
    <w:rsid w:val="00F50B07"/>
    <w:rsid w:val="00F50FEF"/>
    <w:rsid w:val="00F5591D"/>
    <w:rsid w:val="00F56979"/>
    <w:rsid w:val="00F66A36"/>
    <w:rsid w:val="00F67023"/>
    <w:rsid w:val="00F6759D"/>
    <w:rsid w:val="00F71666"/>
    <w:rsid w:val="00F82A9A"/>
    <w:rsid w:val="00F97081"/>
    <w:rsid w:val="00FA48A1"/>
    <w:rsid w:val="00FA660D"/>
    <w:rsid w:val="00FA6B32"/>
    <w:rsid w:val="00FB0826"/>
    <w:rsid w:val="00FB2FEB"/>
    <w:rsid w:val="00FB4858"/>
    <w:rsid w:val="00FC346B"/>
    <w:rsid w:val="00FC4448"/>
    <w:rsid w:val="00FD36A9"/>
    <w:rsid w:val="00FD4402"/>
    <w:rsid w:val="00FE08D4"/>
    <w:rsid w:val="00FE22FC"/>
    <w:rsid w:val="00FE7A2E"/>
    <w:rsid w:val="00FF1F9E"/>
    <w:rsid w:val="00FF39D0"/>
    <w:rsid w:val="01C74429"/>
    <w:rsid w:val="02616C95"/>
    <w:rsid w:val="02896DBE"/>
    <w:rsid w:val="03291AE1"/>
    <w:rsid w:val="037075F3"/>
    <w:rsid w:val="037C5E33"/>
    <w:rsid w:val="03A60CAA"/>
    <w:rsid w:val="0521382A"/>
    <w:rsid w:val="05744A93"/>
    <w:rsid w:val="05972571"/>
    <w:rsid w:val="05DA5576"/>
    <w:rsid w:val="05E03F01"/>
    <w:rsid w:val="05F6669A"/>
    <w:rsid w:val="06F215E6"/>
    <w:rsid w:val="072904AF"/>
    <w:rsid w:val="074A0B57"/>
    <w:rsid w:val="0792677C"/>
    <w:rsid w:val="080F3B0E"/>
    <w:rsid w:val="0876580D"/>
    <w:rsid w:val="08B077B5"/>
    <w:rsid w:val="08B131D3"/>
    <w:rsid w:val="08FB5417"/>
    <w:rsid w:val="0B075BF8"/>
    <w:rsid w:val="0C0D02DE"/>
    <w:rsid w:val="0C657325"/>
    <w:rsid w:val="0C964143"/>
    <w:rsid w:val="0CC47EE3"/>
    <w:rsid w:val="0CF50C04"/>
    <w:rsid w:val="0D2279F2"/>
    <w:rsid w:val="0E400AC9"/>
    <w:rsid w:val="0E724AB0"/>
    <w:rsid w:val="0EFB26E0"/>
    <w:rsid w:val="0F0767AD"/>
    <w:rsid w:val="0F565BA0"/>
    <w:rsid w:val="0FB77AC3"/>
    <w:rsid w:val="0FE7418B"/>
    <w:rsid w:val="10D8099A"/>
    <w:rsid w:val="11592356"/>
    <w:rsid w:val="117D5116"/>
    <w:rsid w:val="11867B99"/>
    <w:rsid w:val="11C73426"/>
    <w:rsid w:val="124D3D00"/>
    <w:rsid w:val="131A3898"/>
    <w:rsid w:val="133925EE"/>
    <w:rsid w:val="13A5549A"/>
    <w:rsid w:val="14545057"/>
    <w:rsid w:val="14F16B6C"/>
    <w:rsid w:val="1555006C"/>
    <w:rsid w:val="15C30A3C"/>
    <w:rsid w:val="15EF7275"/>
    <w:rsid w:val="161D7B08"/>
    <w:rsid w:val="16F73501"/>
    <w:rsid w:val="176741D7"/>
    <w:rsid w:val="176E5BB7"/>
    <w:rsid w:val="178F28FC"/>
    <w:rsid w:val="17F0630A"/>
    <w:rsid w:val="182E2073"/>
    <w:rsid w:val="192C5E5E"/>
    <w:rsid w:val="199F2C6A"/>
    <w:rsid w:val="19A8612C"/>
    <w:rsid w:val="1A3653AD"/>
    <w:rsid w:val="1AB412C9"/>
    <w:rsid w:val="1BA567E5"/>
    <w:rsid w:val="1C7F3AC9"/>
    <w:rsid w:val="1E025805"/>
    <w:rsid w:val="1E421CAE"/>
    <w:rsid w:val="1E6D7DDF"/>
    <w:rsid w:val="1EF62A2B"/>
    <w:rsid w:val="1F1D0898"/>
    <w:rsid w:val="1F226CEB"/>
    <w:rsid w:val="1FD41178"/>
    <w:rsid w:val="20A15A0F"/>
    <w:rsid w:val="20C92502"/>
    <w:rsid w:val="20F645A7"/>
    <w:rsid w:val="212E1C9F"/>
    <w:rsid w:val="21742E13"/>
    <w:rsid w:val="222976A2"/>
    <w:rsid w:val="22B31CC2"/>
    <w:rsid w:val="22C32C66"/>
    <w:rsid w:val="22C94AB1"/>
    <w:rsid w:val="232D2C13"/>
    <w:rsid w:val="23CE379E"/>
    <w:rsid w:val="240669E8"/>
    <w:rsid w:val="24621F57"/>
    <w:rsid w:val="259E643A"/>
    <w:rsid w:val="25B85697"/>
    <w:rsid w:val="25DD16D0"/>
    <w:rsid w:val="26D43E95"/>
    <w:rsid w:val="27287D28"/>
    <w:rsid w:val="27463424"/>
    <w:rsid w:val="27803B53"/>
    <w:rsid w:val="27FC49A0"/>
    <w:rsid w:val="28422ADC"/>
    <w:rsid w:val="29287FCB"/>
    <w:rsid w:val="29732AC2"/>
    <w:rsid w:val="299B7725"/>
    <w:rsid w:val="2A0439F7"/>
    <w:rsid w:val="2AC161C6"/>
    <w:rsid w:val="2AED118C"/>
    <w:rsid w:val="2B4504CE"/>
    <w:rsid w:val="2B5A7AB0"/>
    <w:rsid w:val="2BD549C8"/>
    <w:rsid w:val="2C224DF4"/>
    <w:rsid w:val="2CF15282"/>
    <w:rsid w:val="2D423659"/>
    <w:rsid w:val="2D97A03A"/>
    <w:rsid w:val="2DCF441E"/>
    <w:rsid w:val="2E6860DE"/>
    <w:rsid w:val="2EA0407A"/>
    <w:rsid w:val="2EA91CED"/>
    <w:rsid w:val="2EB24723"/>
    <w:rsid w:val="2EF44A22"/>
    <w:rsid w:val="2F8E12EB"/>
    <w:rsid w:val="302A27BA"/>
    <w:rsid w:val="30905E7D"/>
    <w:rsid w:val="32982F7A"/>
    <w:rsid w:val="33851EE4"/>
    <w:rsid w:val="33A617B6"/>
    <w:rsid w:val="33AA0D8D"/>
    <w:rsid w:val="3496164A"/>
    <w:rsid w:val="353E3C04"/>
    <w:rsid w:val="35697FAE"/>
    <w:rsid w:val="361C5488"/>
    <w:rsid w:val="36277760"/>
    <w:rsid w:val="3643593D"/>
    <w:rsid w:val="377400A1"/>
    <w:rsid w:val="37F261D9"/>
    <w:rsid w:val="391B0994"/>
    <w:rsid w:val="393F54F4"/>
    <w:rsid w:val="39AF1BFE"/>
    <w:rsid w:val="3A62709C"/>
    <w:rsid w:val="3AA4585A"/>
    <w:rsid w:val="3B03774F"/>
    <w:rsid w:val="3E81559E"/>
    <w:rsid w:val="3F0D7E49"/>
    <w:rsid w:val="3FF87F3E"/>
    <w:rsid w:val="40203B37"/>
    <w:rsid w:val="409D51FC"/>
    <w:rsid w:val="40F51F2D"/>
    <w:rsid w:val="411E5E23"/>
    <w:rsid w:val="41305F1F"/>
    <w:rsid w:val="415C4D4A"/>
    <w:rsid w:val="42657E4B"/>
    <w:rsid w:val="42B76638"/>
    <w:rsid w:val="42EF0140"/>
    <w:rsid w:val="43466DBD"/>
    <w:rsid w:val="43534881"/>
    <w:rsid w:val="44645FBA"/>
    <w:rsid w:val="45357A7E"/>
    <w:rsid w:val="45546BAD"/>
    <w:rsid w:val="458645A0"/>
    <w:rsid w:val="45CE6E03"/>
    <w:rsid w:val="46413378"/>
    <w:rsid w:val="4655234B"/>
    <w:rsid w:val="468E6088"/>
    <w:rsid w:val="47592689"/>
    <w:rsid w:val="476F1539"/>
    <w:rsid w:val="47B83506"/>
    <w:rsid w:val="48080E5E"/>
    <w:rsid w:val="488D0297"/>
    <w:rsid w:val="48AD4FD5"/>
    <w:rsid w:val="49084596"/>
    <w:rsid w:val="491F01DC"/>
    <w:rsid w:val="496974FE"/>
    <w:rsid w:val="499E7BE2"/>
    <w:rsid w:val="49E815AF"/>
    <w:rsid w:val="4AE006ED"/>
    <w:rsid w:val="4B117526"/>
    <w:rsid w:val="4C1932FD"/>
    <w:rsid w:val="4C3E5F1D"/>
    <w:rsid w:val="4C6801C5"/>
    <w:rsid w:val="4CC67D91"/>
    <w:rsid w:val="4CC76FA6"/>
    <w:rsid w:val="4CE604A5"/>
    <w:rsid w:val="4D2B6F93"/>
    <w:rsid w:val="4D683943"/>
    <w:rsid w:val="4DB90F6B"/>
    <w:rsid w:val="4DD41B98"/>
    <w:rsid w:val="4E595C24"/>
    <w:rsid w:val="4EE9105C"/>
    <w:rsid w:val="514D5616"/>
    <w:rsid w:val="5181380A"/>
    <w:rsid w:val="51E24D39"/>
    <w:rsid w:val="5237549D"/>
    <w:rsid w:val="53A71380"/>
    <w:rsid w:val="53EC41EC"/>
    <w:rsid w:val="55834E1E"/>
    <w:rsid w:val="564D6984"/>
    <w:rsid w:val="57466826"/>
    <w:rsid w:val="5805695D"/>
    <w:rsid w:val="58734527"/>
    <w:rsid w:val="59DF6790"/>
    <w:rsid w:val="59EA74F5"/>
    <w:rsid w:val="59EC2C30"/>
    <w:rsid w:val="5B13696F"/>
    <w:rsid w:val="5B2443B5"/>
    <w:rsid w:val="5B522877"/>
    <w:rsid w:val="5D4F5B27"/>
    <w:rsid w:val="5D604EFE"/>
    <w:rsid w:val="5D702064"/>
    <w:rsid w:val="5DAA4B3E"/>
    <w:rsid w:val="5E1368E8"/>
    <w:rsid w:val="5E8C7A96"/>
    <w:rsid w:val="5F7B1E6D"/>
    <w:rsid w:val="5FE12409"/>
    <w:rsid w:val="60753C6B"/>
    <w:rsid w:val="611618B9"/>
    <w:rsid w:val="61B70326"/>
    <w:rsid w:val="625A0384"/>
    <w:rsid w:val="62827CDB"/>
    <w:rsid w:val="62B14952"/>
    <w:rsid w:val="62FF30A6"/>
    <w:rsid w:val="63306C68"/>
    <w:rsid w:val="641E4B95"/>
    <w:rsid w:val="643B2965"/>
    <w:rsid w:val="649F7805"/>
    <w:rsid w:val="64E51BBA"/>
    <w:rsid w:val="65C302D3"/>
    <w:rsid w:val="65FE2CB0"/>
    <w:rsid w:val="661E420F"/>
    <w:rsid w:val="675D4507"/>
    <w:rsid w:val="67671EF8"/>
    <w:rsid w:val="679A1B77"/>
    <w:rsid w:val="68B1027B"/>
    <w:rsid w:val="68C10338"/>
    <w:rsid w:val="690C4DD1"/>
    <w:rsid w:val="69DF5C9B"/>
    <w:rsid w:val="69FB08CA"/>
    <w:rsid w:val="6A21367E"/>
    <w:rsid w:val="6A2A4B2B"/>
    <w:rsid w:val="6AD442F7"/>
    <w:rsid w:val="6B0A5EA1"/>
    <w:rsid w:val="6B8A7BA7"/>
    <w:rsid w:val="6BDA51AF"/>
    <w:rsid w:val="6C046D96"/>
    <w:rsid w:val="6C686670"/>
    <w:rsid w:val="6E3B1D5D"/>
    <w:rsid w:val="6E7C509D"/>
    <w:rsid w:val="6ECA1DC6"/>
    <w:rsid w:val="6F10777B"/>
    <w:rsid w:val="6F261B3D"/>
    <w:rsid w:val="6F7C559F"/>
    <w:rsid w:val="6F7D1E6F"/>
    <w:rsid w:val="70F146D6"/>
    <w:rsid w:val="71612128"/>
    <w:rsid w:val="71624803"/>
    <w:rsid w:val="720215A8"/>
    <w:rsid w:val="726613AA"/>
    <w:rsid w:val="728E1363"/>
    <w:rsid w:val="729C5939"/>
    <w:rsid w:val="732D0090"/>
    <w:rsid w:val="73427C3D"/>
    <w:rsid w:val="735131B0"/>
    <w:rsid w:val="73C54328"/>
    <w:rsid w:val="7440362D"/>
    <w:rsid w:val="74445B5A"/>
    <w:rsid w:val="74B773E6"/>
    <w:rsid w:val="74BA522D"/>
    <w:rsid w:val="7557683C"/>
    <w:rsid w:val="75C57C17"/>
    <w:rsid w:val="77166A4E"/>
    <w:rsid w:val="77293A31"/>
    <w:rsid w:val="77353ADC"/>
    <w:rsid w:val="778257DC"/>
    <w:rsid w:val="778F1EAB"/>
    <w:rsid w:val="78452133"/>
    <w:rsid w:val="78532685"/>
    <w:rsid w:val="78857EAF"/>
    <w:rsid w:val="78C56927"/>
    <w:rsid w:val="7C172BB8"/>
    <w:rsid w:val="7C4D0079"/>
    <w:rsid w:val="7CB94F00"/>
    <w:rsid w:val="7DF33C1A"/>
    <w:rsid w:val="7E865DC2"/>
    <w:rsid w:val="7F0B4EAB"/>
    <w:rsid w:val="7F342FF8"/>
    <w:rsid w:val="7F783928"/>
    <w:rsid w:val="7FD14C5B"/>
    <w:rsid w:val="FFFFE3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ind w:left="100" w:leftChars="100"/>
      <w:outlineLvl w:val="1"/>
    </w:pPr>
    <w:rPr>
      <w:rFonts w:eastAsia="华文楷体" w:asciiTheme="majorHAnsi" w:hAnsiTheme="majorHAnsi" w:cstheme="majorBidi"/>
      <w:b/>
      <w:bCs/>
      <w:sz w:val="28"/>
      <w:szCs w:val="32"/>
    </w:rPr>
  </w:style>
  <w:style w:type="paragraph" w:styleId="5">
    <w:name w:val="heading 3"/>
    <w:basedOn w:val="1"/>
    <w:next w:val="1"/>
    <w:link w:val="25"/>
    <w:unhideWhenUsed/>
    <w:qFormat/>
    <w:uiPriority w:val="9"/>
    <w:pPr>
      <w:keepNext/>
      <w:keepLines/>
      <w:spacing w:before="260" w:after="260" w:line="560" w:lineRule="exact"/>
      <w:ind w:firstLine="560" w:firstLineChars="200"/>
      <w:outlineLvl w:val="2"/>
    </w:pPr>
    <w:rPr>
      <w:rFonts w:ascii="华文仿宋" w:hAnsi="华文仿宋" w:eastAsia="华文仿宋"/>
      <w:b/>
      <w:bCs/>
      <w:sz w:val="28"/>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textAlignment w:val="baseline"/>
    </w:pPr>
    <w:rPr>
      <w:rFonts w:ascii="Arial" w:hAnsi="Arial" w:eastAsia="宋体" w:cs="Arial"/>
      <w:b/>
      <w:bCs/>
      <w:sz w:val="32"/>
      <w:szCs w:val="32"/>
    </w:rPr>
  </w:style>
  <w:style w:type="paragraph" w:styleId="6">
    <w:name w:val="toc 7"/>
    <w:basedOn w:val="1"/>
    <w:next w:val="1"/>
    <w:unhideWhenUsed/>
    <w:qFormat/>
    <w:uiPriority w:val="39"/>
    <w:pPr>
      <w:ind w:left="2520" w:leftChars="1200"/>
    </w:pPr>
  </w:style>
  <w:style w:type="paragraph" w:styleId="7">
    <w:name w:val="Body Text Indent"/>
    <w:basedOn w:val="1"/>
    <w:link w:val="34"/>
    <w:semiHidden/>
    <w:unhideWhenUsed/>
    <w:qFormat/>
    <w:uiPriority w:val="99"/>
    <w:pPr>
      <w:spacing w:after="120"/>
      <w:ind w:left="420" w:leftChars="200"/>
    </w:p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ind w:left="2940" w:leftChars="1400"/>
    </w:pPr>
  </w:style>
  <w:style w:type="paragraph" w:styleId="11">
    <w:name w:val="Balloon Text"/>
    <w:basedOn w:val="1"/>
    <w:link w:val="31"/>
    <w:semiHidden/>
    <w:unhideWhenUsed/>
    <w:qFormat/>
    <w:uiPriority w:val="99"/>
    <w:rPr>
      <w:rFonts w:ascii="Heiti SC Light" w:eastAsia="Heiti SC Light"/>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ind w:left="1260" w:leftChars="600"/>
    </w:pPr>
  </w:style>
  <w:style w:type="paragraph" w:styleId="16">
    <w:name w:val="toc 6"/>
    <w:basedOn w:val="1"/>
    <w:next w:val="1"/>
    <w:unhideWhenUsed/>
    <w:qFormat/>
    <w:uiPriority w:val="39"/>
    <w:pPr>
      <w:ind w:left="2100" w:leftChars="1000"/>
    </w:pPr>
  </w:style>
  <w:style w:type="paragraph" w:styleId="17">
    <w:name w:val="table of figures"/>
    <w:basedOn w:val="1"/>
    <w:next w:val="1"/>
    <w:semiHidden/>
    <w:unhideWhenUsed/>
    <w:qFormat/>
    <w:uiPriority w:val="99"/>
    <w:pPr>
      <w:ind w:left="200" w:leftChars="200" w:hanging="200" w:hangingChars="200"/>
    </w:pPr>
  </w:style>
  <w:style w:type="paragraph" w:styleId="18">
    <w:name w:val="toc 2"/>
    <w:basedOn w:val="1"/>
    <w:next w:val="1"/>
    <w:unhideWhenUsed/>
    <w:qFormat/>
    <w:uiPriority w:val="39"/>
    <w:pPr>
      <w:ind w:left="420" w:leftChars="200"/>
    </w:pPr>
  </w:style>
  <w:style w:type="paragraph" w:styleId="19">
    <w:name w:val="toc 9"/>
    <w:basedOn w:val="1"/>
    <w:next w:val="1"/>
    <w:unhideWhenUsed/>
    <w:qFormat/>
    <w:uiPriority w:val="39"/>
    <w:pPr>
      <w:ind w:left="3360" w:leftChars="1600"/>
    </w:p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paragraph" w:styleId="21">
    <w:name w:val="Body Text First Indent 2"/>
    <w:basedOn w:val="7"/>
    <w:link w:val="35"/>
    <w:qFormat/>
    <w:uiPriority w:val="0"/>
    <w:pPr>
      <w:spacing w:after="0"/>
      <w:ind w:left="0" w:leftChars="0" w:firstLine="640" w:firstLineChars="200"/>
    </w:pPr>
    <w:rPr>
      <w:rFonts w:ascii="仿宋_GB2312" w:hAnsi="仿宋_GB2312" w:eastAsia="仿宋_GB2312" w:cs="仿宋"/>
      <w:sz w:val="32"/>
      <w:szCs w:val="20"/>
    </w:r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customStyle="1" w:styleId="25">
    <w:name w:val="标题 3 字符"/>
    <w:basedOn w:val="23"/>
    <w:link w:val="5"/>
    <w:qFormat/>
    <w:uiPriority w:val="0"/>
    <w:rPr>
      <w:rFonts w:ascii="华文仿宋" w:hAnsi="华文仿宋" w:eastAsia="华文仿宋"/>
      <w:b/>
      <w:bCs/>
      <w:sz w:val="28"/>
      <w:szCs w:val="32"/>
    </w:rPr>
  </w:style>
  <w:style w:type="character" w:customStyle="1" w:styleId="26">
    <w:name w:val="标题 1 字符"/>
    <w:basedOn w:val="23"/>
    <w:link w:val="3"/>
    <w:qFormat/>
    <w:uiPriority w:val="9"/>
    <w:rPr>
      <w:b/>
      <w:bCs/>
      <w:kern w:val="44"/>
      <w:sz w:val="44"/>
      <w:szCs w:val="44"/>
    </w:rPr>
  </w:style>
  <w:style w:type="character" w:customStyle="1" w:styleId="27">
    <w:name w:val="标题 2 字符"/>
    <w:basedOn w:val="23"/>
    <w:link w:val="4"/>
    <w:qFormat/>
    <w:uiPriority w:val="9"/>
    <w:rPr>
      <w:rFonts w:eastAsia="华文楷体" w:asciiTheme="majorHAnsi" w:hAnsiTheme="majorHAnsi" w:cstheme="majorBidi"/>
      <w:b/>
      <w:bCs/>
      <w:sz w:val="28"/>
      <w:szCs w:val="32"/>
    </w:rPr>
  </w:style>
  <w:style w:type="character" w:customStyle="1" w:styleId="28">
    <w:name w:val="页眉 字符"/>
    <w:basedOn w:val="23"/>
    <w:link w:val="13"/>
    <w:qFormat/>
    <w:uiPriority w:val="99"/>
    <w:rPr>
      <w:sz w:val="18"/>
      <w:szCs w:val="18"/>
    </w:rPr>
  </w:style>
  <w:style w:type="character" w:customStyle="1" w:styleId="29">
    <w:name w:val="页脚 字符"/>
    <w:basedOn w:val="23"/>
    <w:link w:val="12"/>
    <w:qFormat/>
    <w:uiPriority w:val="99"/>
    <w:rPr>
      <w:sz w:val="18"/>
      <w:szCs w:val="18"/>
    </w:rPr>
  </w:style>
  <w:style w:type="paragraph" w:customStyle="1" w:styleId="3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1">
    <w:name w:val="批注框文本 字符"/>
    <w:basedOn w:val="23"/>
    <w:link w:val="11"/>
    <w:semiHidden/>
    <w:qFormat/>
    <w:uiPriority w:val="99"/>
    <w:rPr>
      <w:rFonts w:ascii="Heiti SC Light" w:eastAsia="Heiti SC Light"/>
      <w:sz w:val="18"/>
      <w:szCs w:val="18"/>
    </w:rPr>
  </w:style>
  <w:style w:type="character" w:customStyle="1" w:styleId="32">
    <w:name w:val="未处理的提及1"/>
    <w:basedOn w:val="23"/>
    <w:semiHidden/>
    <w:unhideWhenUsed/>
    <w:qFormat/>
    <w:uiPriority w:val="99"/>
    <w:rPr>
      <w:color w:val="605E5C"/>
      <w:shd w:val="clear" w:color="auto" w:fill="E1DFDD"/>
    </w:rPr>
  </w:style>
  <w:style w:type="character" w:customStyle="1" w:styleId="33">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34">
    <w:name w:val="正文文本缩进 字符"/>
    <w:basedOn w:val="23"/>
    <w:link w:val="7"/>
    <w:semiHidden/>
    <w:qFormat/>
    <w:uiPriority w:val="99"/>
  </w:style>
  <w:style w:type="character" w:customStyle="1" w:styleId="35">
    <w:name w:val="正文文本首行缩进 2 字符"/>
    <w:basedOn w:val="34"/>
    <w:link w:val="21"/>
    <w:qFormat/>
    <w:uiPriority w:val="0"/>
    <w:rPr>
      <w:rFonts w:ascii="仿宋_GB2312" w:hAnsi="仿宋_GB2312" w:eastAsia="仿宋_GB2312" w:cs="仿宋"/>
      <w:sz w:val="32"/>
      <w:szCs w:val="20"/>
    </w:rPr>
  </w:style>
  <w:style w:type="paragraph" w:customStyle="1" w:styleId="36">
    <w:name w:val="Body text|1"/>
    <w:basedOn w:val="1"/>
    <w:qFormat/>
    <w:uiPriority w:val="0"/>
    <w:pPr>
      <w:spacing w:line="425" w:lineRule="auto"/>
    </w:pPr>
    <w:rPr>
      <w:rFonts w:ascii="宋体" w:hAnsi="宋体" w:eastAsia="宋体" w:cs="宋体"/>
      <w:sz w:val="60"/>
      <w:szCs w:val="6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20060</Words>
  <Characters>20431</Characters>
  <Lines>166</Lines>
  <Paragraphs>46</Paragraphs>
  <TotalTime>18</TotalTime>
  <ScaleCrop>false</ScaleCrop>
  <LinksUpToDate>false</LinksUpToDate>
  <CharactersWithSpaces>20932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2021-05-27T17:05:00Z</dcterms:created>
  <dc:creator>冷 永生</dc:creator>
  <cp:lastModifiedBy>baixin</cp:lastModifiedBy>
  <cp:lastPrinted>2022-06-06T18:25:00Z</cp:lastPrinted>
  <dcterms:modified xsi:type="dcterms:W3CDTF">2025-10-15T17:27:21Z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DD08BB96B63C4842B4B959094FDF0607</vt:lpwstr>
  </property>
</Properties>
</file>