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宋体" w:cs="宋体"/>
          <w:b/>
          <w:bCs/>
          <w:i w:val="0"/>
          <w:iCs w:val="0"/>
          <w:caps w:val="0"/>
          <w:color w:val="333333"/>
          <w:spacing w:val="0"/>
          <w:sz w:val="36"/>
          <w:szCs w:val="36"/>
          <w:shd w:val="clear" w:color="auto" w:fill="FFFFFF"/>
        </w:rPr>
      </w:pPr>
      <w:bookmarkStart w:id="0" w:name="_GoBack"/>
      <w:bookmarkEnd w:id="0"/>
      <w:r>
        <w:rPr>
          <w:rFonts w:hint="eastAsia" w:ascii="宋体" w:hAnsi="宋体" w:cs="宋体"/>
          <w:b/>
          <w:bCs/>
          <w:i w:val="0"/>
          <w:iCs w:val="0"/>
          <w:caps w:val="0"/>
          <w:color w:val="333333"/>
          <w:spacing w:val="0"/>
          <w:sz w:val="36"/>
          <w:szCs w:val="36"/>
          <w:shd w:val="clear" w:color="auto" w:fill="FFFFFF"/>
          <w:lang w:eastAsia="zh-CN"/>
        </w:rPr>
        <w:t>阳泉市人民政府办公室</w:t>
      </w:r>
      <w:r>
        <w:rPr>
          <w:rFonts w:hint="eastAsia" w:ascii="宋体" w:hAnsi="宋体" w:cs="宋体"/>
          <w:b/>
          <w:bCs/>
          <w:i w:val="0"/>
          <w:iCs w:val="0"/>
          <w:caps w:val="0"/>
          <w:color w:val="333333"/>
          <w:spacing w:val="0"/>
          <w:sz w:val="36"/>
          <w:szCs w:val="36"/>
          <w:shd w:val="clear" w:color="auto" w:fill="FFFFFF"/>
          <w:lang w:val="en-US" w:eastAsia="zh-CN"/>
        </w:rPr>
        <w:t>2021年</w:t>
      </w:r>
      <w:r>
        <w:rPr>
          <w:rFonts w:hint="eastAsia" w:ascii="宋体" w:hAnsi="宋体" w:eastAsia="宋体" w:cs="宋体"/>
          <w:b/>
          <w:bCs/>
          <w:i w:val="0"/>
          <w:iCs w:val="0"/>
          <w:caps w:val="0"/>
          <w:color w:val="333333"/>
          <w:spacing w:val="0"/>
          <w:sz w:val="36"/>
          <w:szCs w:val="36"/>
          <w:shd w:val="clear" w:color="auto" w:fill="FFFFFF"/>
        </w:rPr>
        <w:t>政府信息公开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宋体" w:cs="宋体"/>
          <w:b/>
          <w:bCs/>
          <w:i w:val="0"/>
          <w:iCs w:val="0"/>
          <w:caps w:val="0"/>
          <w:color w:val="333333"/>
          <w:spacing w:val="0"/>
          <w:sz w:val="36"/>
          <w:szCs w:val="36"/>
          <w:shd w:val="clear" w:color="auto" w:fill="FFFFFF"/>
        </w:rPr>
      </w:pPr>
      <w:r>
        <w:rPr>
          <w:rFonts w:hint="eastAsia" w:ascii="宋体" w:hAnsi="宋体" w:eastAsia="宋体" w:cs="宋体"/>
          <w:b/>
          <w:bCs/>
          <w:i w:val="0"/>
          <w:iCs w:val="0"/>
          <w:caps w:val="0"/>
          <w:color w:val="333333"/>
          <w:spacing w:val="0"/>
          <w:sz w:val="36"/>
          <w:szCs w:val="36"/>
          <w:shd w:val="clear" w:color="auto" w:fill="FFFFFF"/>
        </w:rPr>
        <w:t>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宋体" w:cs="宋体"/>
          <w:b/>
          <w:bCs/>
          <w:i w:val="0"/>
          <w:iCs w:val="0"/>
          <w:caps w:val="0"/>
          <w:color w:val="333333"/>
          <w:spacing w:val="0"/>
          <w:sz w:val="36"/>
          <w:szCs w:val="36"/>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10" w:lineRule="exact"/>
        <w:ind w:firstLine="64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仿宋" w:hAnsi="仿宋" w:eastAsia="仿宋" w:cs="仿宋"/>
          <w:color w:val="000000"/>
          <w:sz w:val="32"/>
          <w:szCs w:val="32"/>
          <w:lang w:bidi="ar"/>
        </w:rPr>
        <w:t>根据《中华人民共和国政府信息公开条例》</w:t>
      </w:r>
      <w:r>
        <w:rPr>
          <w:rFonts w:hint="eastAsia" w:ascii="仿宋" w:hAnsi="仿宋" w:eastAsia="仿宋" w:cs="仿宋"/>
          <w:color w:val="000000"/>
          <w:sz w:val="32"/>
          <w:szCs w:val="32"/>
          <w:lang w:eastAsia="zh-CN" w:bidi="ar"/>
        </w:rPr>
        <w:t>规定，现公布阳泉市人民政府办公室</w:t>
      </w:r>
      <w:r>
        <w:rPr>
          <w:rFonts w:hint="eastAsia" w:ascii="仿宋" w:hAnsi="仿宋" w:eastAsia="仿宋" w:cs="仿宋"/>
          <w:color w:val="000000"/>
          <w:sz w:val="32"/>
          <w:szCs w:val="32"/>
          <w:lang w:val="en-US" w:eastAsia="zh-CN" w:bidi="ar"/>
        </w:rPr>
        <w:t>2021年政府信息公开工作年度报告</w:t>
      </w:r>
      <w:r>
        <w:rPr>
          <w:rFonts w:hint="eastAsia" w:ascii="仿宋" w:hAnsi="仿宋" w:eastAsia="仿宋" w:cs="仿宋"/>
          <w:color w:val="000000"/>
          <w:sz w:val="32"/>
          <w:szCs w:val="32"/>
          <w:lang w:bidi="ar"/>
        </w:rPr>
        <w:t>。</w:t>
      </w:r>
      <w:r>
        <w:rPr>
          <w:rFonts w:hint="eastAsia" w:ascii="仿宋" w:hAnsi="仿宋" w:eastAsia="仿宋" w:cs="仿宋"/>
          <w:color w:val="000000"/>
          <w:sz w:val="32"/>
          <w:szCs w:val="32"/>
          <w:lang w:eastAsia="zh-CN" w:bidi="ar"/>
        </w:rPr>
        <w:t>本报告</w:t>
      </w:r>
      <w:r>
        <w:rPr>
          <w:rFonts w:hint="eastAsia" w:ascii="仿宋" w:hAnsi="仿宋" w:eastAsia="仿宋" w:cs="仿宋"/>
          <w:color w:val="000000"/>
          <w:sz w:val="32"/>
          <w:szCs w:val="32"/>
          <w:lang w:bidi="ar"/>
        </w:rPr>
        <w:t>由总体情况</w:t>
      </w:r>
      <w:r>
        <w:rPr>
          <w:rFonts w:hint="eastAsia" w:ascii="仿宋" w:hAnsi="仿宋" w:eastAsia="仿宋" w:cs="仿宋"/>
          <w:color w:val="000000"/>
          <w:sz w:val="32"/>
          <w:szCs w:val="32"/>
          <w:lang w:eastAsia="zh-CN" w:bidi="ar"/>
        </w:rPr>
        <w:t>，</w:t>
      </w:r>
      <w:r>
        <w:rPr>
          <w:rFonts w:hint="eastAsia" w:ascii="仿宋" w:hAnsi="仿宋" w:eastAsia="仿宋" w:cs="仿宋"/>
          <w:color w:val="000000"/>
          <w:sz w:val="32"/>
          <w:szCs w:val="32"/>
          <w:lang w:bidi="ar"/>
        </w:rPr>
        <w:t>主动公开政府信息情况</w:t>
      </w:r>
      <w:r>
        <w:rPr>
          <w:rFonts w:hint="eastAsia" w:ascii="仿宋" w:hAnsi="仿宋" w:eastAsia="仿宋" w:cs="仿宋"/>
          <w:color w:val="000000"/>
          <w:sz w:val="32"/>
          <w:szCs w:val="32"/>
          <w:lang w:eastAsia="zh-CN" w:bidi="ar"/>
        </w:rPr>
        <w:t>，</w:t>
      </w:r>
      <w:r>
        <w:rPr>
          <w:rFonts w:hint="eastAsia" w:ascii="仿宋" w:hAnsi="仿宋" w:eastAsia="仿宋" w:cs="仿宋"/>
          <w:color w:val="000000"/>
          <w:sz w:val="32"/>
          <w:szCs w:val="32"/>
          <w:lang w:bidi="ar"/>
        </w:rPr>
        <w:t>收到和处理政府信息公开申请情况</w:t>
      </w:r>
      <w:r>
        <w:rPr>
          <w:rFonts w:hint="eastAsia" w:ascii="仿宋" w:hAnsi="仿宋" w:eastAsia="仿宋" w:cs="仿宋"/>
          <w:color w:val="000000"/>
          <w:sz w:val="32"/>
          <w:szCs w:val="32"/>
          <w:lang w:eastAsia="zh-CN" w:bidi="ar"/>
        </w:rPr>
        <w:t>，</w:t>
      </w:r>
      <w:r>
        <w:rPr>
          <w:rFonts w:hint="eastAsia" w:ascii="仿宋" w:hAnsi="仿宋" w:eastAsia="仿宋" w:cs="仿宋"/>
          <w:color w:val="000000"/>
          <w:sz w:val="32"/>
          <w:szCs w:val="32"/>
          <w:lang w:bidi="ar"/>
        </w:rPr>
        <w:t>政府信息公开行政复议、行政诉讼情况</w:t>
      </w:r>
      <w:r>
        <w:rPr>
          <w:rFonts w:hint="eastAsia" w:ascii="仿宋" w:hAnsi="仿宋" w:eastAsia="仿宋" w:cs="仿宋"/>
          <w:color w:val="000000"/>
          <w:sz w:val="32"/>
          <w:szCs w:val="32"/>
          <w:lang w:eastAsia="zh-CN" w:bidi="ar"/>
        </w:rPr>
        <w:t>，</w:t>
      </w:r>
      <w:r>
        <w:rPr>
          <w:rFonts w:hint="eastAsia" w:ascii="仿宋" w:hAnsi="仿宋" w:eastAsia="仿宋" w:cs="仿宋"/>
          <w:color w:val="000000"/>
          <w:sz w:val="32"/>
          <w:szCs w:val="32"/>
          <w:lang w:bidi="ar"/>
        </w:rPr>
        <w:t>存在的主要问题及改进情况、其他需要报告的事项六部分组成。报告中所列数据的统计期限自20</w:t>
      </w:r>
      <w:r>
        <w:rPr>
          <w:rFonts w:hint="eastAsia" w:ascii="仿宋" w:hAnsi="仿宋" w:eastAsia="仿宋" w:cs="仿宋"/>
          <w:color w:val="000000"/>
          <w:sz w:val="32"/>
          <w:szCs w:val="32"/>
          <w:lang w:val="en-US" w:eastAsia="zh-CN" w:bidi="ar"/>
        </w:rPr>
        <w:t>21</w:t>
      </w:r>
      <w:r>
        <w:rPr>
          <w:rFonts w:hint="eastAsia" w:ascii="仿宋" w:hAnsi="仿宋" w:eastAsia="仿宋" w:cs="仿宋"/>
          <w:color w:val="000000"/>
          <w:sz w:val="32"/>
          <w:szCs w:val="32"/>
          <w:lang w:bidi="ar"/>
        </w:rPr>
        <w:t>年1月1日至20</w:t>
      </w:r>
      <w:r>
        <w:rPr>
          <w:rFonts w:hint="eastAsia" w:ascii="仿宋" w:hAnsi="仿宋" w:eastAsia="仿宋" w:cs="仿宋"/>
          <w:color w:val="000000"/>
          <w:sz w:val="32"/>
          <w:szCs w:val="32"/>
          <w:lang w:val="en-US" w:eastAsia="zh-CN" w:bidi="ar"/>
        </w:rPr>
        <w:t>21</w:t>
      </w:r>
      <w:r>
        <w:rPr>
          <w:rFonts w:hint="eastAsia" w:ascii="仿宋" w:hAnsi="仿宋" w:eastAsia="仿宋" w:cs="仿宋"/>
          <w:color w:val="000000"/>
          <w:sz w:val="32"/>
          <w:szCs w:val="32"/>
          <w:lang w:bidi="ar"/>
        </w:rPr>
        <w:t>年12月31日。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shd w:val="clear" w:color="auto"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阳泉市人民政府办公室坚持以习近平新时代中国特色社会主义思想为指导，认真贯彻落实《中华人民共和国政府信息公开条例》，按照省政府办公厅关于政务公开工作决策部署，紧紧围绕市委、市政府中心工作，全面推进政府信息决策、执行、管理、服务、结果公开，不断提高政务公开的制度化、科学化、标准化和规范化水平，充分保障人民群众知情权、参与权、表达权和监督权。</w:t>
      </w:r>
    </w:p>
    <w:p>
      <w:pPr>
        <w:pStyle w:val="4"/>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right="0" w:rightChars="0" w:firstLine="320" w:firstLineChars="100"/>
        <w:jc w:val="both"/>
        <w:textAlignment w:val="auto"/>
        <w:rPr>
          <w:rFonts w:hint="eastAsia" w:ascii="楷体" w:hAnsi="楷体" w:eastAsia="楷体" w:cs="楷体_GB2312"/>
          <w:kern w:val="2"/>
          <w:sz w:val="32"/>
          <w:szCs w:val="32"/>
          <w:lang w:val="en-US" w:eastAsia="zh-CN"/>
        </w:rPr>
      </w:pPr>
      <w:r>
        <w:rPr>
          <w:rFonts w:hint="eastAsia" w:ascii="楷体" w:hAnsi="楷体" w:eastAsia="楷体" w:cs="楷体_GB2312"/>
          <w:kern w:val="2"/>
          <w:sz w:val="32"/>
          <w:szCs w:val="32"/>
          <w:lang w:val="en-US" w:eastAsia="zh-CN"/>
        </w:rPr>
        <w:t>1、</w:t>
      </w:r>
      <w:r>
        <w:rPr>
          <w:rFonts w:hint="eastAsia" w:ascii="楷体" w:hAnsi="楷体" w:eastAsia="楷体" w:cs="楷体_GB2312"/>
          <w:kern w:val="2"/>
          <w:sz w:val="32"/>
          <w:szCs w:val="32"/>
        </w:rPr>
        <w:t>主</w:t>
      </w:r>
      <w:r>
        <w:rPr>
          <w:rFonts w:hint="eastAsia" w:ascii="楷体" w:hAnsi="楷体" w:eastAsia="楷体" w:cs="楷体_GB2312"/>
          <w:kern w:val="2"/>
          <w:sz w:val="32"/>
          <w:szCs w:val="32"/>
          <w:lang w:val="en-US" w:eastAsia="zh-CN"/>
        </w:rPr>
        <w:t>动公开方面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遵循“以公开为常态、不公开为例外”的原则，主动公开涉及公众利益调整、需要公众广泛知晓或者需要公众参与决策的政府信息。协调推进相关单位围绕转型发展、“十四五”规划、法治政府建设、“放管服效”改革、优化营商环境等政策做好各类规划、市场规则标准和监管执法信息、常态化疫情防控信息等专项专题信息公开。进一步规范拟发公文属性认定，新增“部分公开”和“删减后公开”两种主动公开形式，最大程度扩大主动公开的范围。加强政策性文件的解读工作，采用人民群众喜闻乐见的形式，增强政策解读的可视性、可感性和传播力、影响力。在基层政务公开标准化规范化26个试点领域的基础上，结合相关部门权责清单和公共服务事项清单，拓展交通安全管理领域、职业教育领域和公共体育领域三个政务公开“两化”领域，逐步推进向全领域拓展。指导市行政审批服务管理局、各县区及阳泉高新区建立政务公开专区，进一步提升了便民化服务水平，提高了群众满意度和认可度。</w:t>
      </w:r>
    </w:p>
    <w:p>
      <w:pPr>
        <w:pStyle w:val="4"/>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right="0" w:rightChars="0" w:firstLine="320" w:firstLineChars="100"/>
        <w:jc w:val="both"/>
        <w:textAlignment w:val="auto"/>
        <w:rPr>
          <w:rFonts w:hint="eastAsia" w:ascii="楷体" w:hAnsi="楷体" w:eastAsia="楷体" w:cs="楷体_GB2312"/>
          <w:kern w:val="2"/>
          <w:sz w:val="32"/>
          <w:szCs w:val="32"/>
        </w:rPr>
      </w:pPr>
      <w:r>
        <w:rPr>
          <w:rFonts w:hint="eastAsia" w:ascii="楷体" w:hAnsi="楷体" w:eastAsia="楷体" w:cs="楷体_GB2312"/>
          <w:kern w:val="2"/>
          <w:sz w:val="32"/>
          <w:szCs w:val="32"/>
          <w:lang w:val="en-US" w:eastAsia="zh-CN"/>
        </w:rPr>
        <w:t>2、依</w:t>
      </w:r>
      <w:r>
        <w:rPr>
          <w:rFonts w:hint="eastAsia" w:ascii="楷体" w:hAnsi="楷体" w:eastAsia="楷体" w:cs="楷体_GB2312"/>
          <w:kern w:val="2"/>
          <w:sz w:val="32"/>
          <w:szCs w:val="32"/>
        </w:rPr>
        <w:t>申请公开方面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登记、受理、补正、征求意见、提出办理意见、做出决定、报批、送达等流程，规范依申请公开流程，严格执行《行政诉讼法》《行政复议法》《政府信息公开条例》等法律法规中关于期限、答复类型、答复方式等各项规定，做到程序合法、处置合理、答复规范、措辞得当。同时新增“便民提示”举措，最大限度为申请人提供相关政府信息，切实保障申请人权利，维护政府公信力。2021年，共收到并办理政府信息公开申请数11件，全部为自然人申请。</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 w:hAnsi="楷体" w:eastAsia="楷体" w:cs="楷体_GB2312"/>
          <w:kern w:val="2"/>
          <w:sz w:val="32"/>
          <w:szCs w:val="32"/>
        </w:rPr>
      </w:pPr>
      <w:r>
        <w:rPr>
          <w:rFonts w:hint="eastAsia" w:ascii="楷体" w:hAnsi="楷体" w:eastAsia="楷体" w:cs="楷体_GB2312"/>
          <w:kern w:val="2"/>
          <w:sz w:val="32"/>
          <w:szCs w:val="32"/>
          <w:lang w:val="en-US" w:eastAsia="zh-CN"/>
        </w:rPr>
        <w:t>3、</w:t>
      </w:r>
      <w:r>
        <w:rPr>
          <w:rFonts w:hint="eastAsia" w:ascii="楷体" w:hAnsi="楷体" w:eastAsia="楷体" w:cs="楷体_GB2312"/>
          <w:kern w:val="2"/>
          <w:sz w:val="32"/>
          <w:szCs w:val="32"/>
        </w:rPr>
        <w:t>政府信息管理方面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规定时限每月定期将主动公开的政府信息送交市行政审批中心，做到纸质文本、电子文本数量一致。2021年，共报送市政府和市政府办公室文件140余件。根据《国务院办公厅政府信息与政务公开办公室关于做好规章集中公开并动态更新工作的通知》，按时保质保量完成政府规章梳理、展示、发布、更新工作。</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 w:hAnsi="楷体" w:eastAsia="楷体" w:cs="楷体_GB2312"/>
          <w:kern w:val="2"/>
          <w:sz w:val="32"/>
          <w:szCs w:val="32"/>
        </w:rPr>
      </w:pPr>
      <w:r>
        <w:rPr>
          <w:rFonts w:hint="eastAsia" w:ascii="楷体" w:hAnsi="楷体" w:eastAsia="楷体" w:cs="楷体_GB2312"/>
          <w:kern w:val="2"/>
          <w:sz w:val="32"/>
          <w:szCs w:val="32"/>
          <w:lang w:val="en-US" w:eastAsia="zh-CN"/>
        </w:rPr>
        <w:t>4、</w:t>
      </w:r>
      <w:r>
        <w:rPr>
          <w:rFonts w:hint="eastAsia" w:ascii="楷体" w:hAnsi="楷体" w:eastAsia="楷体" w:cs="楷体_GB2312"/>
          <w:kern w:val="2"/>
          <w:sz w:val="32"/>
          <w:szCs w:val="32"/>
        </w:rPr>
        <w:t>信息公开平台建设方面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国务院办公厅、省政府办公厅政务公开年度要点要求，2021年将全市的政府信息公开进行了改版，开设各类专题专栏，统一名称和格式，为公开信息提供平台和技术支撑。加强网站之间，网站与政务微博、微信、客户端之间协同联动，即时充分转载各类热点信息。做好政府公报编辑发布工作，每月刊登市政府发布的各类规范性文件，做到应登尽登。对照山西省人民政府办公厅下发的全省政府网站与政府系统政务新媒体季度检查情况通报的要求，全面开展网站自查，按时完成整改任务。</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 w:hAnsi="楷体" w:eastAsia="楷体" w:cs="楷体_GB2312"/>
          <w:kern w:val="2"/>
          <w:sz w:val="32"/>
          <w:szCs w:val="32"/>
          <w:lang w:val="en-US" w:eastAsia="zh-CN"/>
        </w:rPr>
      </w:pPr>
      <w:r>
        <w:rPr>
          <w:rFonts w:hint="eastAsia" w:ascii="楷体" w:hAnsi="楷体" w:eastAsia="楷体" w:cs="楷体_GB2312"/>
          <w:kern w:val="2"/>
          <w:sz w:val="32"/>
          <w:szCs w:val="32"/>
          <w:lang w:val="en-US" w:eastAsia="zh-CN"/>
        </w:rPr>
        <w:t>5、监督保障方面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将政务公开工作纳入目标责任考核体系，并作为市政府办公室唯一牵头的一项专项考核工作。积极组织各县（区）和市直各有关部门参加政务公开工作培训，多次组织各相关单位进行工作座谈，并深入各县（区）等地调研基层政务公开各项工作开展情况，有力推动我市政务公开工作走深向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b/>
          <w:bCs/>
          <w:i w:val="0"/>
          <w:iCs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b/>
          <w:bCs/>
          <w:i w:val="0"/>
          <w:iCs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b/>
          <w:bCs/>
          <w:i w:val="0"/>
          <w:iCs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t>二、主动公开政府信息情况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eastAsia" w:ascii="宋体" w:hAnsi="宋体" w:cs="宋体"/>
                <w:i w:val="0"/>
                <w:iCs w:val="0"/>
                <w:color w:val="000000"/>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cs="宋体"/>
                <w:i w:val="0"/>
                <w:iCs w:val="0"/>
                <w:color w:val="000000"/>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sz w:val="24"/>
                <w:szCs w:val="24"/>
              </w:rPr>
            </w:pPr>
            <w:r>
              <w:rPr>
                <w:rFonts w:hint="eastAsia" w:ascii="宋体" w:hAnsi="宋体" w:cs="宋体"/>
                <w:color w:val="000000"/>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b/>
          <w:bCs/>
          <w:i w:val="0"/>
          <w:iCs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宋体" w:hAnsi="宋体" w:eastAsia="宋体" w:cs="宋体"/>
          <w:b/>
          <w:bCs/>
          <w:i w:val="0"/>
          <w:iCs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t>三、收到和处理政府信息公开申请情况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11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cs="Calibri"/>
                <w:kern w:val="0"/>
                <w:sz w:val="20"/>
                <w:szCs w:val="20"/>
                <w:lang w:val="en-US" w:eastAsia="zh-CN" w:bidi="ar"/>
              </w:rPr>
              <w:t>11</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eastAsia="zh-CN"/>
              </w:rPr>
            </w:pPr>
            <w:r>
              <w:rPr>
                <w:rFonts w:hint="eastAsia"/>
                <w:lang w:val="en-US" w:eastAsia="zh-CN"/>
              </w:rPr>
              <w:t>2</w:t>
            </w:r>
            <w:r>
              <w:rPr>
                <w:rFonts w:hint="default"/>
                <w:lang w:val="en-US" w:eastAsia="zh-CN"/>
              </w:rPr>
              <w:t> </w:t>
            </w:r>
          </w:p>
          <w:p>
            <w:pPr>
              <w:pStyle w:val="2"/>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8</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eastAsia" w:cs="Calibri"/>
                <w:kern w:val="0"/>
                <w:sz w:val="20"/>
                <w:szCs w:val="20"/>
                <w:lang w:val="en-US" w:eastAsia="zh-CN" w:bidi="ar"/>
              </w:rPr>
              <w:t>11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cs="Calibri"/>
                <w:kern w:val="0"/>
                <w:sz w:val="20"/>
                <w:szCs w:val="20"/>
                <w:lang w:val="en-US" w:eastAsia="zh-CN" w:bidi="ar"/>
              </w:rPr>
              <w:t>11</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default" w:ascii="Calibri" w:hAnsi="Calibri" w:eastAsia="宋体" w:cs="Calibri"/>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宋体" w:hAnsi="宋体" w:eastAsia="宋体" w:cs="宋体"/>
          <w:b/>
          <w:bCs/>
          <w:i w:val="0"/>
          <w:iCs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t>五、存在的主要问题及改进情况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jc w:val="both"/>
        <w:textAlignment w:val="auto"/>
        <w:rPr>
          <w:rFonts w:hint="default" w:ascii="华文仿宋" w:hAnsi="华文仿宋" w:eastAsia="华文仿宋" w:cs="华文仿宋"/>
          <w:i w:val="0"/>
          <w:caps w:val="0"/>
          <w:color w:val="333333"/>
          <w:spacing w:val="0"/>
          <w:sz w:val="32"/>
          <w:szCs w:val="32"/>
          <w:shd w:val="clear" w:color="auto" w:fill="FFFFFF"/>
          <w:lang w:val="en" w:eastAsia="zh-CN"/>
        </w:rPr>
      </w:pPr>
      <w:r>
        <w:rPr>
          <w:rFonts w:hint="eastAsia" w:ascii="华文仿宋" w:hAnsi="华文仿宋" w:eastAsia="华文仿宋" w:cs="华文仿宋"/>
          <w:i w:val="0"/>
          <w:caps w:val="0"/>
          <w:color w:val="333333"/>
          <w:spacing w:val="0"/>
          <w:sz w:val="32"/>
          <w:szCs w:val="32"/>
          <w:shd w:val="clear" w:color="auto" w:fill="FFFFFF"/>
        </w:rPr>
        <w:t>2021年，市政府办公</w:t>
      </w:r>
      <w:r>
        <w:rPr>
          <w:rFonts w:hint="eastAsia" w:ascii="华文仿宋" w:hAnsi="华文仿宋" w:eastAsia="华文仿宋" w:cs="华文仿宋"/>
          <w:i w:val="0"/>
          <w:caps w:val="0"/>
          <w:color w:val="333333"/>
          <w:spacing w:val="0"/>
          <w:sz w:val="32"/>
          <w:szCs w:val="32"/>
          <w:shd w:val="clear" w:color="auto" w:fill="FFFFFF"/>
          <w:lang w:eastAsia="zh-CN"/>
        </w:rPr>
        <w:t>室</w:t>
      </w:r>
      <w:r>
        <w:rPr>
          <w:rFonts w:hint="eastAsia" w:ascii="华文仿宋" w:hAnsi="华文仿宋" w:eastAsia="华文仿宋" w:cs="华文仿宋"/>
          <w:i w:val="0"/>
          <w:caps w:val="0"/>
          <w:color w:val="333333"/>
          <w:spacing w:val="0"/>
          <w:sz w:val="32"/>
          <w:szCs w:val="32"/>
          <w:shd w:val="clear" w:color="auto" w:fill="FFFFFF"/>
        </w:rPr>
        <w:t>政务公开工作取得了一些成绩，但离上级要求和群众期待，还存在短板和不足。</w:t>
      </w:r>
      <w:r>
        <w:rPr>
          <w:rFonts w:hint="eastAsia" w:ascii="华文仿宋" w:hAnsi="华文仿宋" w:eastAsia="华文仿宋" w:cs="华文仿宋"/>
          <w:i w:val="0"/>
          <w:caps w:val="0"/>
          <w:color w:val="333333"/>
          <w:spacing w:val="0"/>
          <w:sz w:val="32"/>
          <w:szCs w:val="32"/>
          <w:shd w:val="clear" w:color="auto" w:fill="FFFFFF"/>
          <w:lang w:val="en-US" w:eastAsia="zh-CN"/>
        </w:rPr>
        <w:t>一是主动公开意识有待增强，需进一步准确把握公文公开属性；二是政策解读水平有待提高，需坚持“以效果为导向”的解读原则；</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jc w:val="both"/>
        <w:textAlignment w:val="auto"/>
        <w:rPr>
          <w:rFonts w:hint="eastAsia" w:ascii="楷体_GB2312" w:hAnsi="楷体_GB2312" w:eastAsia="楷体_GB2312" w:cs="楷体_GB2312"/>
          <w:sz w:val="32"/>
          <w:szCs w:val="32"/>
          <w:lang w:val="en-US" w:eastAsia="zh-CN"/>
        </w:rPr>
      </w:pPr>
      <w:r>
        <w:rPr>
          <w:rFonts w:hint="eastAsia" w:ascii="华文仿宋" w:hAnsi="华文仿宋" w:eastAsia="华文仿宋" w:cs="华文仿宋"/>
          <w:i w:val="0"/>
          <w:caps w:val="0"/>
          <w:color w:val="333333"/>
          <w:spacing w:val="0"/>
          <w:sz w:val="32"/>
          <w:szCs w:val="32"/>
          <w:shd w:val="clear" w:color="auto" w:fill="FFFFFF"/>
          <w:lang w:val="en-US" w:eastAsia="zh-CN"/>
        </w:rPr>
        <w:t>三是政务公开平台建设有待提高，需统筹协调和创新思路；四是政务公开能力有待提高，需筹备专题培训和财政资金支持。</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华文仿宋" w:hAnsi="华文仿宋" w:eastAsia="华文仿宋" w:cs="华文仿宋"/>
          <w:i w:val="0"/>
          <w:caps w:val="0"/>
          <w:color w:val="333333"/>
          <w:spacing w:val="0"/>
          <w:sz w:val="32"/>
          <w:szCs w:val="32"/>
          <w:shd w:val="clear" w:color="auto" w:fill="FFFFFF"/>
          <w:lang w:eastAsia="zh-CN"/>
        </w:rPr>
      </w:pPr>
      <w:r>
        <w:rPr>
          <w:rFonts w:hint="eastAsia" w:ascii="华文仿宋" w:hAnsi="华文仿宋" w:eastAsia="华文仿宋" w:cs="华文仿宋"/>
          <w:i w:val="0"/>
          <w:caps w:val="0"/>
          <w:color w:val="333333"/>
          <w:spacing w:val="0"/>
          <w:sz w:val="32"/>
          <w:szCs w:val="32"/>
          <w:shd w:val="clear" w:color="auto" w:fill="FFFFFF"/>
        </w:rPr>
        <w:t>下一步，将采取以下措施加以改进。一是</w:t>
      </w:r>
      <w:r>
        <w:rPr>
          <w:rFonts w:hint="eastAsia" w:ascii="仿宋" w:hAnsi="仿宋" w:eastAsia="仿宋" w:cs="仿宋"/>
          <w:sz w:val="32"/>
          <w:szCs w:val="32"/>
          <w:lang w:val="en-US" w:eastAsia="zh-CN"/>
        </w:rPr>
        <w:t>切实提高各发文单位对于公文公开属性认定的准确认识，明确制定公文公开属性的主体责任和审核主体责任；严格审核未主动公开公文的依据和理由。二是鼓励采用图表图解、视频动漫、流程演示等广大群众喜闻乐见的形式，多从政策的背景、意义、作用、关键词、新旧政策差异等方面进行解读，有针对性地开展了延伸解读和补充解读。三是加强与各相关单位的联系，加强政务平台专题专栏建设，将发展主题、工作重点汇总整合，采取模块化集成化标签式的展示方式。四是</w:t>
      </w:r>
      <w:r>
        <w:rPr>
          <w:rFonts w:hint="eastAsia" w:ascii="华文仿宋" w:hAnsi="华文仿宋" w:eastAsia="华文仿宋" w:cs="华文仿宋"/>
          <w:i w:val="0"/>
          <w:caps w:val="0"/>
          <w:color w:val="333333"/>
          <w:spacing w:val="0"/>
          <w:sz w:val="32"/>
          <w:szCs w:val="32"/>
          <w:shd w:val="clear" w:color="auto" w:fill="FFFFFF"/>
        </w:rPr>
        <w:t>加大资金</w:t>
      </w:r>
      <w:r>
        <w:rPr>
          <w:rFonts w:hint="eastAsia" w:ascii="华文仿宋" w:hAnsi="华文仿宋" w:eastAsia="华文仿宋" w:cs="华文仿宋"/>
          <w:i w:val="0"/>
          <w:caps w:val="0"/>
          <w:color w:val="333333"/>
          <w:spacing w:val="0"/>
          <w:sz w:val="32"/>
          <w:szCs w:val="32"/>
          <w:shd w:val="clear" w:color="auto" w:fill="FFFFFF"/>
          <w:lang w:eastAsia="zh-CN"/>
        </w:rPr>
        <w:t>支持，适时举办政务公开专题培训，切实提高工作人员能力和水平。</w:t>
      </w: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华文仿宋" w:hAnsi="华文仿宋" w:eastAsia="华文仿宋" w:cs="华文仿宋"/>
          <w:i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t>六、其他需要报告的事项</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jc w:val="both"/>
        <w:textAlignment w:val="auto"/>
        <w:rPr>
          <w:rFonts w:hint="eastAsia" w:ascii="华文仿宋" w:hAnsi="华文仿宋" w:eastAsia="华文仿宋" w:cs="华文仿宋"/>
          <w:i w:val="0"/>
          <w:caps w:val="0"/>
          <w:color w:val="333333"/>
          <w:spacing w:val="0"/>
          <w:sz w:val="32"/>
          <w:szCs w:val="32"/>
          <w:shd w:val="clear" w:color="auto" w:fill="FFFFFF"/>
          <w:lang w:val="en-US" w:eastAsia="zh-CN"/>
        </w:rPr>
      </w:pPr>
      <w:r>
        <w:rPr>
          <w:rFonts w:hint="eastAsia" w:ascii="华文仿宋" w:hAnsi="华文仿宋" w:eastAsia="华文仿宋" w:cs="华文仿宋"/>
          <w:i w:val="0"/>
          <w:caps w:val="0"/>
          <w:color w:val="333333"/>
          <w:spacing w:val="0"/>
          <w:sz w:val="32"/>
          <w:szCs w:val="32"/>
          <w:shd w:val="clear" w:color="auto" w:fill="FFFFFF"/>
          <w:lang w:val="en-US" w:eastAsia="zh-CN"/>
        </w:rPr>
        <w:t>2021年，无收取信息处理费情况。</w:t>
      </w: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华文仿宋" w:hAnsi="华文仿宋" w:eastAsia="华文仿宋" w:cs="华文仿宋"/>
          <w:i w:val="0"/>
          <w:caps w:val="0"/>
          <w:color w:val="333333"/>
          <w:spacing w:val="0"/>
          <w:sz w:val="32"/>
          <w:szCs w:val="32"/>
          <w:shd w:val="clear" w:color="auto" w:fill="FFFFFF"/>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ind w:firstLine="5440" w:firstLineChars="1700"/>
        <w:textAlignment w:val="auto"/>
        <w:rPr>
          <w:rFonts w:hint="default" w:ascii="华文仿宋" w:hAnsi="华文仿宋" w:eastAsia="华文仿宋" w:cs="华文仿宋"/>
          <w:i w:val="0"/>
          <w:caps w:val="0"/>
          <w:color w:val="333333"/>
          <w:spacing w:val="0"/>
          <w:sz w:val="32"/>
          <w:szCs w:val="32"/>
          <w:shd w:val="clear" w:color="auto" w:fill="FFFFFF"/>
          <w:lang w:val="en-US" w:eastAsia="zh-CN"/>
        </w:rPr>
      </w:pPr>
      <w:r>
        <w:rPr>
          <w:rFonts w:hint="eastAsia" w:ascii="华文仿宋" w:hAnsi="华文仿宋" w:eastAsia="华文仿宋" w:cs="华文仿宋"/>
          <w:i w:val="0"/>
          <w:caps w:val="0"/>
          <w:color w:val="333333"/>
          <w:spacing w:val="0"/>
          <w:sz w:val="32"/>
          <w:szCs w:val="32"/>
          <w:shd w:val="clear" w:color="auto" w:fill="FFFFFF"/>
          <w:lang w:val="en-US" w:eastAsia="zh-CN"/>
        </w:rPr>
        <w:t>2022年1月28日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31A7"/>
    <w:rsid w:val="01923FAE"/>
    <w:rsid w:val="033406B7"/>
    <w:rsid w:val="038A3328"/>
    <w:rsid w:val="048A7395"/>
    <w:rsid w:val="074B2DD2"/>
    <w:rsid w:val="092B29AB"/>
    <w:rsid w:val="0F2A1969"/>
    <w:rsid w:val="0F5B6EE6"/>
    <w:rsid w:val="1BD91268"/>
    <w:rsid w:val="1CE541FF"/>
    <w:rsid w:val="1DB094D7"/>
    <w:rsid w:val="1EE7871E"/>
    <w:rsid w:val="1EF51C3F"/>
    <w:rsid w:val="203B21EF"/>
    <w:rsid w:val="21FFB7A5"/>
    <w:rsid w:val="239A448C"/>
    <w:rsid w:val="295B7B45"/>
    <w:rsid w:val="2A7B3289"/>
    <w:rsid w:val="2BDD6167"/>
    <w:rsid w:val="2CC24BE8"/>
    <w:rsid w:val="2DCEFC78"/>
    <w:rsid w:val="31751AB0"/>
    <w:rsid w:val="34FA65E0"/>
    <w:rsid w:val="36ED26EF"/>
    <w:rsid w:val="36FEEEC0"/>
    <w:rsid w:val="371C1D65"/>
    <w:rsid w:val="3B57CE12"/>
    <w:rsid w:val="3BFB4C50"/>
    <w:rsid w:val="3C8C7472"/>
    <w:rsid w:val="3D0A35E5"/>
    <w:rsid w:val="3EAB0813"/>
    <w:rsid w:val="3F71E9B7"/>
    <w:rsid w:val="41040119"/>
    <w:rsid w:val="4110603D"/>
    <w:rsid w:val="424CDF43"/>
    <w:rsid w:val="42873E18"/>
    <w:rsid w:val="4470134B"/>
    <w:rsid w:val="45183F1A"/>
    <w:rsid w:val="4D3BE458"/>
    <w:rsid w:val="4D6D5860"/>
    <w:rsid w:val="4E620C43"/>
    <w:rsid w:val="51B11B33"/>
    <w:rsid w:val="51F6953D"/>
    <w:rsid w:val="53095CF9"/>
    <w:rsid w:val="55BC7818"/>
    <w:rsid w:val="59BF2D89"/>
    <w:rsid w:val="5A1F5F25"/>
    <w:rsid w:val="5A787B59"/>
    <w:rsid w:val="5AF94D16"/>
    <w:rsid w:val="5B2C5C06"/>
    <w:rsid w:val="5CFEC1F3"/>
    <w:rsid w:val="5D6E571C"/>
    <w:rsid w:val="5EB66CB9"/>
    <w:rsid w:val="5EEFB8CB"/>
    <w:rsid w:val="5EFB5374"/>
    <w:rsid w:val="5F2FF128"/>
    <w:rsid w:val="5F5EC4DF"/>
    <w:rsid w:val="5F7123BC"/>
    <w:rsid w:val="5FDED473"/>
    <w:rsid w:val="5FFFD403"/>
    <w:rsid w:val="603D7C92"/>
    <w:rsid w:val="61155A7D"/>
    <w:rsid w:val="63FED70F"/>
    <w:rsid w:val="64D16F9C"/>
    <w:rsid w:val="65463D2D"/>
    <w:rsid w:val="658A5263"/>
    <w:rsid w:val="69D43100"/>
    <w:rsid w:val="6DF54ACF"/>
    <w:rsid w:val="6E7FF5D5"/>
    <w:rsid w:val="6EDF04D1"/>
    <w:rsid w:val="70CC7CA1"/>
    <w:rsid w:val="75E5AFB3"/>
    <w:rsid w:val="75FA0101"/>
    <w:rsid w:val="77DB3A04"/>
    <w:rsid w:val="7867D195"/>
    <w:rsid w:val="7A150F0D"/>
    <w:rsid w:val="7C5EBEA4"/>
    <w:rsid w:val="7C5FC69D"/>
    <w:rsid w:val="7CFFFB10"/>
    <w:rsid w:val="7D746E45"/>
    <w:rsid w:val="7D7BD44D"/>
    <w:rsid w:val="7D9F0170"/>
    <w:rsid w:val="7DEA809E"/>
    <w:rsid w:val="7DFF6A75"/>
    <w:rsid w:val="7E243AF4"/>
    <w:rsid w:val="7EDDB35C"/>
    <w:rsid w:val="7F004BA0"/>
    <w:rsid w:val="7F9DE30B"/>
    <w:rsid w:val="7FAB5DBD"/>
    <w:rsid w:val="7FBFD268"/>
    <w:rsid w:val="7FD93A95"/>
    <w:rsid w:val="7FDBDAC7"/>
    <w:rsid w:val="7FEB6374"/>
    <w:rsid w:val="7FEE5540"/>
    <w:rsid w:val="7FF7EC07"/>
    <w:rsid w:val="7FFC40F3"/>
    <w:rsid w:val="91B39F19"/>
    <w:rsid w:val="99EEA251"/>
    <w:rsid w:val="AED7BF9A"/>
    <w:rsid w:val="AF5CB944"/>
    <w:rsid w:val="B5B77C08"/>
    <w:rsid w:val="B6F44C3F"/>
    <w:rsid w:val="BA7F9000"/>
    <w:rsid w:val="BBF574E0"/>
    <w:rsid w:val="BE7C2C6C"/>
    <w:rsid w:val="BFBFD47D"/>
    <w:rsid w:val="BFC66467"/>
    <w:rsid w:val="BFDE2490"/>
    <w:rsid w:val="C8DB71A6"/>
    <w:rsid w:val="C9F535BA"/>
    <w:rsid w:val="CA4F3880"/>
    <w:rsid w:val="CBFBF70B"/>
    <w:rsid w:val="D0FB2249"/>
    <w:rsid w:val="D0FF3AF9"/>
    <w:rsid w:val="D2EF97FA"/>
    <w:rsid w:val="D5F844F2"/>
    <w:rsid w:val="D5FEE425"/>
    <w:rsid w:val="D8F73553"/>
    <w:rsid w:val="DD1E9E89"/>
    <w:rsid w:val="DD2FE5A5"/>
    <w:rsid w:val="DDFFE2D1"/>
    <w:rsid w:val="E9DE2B89"/>
    <w:rsid w:val="EBEE5F44"/>
    <w:rsid w:val="EBFFF1DA"/>
    <w:rsid w:val="EFFF4CD9"/>
    <w:rsid w:val="F6B6F1B5"/>
    <w:rsid w:val="F777B9F3"/>
    <w:rsid w:val="F7D54354"/>
    <w:rsid w:val="F7FFFAA9"/>
    <w:rsid w:val="F97F5BAF"/>
    <w:rsid w:val="FBBF4D6E"/>
    <w:rsid w:val="FBEFC96F"/>
    <w:rsid w:val="FBFE6E19"/>
    <w:rsid w:val="FD7B13FE"/>
    <w:rsid w:val="FDB797BA"/>
    <w:rsid w:val="FE3273BE"/>
    <w:rsid w:val="FE778B3E"/>
    <w:rsid w:val="FED66225"/>
    <w:rsid w:val="FEFFCA2F"/>
    <w:rsid w:val="FF6BBD7C"/>
    <w:rsid w:val="FF7D115B"/>
    <w:rsid w:val="FFE7842D"/>
    <w:rsid w:val="FFEF5124"/>
    <w:rsid w:val="FFFD0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qFormat/>
    <w:uiPriority w:val="0"/>
    <w:pPr>
      <w:spacing w:afterLines="0" w:afterAutospacing="0" w:line="580" w:lineRule="exact"/>
      <w:ind w:firstLine="420" w:firstLineChars="200"/>
    </w:pPr>
    <w:rPr>
      <w:rFonts w:ascii="仿宋_GB2312" w:hAnsi="仿宋_GB2312" w:eastAsia="仿宋_GB2312" w:cs="Times New Roman"/>
      <w:sz w:val="32"/>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32.3333333333333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2022-01-28T17:35:57Z</cp:lastPrinted>
  <dcterms:modified xsi:type="dcterms:W3CDTF">2022-01-29T03:58:04Z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895B79582F1746C185C984B350F00403</vt:lpwstr>
  </property>
</Properties>
</file>